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050ED3B1" w:rsidR="009D640E" w:rsidRPr="0053152E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de-DE" w:eastAsia="ja-JP"/>
        </w:rPr>
      </w:pPr>
      <w:bookmarkStart w:id="0" w:name="_Toc193024528"/>
      <w:r w:rsidRPr="0053152E">
        <w:rPr>
          <w:rFonts w:ascii="Arial" w:hAnsi="Arial" w:cs="Arial"/>
          <w:b/>
          <w:noProof/>
          <w:sz w:val="24"/>
          <w:szCs w:val="24"/>
          <w:lang w:val="de-DE"/>
        </w:rPr>
        <w:t xml:space="preserve">3GPP TSG-RAN WG4 </w:t>
      </w:r>
      <w:r w:rsidR="00907728" w:rsidRPr="0053152E">
        <w:rPr>
          <w:rFonts w:ascii="Arial" w:hAnsi="Arial" w:cs="Arial"/>
          <w:b/>
          <w:noProof/>
          <w:sz w:val="24"/>
          <w:szCs w:val="24"/>
          <w:lang w:val="de-DE"/>
        </w:rPr>
        <w:t>#86</w:t>
      </w:r>
      <w:r w:rsidR="00E7797C" w:rsidRPr="0053152E">
        <w:rPr>
          <w:rFonts w:ascii="Arial" w:hAnsi="Arial" w:cs="Arial"/>
          <w:b/>
          <w:noProof/>
          <w:sz w:val="24"/>
          <w:szCs w:val="24"/>
          <w:lang w:val="de-DE"/>
        </w:rPr>
        <w:t>bis</w:t>
      </w:r>
      <w:r w:rsidRPr="0053152E">
        <w:rPr>
          <w:rFonts w:ascii="Arial" w:hAnsi="Arial" w:cs="Arial"/>
          <w:b/>
          <w:noProof/>
          <w:sz w:val="24"/>
          <w:szCs w:val="24"/>
          <w:lang w:val="de-DE"/>
        </w:rPr>
        <w:tab/>
        <w:t>R4-1</w:t>
      </w:r>
      <w:r w:rsidR="00005431" w:rsidRPr="0053152E">
        <w:rPr>
          <w:rFonts w:ascii="Arial" w:hAnsi="Arial" w:cs="Arial"/>
          <w:b/>
          <w:noProof/>
          <w:sz w:val="24"/>
          <w:szCs w:val="24"/>
          <w:lang w:val="de-DE"/>
        </w:rPr>
        <w:t>80</w:t>
      </w:r>
      <w:r w:rsidR="007F51FD">
        <w:rPr>
          <w:rFonts w:ascii="Arial" w:hAnsi="Arial" w:cs="Arial"/>
          <w:b/>
          <w:noProof/>
          <w:sz w:val="24"/>
          <w:szCs w:val="24"/>
          <w:lang w:val="de-DE"/>
        </w:rPr>
        <w:t>4673</w:t>
      </w:r>
      <w:bookmarkStart w:id="1" w:name="_GoBack"/>
      <w:bookmarkEnd w:id="1"/>
    </w:p>
    <w:p w14:paraId="167CFC61" w14:textId="7ADC65F0" w:rsidR="009D640E" w:rsidRDefault="00E7797C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Melbo</w:t>
      </w:r>
      <w:r w:rsidR="009834A9">
        <w:rPr>
          <w:rFonts w:eastAsia="SimSun"/>
          <w:i w:val="0"/>
          <w:noProof w:val="0"/>
          <w:sz w:val="24"/>
          <w:szCs w:val="24"/>
          <w:lang w:eastAsia="zh-CN"/>
        </w:rPr>
        <w:t>u</w:t>
      </w:r>
      <w:r>
        <w:rPr>
          <w:rFonts w:eastAsia="SimSun"/>
          <w:i w:val="0"/>
          <w:noProof w:val="0"/>
          <w:sz w:val="24"/>
          <w:szCs w:val="24"/>
          <w:lang w:eastAsia="zh-CN"/>
        </w:rPr>
        <w:t>rne</w:t>
      </w:r>
      <w:r w:rsidR="009D640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Australia</w:t>
      </w:r>
      <w:r w:rsidR="009D640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April</w:t>
      </w:r>
      <w:r w:rsidR="009D640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16</w:t>
      </w:r>
      <w:r w:rsidR="009D640E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20</w:t>
      </w:r>
      <w:r w:rsidR="009D640E" w:rsidRPr="004B7E17">
        <w:rPr>
          <w:i w:val="0"/>
          <w:noProof w:val="0"/>
          <w:sz w:val="24"/>
          <w:szCs w:val="24"/>
          <w:lang w:eastAsia="ja-JP"/>
        </w:rPr>
        <w:t>, 201</w:t>
      </w:r>
      <w:r w:rsidR="009D640E"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42B42465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</w:t>
      </w:r>
      <w:r w:rsidR="0053152E">
        <w:rPr>
          <w:rFonts w:ascii="Arial" w:hAnsi="Arial"/>
          <w:sz w:val="24"/>
        </w:rPr>
        <w:t>7.9.2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3118B00D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</w:t>
      </w:r>
      <w:r w:rsidR="00D77065">
        <w:rPr>
          <w:rFonts w:ascii="Arial" w:hAnsi="Arial"/>
          <w:sz w:val="22"/>
        </w:rPr>
        <w:t>M</w:t>
      </w:r>
      <w:r w:rsidR="00E64F3C">
        <w:rPr>
          <w:rFonts w:ascii="Arial" w:hAnsi="Arial"/>
          <w:sz w:val="22"/>
        </w:rPr>
        <w:t xml:space="preserve">easurements </w:t>
      </w:r>
      <w:r w:rsidR="00D77065">
        <w:rPr>
          <w:rFonts w:ascii="Arial" w:hAnsi="Arial"/>
          <w:sz w:val="22"/>
        </w:rPr>
        <w:t xml:space="preserve">Requirements </w:t>
      </w:r>
      <w:r w:rsidR="00C3341D">
        <w:rPr>
          <w:rFonts w:ascii="Arial" w:hAnsi="Arial"/>
          <w:sz w:val="22"/>
        </w:rPr>
        <w:t>in NR</w:t>
      </w:r>
    </w:p>
    <w:p w14:paraId="7477C2F3" w14:textId="4B4D108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7F365B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CD52213" w14:textId="715DC372" w:rsidR="00D77065" w:rsidRDefault="00CC68B4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contribution, we represent our analysis from [1] and related simulation results for SS RSRP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[2]. The main scope are </w:t>
      </w:r>
      <w:r w:rsidR="00D77065">
        <w:rPr>
          <w:lang w:val="en-US" w:eastAsia="ja-JP"/>
        </w:rPr>
        <w:t>propose</w:t>
      </w:r>
      <w:r>
        <w:rPr>
          <w:lang w:val="en-US" w:eastAsia="ja-JP"/>
        </w:rPr>
        <w:t>d</w:t>
      </w:r>
      <w:r w:rsidR="00D77065">
        <w:rPr>
          <w:lang w:val="en-US" w:eastAsia="ja-JP"/>
        </w:rPr>
        <w:t xml:space="preserve"> </w:t>
      </w:r>
      <w:r w:rsidR="00D42113">
        <w:rPr>
          <w:lang w:val="en-US" w:eastAsia="ja-JP"/>
        </w:rPr>
        <w:t xml:space="preserve">SS RSRP measurements requirements to be approved for both sub-6 and </w:t>
      </w:r>
      <w:proofErr w:type="spellStart"/>
      <w:r w:rsidR="00D42113">
        <w:rPr>
          <w:lang w:val="en-US" w:eastAsia="ja-JP"/>
        </w:rPr>
        <w:t>mmWave</w:t>
      </w:r>
      <w:proofErr w:type="spellEnd"/>
      <w:r w:rsidR="00D42113">
        <w:rPr>
          <w:lang w:val="en-US" w:eastAsia="ja-JP"/>
        </w:rPr>
        <w:t xml:space="preserve"> bands.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1C5D3FD7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0D4D1A">
        <w:rPr>
          <w:rFonts w:eastAsia="MS Mincho"/>
          <w:lang w:val="en-US" w:eastAsia="ja-JP"/>
        </w:rPr>
        <w:t xml:space="preserve">RSRP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AF7F89">
        <w:rPr>
          <w:rFonts w:eastAsia="MS Mincho"/>
          <w:lang w:val="en-US" w:eastAsia="ja-JP"/>
        </w:rPr>
        <w:t>RSRP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C68FB1A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17D31B13" w14:textId="3161D4CF" w:rsidR="00D6144A" w:rsidRDefault="00D243B3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112DE7C3" wp14:editId="1BB0D1CD">
            <wp:extent cx="3438144" cy="25786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S_RSRP_Msmt_EPA5channel_SCS15_NcellID67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144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0EFEBC0C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</w:t>
      </w:r>
      <w:r w:rsidR="00C90797">
        <w:rPr>
          <w:b/>
          <w:color w:val="000000"/>
          <w:sz w:val="22"/>
          <w:lang w:val="en-US" w:eastAsia="zh-CN"/>
        </w:rPr>
        <w:t>PA5</w:t>
      </w:r>
    </w:p>
    <w:p w14:paraId="49D668F8" w14:textId="16E3B19F" w:rsidR="00D6144A" w:rsidRDefault="00D243B3" w:rsidP="00D6144A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lastRenderedPageBreak/>
        <w:drawing>
          <wp:inline distT="0" distB="0" distL="0" distR="0" wp14:anchorId="3821D91C" wp14:editId="32DEEDF9">
            <wp:extent cx="3465576" cy="259689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S_RSRP_Msmt_ETU30channel_SCS30_NcellID67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31C4EF33" w:rsidR="008A4FC0" w:rsidRDefault="008A4FC0" w:rsidP="00A12712">
      <w:pPr>
        <w:jc w:val="both"/>
        <w:rPr>
          <w:rFonts w:eastAsia="MS Mincho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D243B3" w:rsidRPr="003F21D0" w14:paraId="07786ED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F1CDBB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565B1B1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18114A8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A2E3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616E7B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63D09D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1E429CD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6A6481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2CD6262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2E82545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552660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3C5B96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20B113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6459AB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1BEF623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3355263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0B5B8E6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727FB4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3A74824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685368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00C103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52727D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0D41A1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29DF5C7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62D7274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730B9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1DAC10A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317FDA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10A569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BE10B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09FAD9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546589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6BEB85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0793BD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77585B6C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414EB3C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530274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3ADD2EE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28DCD34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153A0BE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6179296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D243B3" w:rsidRPr="003F21D0" w14:paraId="24A6B1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525C41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3849F4E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084582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0036F0C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56BF9BE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0FCD64D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E94F5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021325A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5F5738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39930B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6B9C81A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6EA5E4B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1163B8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F2A1FF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593020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265FAD1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3F80B3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39B7A4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554077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254054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5646180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6815FD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2E8912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21A02FC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5E3D8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59D002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3C5D7CD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CF39C02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633CC68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777CF30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51769C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465A14A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AE053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75D7386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776B8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4E70A31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522EAB9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637A673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5C9D04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0EB98D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7F88918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7A4FE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10D3DB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08150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1AAAFC3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02A2D62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360E7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4664E9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034D8CB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2C99DF4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2617B42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76683F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2863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17841EE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42A1B55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67F5BBA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6BBEDA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74CB3C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3E514B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69F489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6F78B29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196E75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2AFE501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04C56E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7D1B6F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7AEB2A0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58805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7BC6FE5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63D0053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3B8E8B7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2AB7914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5F4C2E4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08980E1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3E642C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240177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675144F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51C26B1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538475D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5DD728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3831A5A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323D5C6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6AED1F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2594FF7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4EBBBD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63ADFD3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24D8349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1566909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60182A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1A226C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35A57C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4DFB2B8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3B1BCBD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66B187C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2E38CE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BAEAEB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698F8AA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01E7595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F78708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439F1F3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4A7DF2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5CCED61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235A17F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525670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5939A05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AF7847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05F782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03507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41BD8C5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12C8B1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384D4B9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0858E7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11F661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1FBE7E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6A19968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72B0C03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55A29F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5ABA9F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4475F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00AF98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01CA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5BEEFA3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7A03148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7BCDD5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2280A9E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3D02187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E8F6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6338A2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0EB8CF2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62EEF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1470A2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402961A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0E94482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4168B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3B613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7B19EE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2CE661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69A06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4A680DB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14E3A28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8ECF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1D44BD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71282C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D47B9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7BDE64C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1DCD74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6DECA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24771C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33A441B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3F78BC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15EEEE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2A0BF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270A3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4CE777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2D910545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0A4D92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CE92F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8C1CB1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66E44A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5F167D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7CEBC20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49E2F86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3D9A3E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61643C2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5D64B0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7B804B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03E06B7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5387BA6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2DD44AC9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7ACBAD9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72D0831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444179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1907CDA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5B69424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702089F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4AF00BA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1EE67D0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0B5652F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09B907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2B5A93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4CE66C5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3ED7C35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41825E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1A73B1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6360DD6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161A4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766CAF3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428C064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10D91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4A3382B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0851EA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49AEA07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4B4E3C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72EBBCC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58B55D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40E14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CE11B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37434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6C0259D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13E8A5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1E3716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42654C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434283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0C8472CE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±2dB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5D31A2B1" w14:textId="5CBFF8A4" w:rsidR="00BE4581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4BB293E1" wp14:editId="71AFDBD5">
            <wp:extent cx="3465576" cy="259689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S_RSRP_Msmt_CDL-Bchannel_SCS120_NcellID67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052DB8E0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5A504A02" w14:textId="704CE14F" w:rsidR="002044DC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6C96F9" wp14:editId="3444B141">
            <wp:extent cx="3465576" cy="2596896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S_RSRP_Msmt_CDL-Achannel_SCS240_NcellID67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62BEA7BE" w14:textId="5CBB05A3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0DD42F96" w14:textId="28A681D5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16CFA418" w14:textId="6C1B1230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595BD8C" w14:textId="1DCC2F0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3D34EC92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27AB51C7" w14:textId="253AA913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lastRenderedPageBreak/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643286" w:rsidRPr="003F21D0" w14:paraId="0BF74D48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35EF86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1A1D3C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630F63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008B5AF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BEB956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643286" w:rsidRPr="003F21D0" w14:paraId="38B237E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0A2D872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929E5E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8DDD3F2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130E34F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14ADE3B5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DA62C2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2A3B6A0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114202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324B7B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5D1A996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5BA763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18439A3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297A6C39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297F74D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7CD8DB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C78783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6CBBC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16DB8EF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5411233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578621F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218512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8399D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6A3527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751CA1B2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F6492A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BB2E1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140905F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4590E88D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142859BA" w:rsidR="005F6287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5F6287">
        <w:rPr>
          <w:rFonts w:eastAsia="MS Mincho"/>
          <w:lang w:val="en-US" w:eastAsia="ja-JP"/>
        </w:rPr>
        <w:t xml:space="preserve">link level simulation results for </w:t>
      </w:r>
      <w:r>
        <w:rPr>
          <w:rFonts w:eastAsia="MS Mincho"/>
          <w:lang w:val="en-US" w:eastAsia="ja-JP"/>
        </w:rPr>
        <w:t>SS</w:t>
      </w:r>
      <w:r w:rsidR="005F6287">
        <w:rPr>
          <w:rFonts w:eastAsia="MS Mincho"/>
          <w:lang w:val="en-US" w:eastAsia="ja-JP"/>
        </w:rPr>
        <w:t>-based</w:t>
      </w:r>
      <w:r>
        <w:rPr>
          <w:rFonts w:eastAsia="MS Mincho"/>
          <w:lang w:val="en-US" w:eastAsia="ja-JP"/>
        </w:rPr>
        <w:t xml:space="preserve"> </w:t>
      </w:r>
      <w:r w:rsidR="005F6287">
        <w:rPr>
          <w:rFonts w:eastAsia="MS Mincho"/>
          <w:lang w:val="en-US" w:eastAsia="ja-JP"/>
        </w:rPr>
        <w:t>RSRP measurements</w:t>
      </w:r>
      <w:r>
        <w:rPr>
          <w:rFonts w:eastAsia="MS Mincho"/>
          <w:lang w:val="en-US" w:eastAsia="ja-JP"/>
        </w:rPr>
        <w:t xml:space="preserve"> in NR band</w:t>
      </w:r>
      <w:r w:rsidR="00A379F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, for a number of parameter combinations according to the simu</w:t>
      </w:r>
      <w:r w:rsidR="005F6287">
        <w:rPr>
          <w:rFonts w:eastAsia="MS Mincho"/>
          <w:lang w:val="en-US" w:eastAsia="ja-JP"/>
        </w:rPr>
        <w:t>lation assumptions agreed in [</w:t>
      </w:r>
      <w:r w:rsidR="00607094">
        <w:rPr>
          <w:rFonts w:eastAsia="MS Mincho"/>
          <w:lang w:val="en-US" w:eastAsia="ja-JP"/>
        </w:rPr>
        <w:t>2</w:t>
      </w:r>
      <w:r w:rsidR="00A379F7">
        <w:rPr>
          <w:rFonts w:eastAsia="MS Mincho"/>
          <w:lang w:val="en-US" w:eastAsia="ja-JP"/>
        </w:rPr>
        <w:t>]</w:t>
      </w:r>
      <w:r w:rsidR="005F6287">
        <w:rPr>
          <w:rFonts w:eastAsia="MS Mincho"/>
          <w:lang w:val="en-US" w:eastAsia="ja-JP"/>
        </w:rPr>
        <w:t>, with focus on SSS-RSRP</w:t>
      </w:r>
      <w:r>
        <w:rPr>
          <w:rFonts w:eastAsia="MS Mincho"/>
          <w:lang w:val="en-US" w:eastAsia="ja-JP"/>
        </w:rPr>
        <w:t xml:space="preserve">. </w:t>
      </w:r>
    </w:p>
    <w:p w14:paraId="703D3A28" w14:textId="56782216" w:rsidR="005F6287" w:rsidRPr="008C33F1" w:rsidRDefault="005F6287" w:rsidP="00B6043A">
      <w:pPr>
        <w:jc w:val="both"/>
        <w:rPr>
          <w:rFonts w:eastAsia="MS Mincho"/>
          <w:b/>
          <w:lang w:val="en-US" w:eastAsia="ja-JP"/>
        </w:rPr>
      </w:pPr>
      <w:r w:rsidRPr="008C33F1">
        <w:rPr>
          <w:rFonts w:eastAsia="MS Mincho"/>
          <w:b/>
          <w:lang w:val="en-US" w:eastAsia="ja-JP"/>
        </w:rPr>
        <w:t xml:space="preserve">Observation: For both bands, </w:t>
      </w:r>
      <w:r w:rsidR="008C33F1" w:rsidRPr="008C33F1">
        <w:rPr>
          <w:rFonts w:eastAsia="MS Mincho"/>
          <w:b/>
          <w:lang w:val="en-US" w:eastAsia="ja-JP"/>
        </w:rPr>
        <w:t xml:space="preserve">an accuracy better than ±2dB can be achieved </w:t>
      </w:r>
      <w:r w:rsidR="008C33F1">
        <w:rPr>
          <w:rFonts w:eastAsia="MS Mincho"/>
          <w:b/>
          <w:lang w:val="en-US" w:eastAsia="ja-JP"/>
        </w:rPr>
        <w:t xml:space="preserve">for SS-based RSRP measurements </w:t>
      </w:r>
      <w:r w:rsidR="008C33F1" w:rsidRPr="008C33F1">
        <w:rPr>
          <w:rFonts w:eastAsia="MS Mincho"/>
          <w:b/>
          <w:lang w:val="en-US" w:eastAsia="ja-JP"/>
        </w:rPr>
        <w:t>with NR-SSS measurements and a single sample</w:t>
      </w:r>
      <w:r w:rsidRPr="008C33F1">
        <w:rPr>
          <w:rFonts w:eastAsia="MS Mincho"/>
          <w:b/>
          <w:lang w:val="en-US" w:eastAsia="ja-JP"/>
        </w:rPr>
        <w:t xml:space="preserve">.  </w:t>
      </w:r>
    </w:p>
    <w:p w14:paraId="4C9FC8A5" w14:textId="688C413B" w:rsidR="007F365B" w:rsidRDefault="007F365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Considering the above observation and the fact that in FR1 similar RF accuracy </w:t>
      </w:r>
      <w:r w:rsidR="00607094">
        <w:rPr>
          <w:rFonts w:eastAsia="MS Mincho"/>
          <w:lang w:val="en-US" w:eastAsia="ja-JP"/>
        </w:rPr>
        <w:t xml:space="preserve">and impairments </w:t>
      </w:r>
      <w:r>
        <w:rPr>
          <w:rFonts w:eastAsia="MS Mincho"/>
          <w:lang w:val="en-US" w:eastAsia="ja-JP"/>
        </w:rPr>
        <w:t xml:space="preserve">of </w:t>
      </w:r>
      <w:r w:rsidRPr="007F365B">
        <w:rPr>
          <w:rFonts w:eastAsia="MS Mincho"/>
          <w:lang w:val="en-US" w:eastAsia="ja-JP"/>
        </w:rPr>
        <w:t>±2.5</w:t>
      </w:r>
      <w:r w:rsidR="00607094">
        <w:rPr>
          <w:rFonts w:eastAsia="MS Mincho"/>
          <w:lang w:val="en-US" w:eastAsia="ja-JP"/>
        </w:rPr>
        <w:t xml:space="preserve"> </w:t>
      </w:r>
      <w:r w:rsidRPr="007F365B">
        <w:rPr>
          <w:rFonts w:eastAsia="MS Mincho"/>
          <w:lang w:val="en-US" w:eastAsia="ja-JP"/>
        </w:rPr>
        <w:t>dB</w:t>
      </w:r>
      <w:r>
        <w:rPr>
          <w:rFonts w:eastAsia="MS Mincho"/>
          <w:lang w:val="en-US" w:eastAsia="ja-JP"/>
        </w:rPr>
        <w:t xml:space="preserve"> as in LTE is expected, we recommend RAN4 the following requirement proposa</w:t>
      </w:r>
      <w:r w:rsidR="00895138">
        <w:rPr>
          <w:rFonts w:eastAsia="MS Mincho"/>
          <w:lang w:val="en-US" w:eastAsia="ja-JP"/>
        </w:rPr>
        <w:t>l</w:t>
      </w:r>
      <w:r w:rsidR="00607094">
        <w:rPr>
          <w:rFonts w:eastAsia="MS Mincho"/>
          <w:lang w:val="en-US" w:eastAsia="ja-JP"/>
        </w:rPr>
        <w:t xml:space="preserve"> for FR1</w:t>
      </w:r>
      <w:r w:rsidR="00895138">
        <w:rPr>
          <w:rFonts w:eastAsia="MS Mincho"/>
          <w:lang w:val="en-US" w:eastAsia="ja-JP"/>
        </w:rPr>
        <w:t>:</w:t>
      </w:r>
    </w:p>
    <w:p w14:paraId="117E3E82" w14:textId="4FA36D00" w:rsidR="00895138" w:rsidRPr="00895138" w:rsidRDefault="00895138" w:rsidP="00B6043A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 xml:space="preserve">Proposal 1: SS-based RSRP measurements </w:t>
      </w:r>
      <w:r w:rsidR="009514D3">
        <w:rPr>
          <w:rFonts w:eastAsia="MS Mincho"/>
          <w:b/>
          <w:lang w:val="en-US" w:eastAsia="ja-JP"/>
        </w:rPr>
        <w:t xml:space="preserve">absolute </w:t>
      </w:r>
      <w:r w:rsidRPr="00895138">
        <w:rPr>
          <w:rFonts w:eastAsia="MS Mincho"/>
          <w:b/>
          <w:lang w:val="en-US" w:eastAsia="ja-JP"/>
        </w:rPr>
        <w:t>accuracy of ±4.5</w:t>
      </w:r>
      <w:r w:rsidR="00607094">
        <w:rPr>
          <w:rFonts w:eastAsia="MS Mincho"/>
          <w:b/>
          <w:lang w:val="en-US" w:eastAsia="ja-JP"/>
        </w:rPr>
        <w:t xml:space="preserve"> </w:t>
      </w:r>
      <w:r w:rsidRPr="00895138">
        <w:rPr>
          <w:rFonts w:eastAsia="MS Mincho"/>
          <w:b/>
          <w:lang w:val="en-US" w:eastAsia="ja-JP"/>
        </w:rPr>
        <w:t>dB shall be adopted</w:t>
      </w:r>
      <w:r w:rsidR="007A6996">
        <w:rPr>
          <w:rFonts w:eastAsia="MS Mincho"/>
          <w:b/>
          <w:lang w:val="en-US" w:eastAsia="ja-JP"/>
        </w:rPr>
        <w:t xml:space="preserve"> for FR1</w:t>
      </w:r>
      <w:r w:rsidRPr="00895138">
        <w:rPr>
          <w:rFonts w:eastAsia="MS Mincho"/>
          <w:b/>
          <w:lang w:val="en-US" w:eastAsia="ja-JP"/>
        </w:rPr>
        <w:t>.</w:t>
      </w:r>
    </w:p>
    <w:p w14:paraId="33102107" w14:textId="73F73F85" w:rsidR="00B6043A" w:rsidRDefault="00607094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Additionally, considering that in </w:t>
      </w:r>
      <w:r w:rsidR="007F365B">
        <w:rPr>
          <w:rFonts w:eastAsia="MS Mincho"/>
          <w:lang w:val="en-US" w:eastAsia="ja-JP"/>
        </w:rPr>
        <w:t xml:space="preserve">FR2 </w:t>
      </w:r>
      <w:r>
        <w:rPr>
          <w:rFonts w:eastAsia="MS Mincho"/>
          <w:lang w:val="en-US" w:eastAsia="ja-JP"/>
        </w:rPr>
        <w:t xml:space="preserve">the calibration errors are higher than in FR1, a higher margin of </w:t>
      </w:r>
      <w:r w:rsidRPr="007F365B">
        <w:rPr>
          <w:rFonts w:eastAsia="MS Mincho"/>
          <w:lang w:val="en-US" w:eastAsia="ja-JP"/>
        </w:rPr>
        <w:t>±</w:t>
      </w:r>
      <w:r>
        <w:rPr>
          <w:rFonts w:eastAsia="MS Mincho"/>
          <w:lang w:val="en-US" w:eastAsia="ja-JP"/>
        </w:rPr>
        <w:t xml:space="preserve">4 </w:t>
      </w:r>
      <w:r w:rsidRPr="007F365B">
        <w:rPr>
          <w:rFonts w:eastAsia="MS Mincho"/>
          <w:lang w:val="en-US" w:eastAsia="ja-JP"/>
        </w:rPr>
        <w:t>dB</w:t>
      </w:r>
      <w:r w:rsidR="00715D4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is recommended to RAN4, according to the following proposal:</w:t>
      </w:r>
    </w:p>
    <w:p w14:paraId="4B7AB71B" w14:textId="7AC4AE6A" w:rsidR="00607094" w:rsidRPr="00895138" w:rsidRDefault="00607094" w:rsidP="00607094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2</w:t>
      </w:r>
      <w:r w:rsidRPr="00895138">
        <w:rPr>
          <w:rFonts w:eastAsia="MS Mincho"/>
          <w:b/>
          <w:lang w:val="en-US" w:eastAsia="ja-JP"/>
        </w:rPr>
        <w:t xml:space="preserve">: SS-based RSRP measurements </w:t>
      </w:r>
      <w:r w:rsidR="009514D3">
        <w:rPr>
          <w:rFonts w:eastAsia="MS Mincho"/>
          <w:b/>
          <w:lang w:val="en-US" w:eastAsia="ja-JP"/>
        </w:rPr>
        <w:t xml:space="preserve">absolute </w:t>
      </w:r>
      <w:r w:rsidRPr="00895138">
        <w:rPr>
          <w:rFonts w:eastAsia="MS Mincho"/>
          <w:b/>
          <w:lang w:val="en-US" w:eastAsia="ja-JP"/>
        </w:rPr>
        <w:t>accuracy of ±</w:t>
      </w:r>
      <w:r>
        <w:rPr>
          <w:rFonts w:eastAsia="MS Mincho"/>
          <w:b/>
          <w:lang w:val="en-US" w:eastAsia="ja-JP"/>
        </w:rPr>
        <w:t xml:space="preserve">6 </w:t>
      </w:r>
      <w:r w:rsidRPr="00895138">
        <w:rPr>
          <w:rFonts w:eastAsia="MS Mincho"/>
          <w:b/>
          <w:lang w:val="en-US" w:eastAsia="ja-JP"/>
        </w:rPr>
        <w:t>dB shall be adopted</w:t>
      </w:r>
      <w:r>
        <w:rPr>
          <w:rFonts w:eastAsia="MS Mincho"/>
          <w:b/>
          <w:lang w:val="en-US" w:eastAsia="ja-JP"/>
        </w:rPr>
        <w:t xml:space="preserve"> for FR2</w:t>
      </w:r>
      <w:r w:rsidRPr="00895138">
        <w:rPr>
          <w:rFonts w:eastAsia="MS Mincho"/>
          <w:b/>
          <w:lang w:val="en-US" w:eastAsia="ja-JP"/>
        </w:rPr>
        <w:t>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345AED5" w14:textId="77777777" w:rsidR="00CC68B4" w:rsidRDefault="00CC68B4" w:rsidP="00CC68B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R4-1800964, “Updated Results for SS RSRP measurements in NR”, Qualcomm</w:t>
      </w:r>
    </w:p>
    <w:p w14:paraId="729579F0" w14:textId="62E339F7" w:rsidR="003B3AB1" w:rsidRPr="003B3AB1" w:rsidRDefault="00CC68B4" w:rsidP="00CC68B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R4-1706904, “Link-level simulation assumptions for SS block measurements”, Ericsson</w:t>
      </w:r>
    </w:p>
    <w:sectPr w:rsidR="003B3AB1" w:rsidRPr="003B3AB1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0BFD4" w14:textId="77777777" w:rsidR="00B6620A" w:rsidRDefault="00B6620A">
      <w:r>
        <w:separator/>
      </w:r>
    </w:p>
  </w:endnote>
  <w:endnote w:type="continuationSeparator" w:id="0">
    <w:p w14:paraId="6F1BDDFB" w14:textId="77777777" w:rsidR="00B6620A" w:rsidRDefault="00B6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9E7381D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15D45">
          <w:t>6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BAC4C" w14:textId="77777777" w:rsidR="00B6620A" w:rsidRDefault="00B6620A">
      <w:r>
        <w:separator/>
      </w:r>
    </w:p>
  </w:footnote>
  <w:footnote w:type="continuationSeparator" w:id="0">
    <w:p w14:paraId="68683A2C" w14:textId="77777777" w:rsidR="00B6620A" w:rsidRDefault="00B66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4D58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0F87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228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52E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094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5D45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3C08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1FD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09F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728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4D3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4A9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20A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77C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3C0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8B4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2113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065"/>
    <w:rsid w:val="00D77A26"/>
    <w:rsid w:val="00D8013F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4BA8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97C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51C1BB6D-7E7C-45DE-B28B-85651089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772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27</cp:revision>
  <cp:lastPrinted>2009-04-22T17:01:00Z</cp:lastPrinted>
  <dcterms:created xsi:type="dcterms:W3CDTF">2017-11-17T21:51:00Z</dcterms:created>
  <dcterms:modified xsi:type="dcterms:W3CDTF">2018-04-06T10:13:00Z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