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2893BB9E" w:rsidR="00380C19" w:rsidRPr="00E61854" w:rsidRDefault="00380C19" w:rsidP="00B762A7">
      <w:pPr>
        <w:widowControl w:val="0"/>
        <w:tabs>
          <w:tab w:val="right" w:pos="9639"/>
          <w:tab w:val="right" w:pos="13323"/>
        </w:tabs>
        <w:spacing w:after="0"/>
        <w:jc w:val="both"/>
        <w:rPr>
          <w:rFonts w:ascii="Arial" w:eastAsia="ＭＳ 明朝" w:hAnsi="Arial" w:cs="Arial"/>
          <w:b/>
          <w:noProof/>
          <w:sz w:val="24"/>
          <w:szCs w:val="24"/>
          <w:lang w:val="en-US" w:eastAsia="ja-JP"/>
        </w:rPr>
      </w:pPr>
      <w:bookmarkStart w:id="0" w:name="_Toc193024528"/>
      <w:r>
        <w:rPr>
          <w:rFonts w:ascii="Arial" w:hAnsi="Arial" w:cs="Arial"/>
          <w:b/>
          <w:noProof/>
          <w:sz w:val="24"/>
          <w:szCs w:val="24"/>
          <w:lang w:val="en-US"/>
        </w:rPr>
        <w:t>3GPP TSG-RAN WG4 RAN</w:t>
      </w:r>
      <w:r w:rsidR="0074435C">
        <w:rPr>
          <w:rFonts w:ascii="Arial" w:eastAsia="ＭＳ 明朝" w:hAnsi="Arial" w:cs="Arial" w:hint="eastAsia"/>
          <w:b/>
          <w:noProof/>
          <w:sz w:val="24"/>
          <w:szCs w:val="24"/>
          <w:lang w:val="en-US" w:eastAsia="ja-JP"/>
        </w:rPr>
        <w:t>#</w:t>
      </w:r>
      <w:r w:rsidR="0074435C">
        <w:rPr>
          <w:rFonts w:ascii="Arial" w:eastAsia="ＭＳ 明朝" w:hAnsi="Arial" w:cs="Arial"/>
          <w:b/>
          <w:noProof/>
          <w:sz w:val="24"/>
          <w:szCs w:val="24"/>
          <w:lang w:val="en-US" w:eastAsia="ja-JP"/>
        </w:rPr>
        <w:t>8</w:t>
      </w:r>
      <w:r w:rsidR="00A60F25">
        <w:rPr>
          <w:rFonts w:ascii="Arial" w:eastAsia="ＭＳ 明朝" w:hAnsi="Arial" w:cs="Arial"/>
          <w:b/>
          <w:noProof/>
          <w:sz w:val="24"/>
          <w:szCs w:val="24"/>
          <w:lang w:val="en-US" w:eastAsia="ja-JP"/>
        </w:rPr>
        <w:t>5</w:t>
      </w:r>
      <w:r w:rsidRPr="004B7E17">
        <w:rPr>
          <w:rFonts w:ascii="Arial" w:hAnsi="Arial" w:cs="Arial"/>
          <w:b/>
          <w:noProof/>
          <w:sz w:val="24"/>
          <w:szCs w:val="24"/>
          <w:lang w:val="en-US"/>
        </w:rPr>
        <w:tab/>
        <w:t>R4-1</w:t>
      </w:r>
      <w:r>
        <w:rPr>
          <w:rFonts w:ascii="Arial" w:hAnsi="Arial" w:cs="Arial"/>
          <w:b/>
          <w:noProof/>
          <w:sz w:val="24"/>
          <w:szCs w:val="24"/>
          <w:lang w:val="en-US"/>
        </w:rPr>
        <w:t>7</w:t>
      </w:r>
      <w:r w:rsidR="00E61854">
        <w:rPr>
          <w:rFonts w:ascii="Arial" w:eastAsia="ＭＳ 明朝" w:hAnsi="Arial" w:cs="Arial" w:hint="eastAsia"/>
          <w:b/>
          <w:noProof/>
          <w:sz w:val="24"/>
          <w:szCs w:val="24"/>
          <w:lang w:val="en-US" w:eastAsia="ja-JP"/>
        </w:rPr>
        <w:t>1</w:t>
      </w:r>
      <w:r w:rsidR="007B77FE">
        <w:rPr>
          <w:rFonts w:ascii="Arial" w:eastAsia="ＭＳ 明朝" w:hAnsi="Arial" w:cs="Arial"/>
          <w:b/>
          <w:noProof/>
          <w:sz w:val="24"/>
          <w:szCs w:val="24"/>
          <w:lang w:val="en-US" w:eastAsia="ja-JP"/>
        </w:rPr>
        <w:t>2180</w:t>
      </w:r>
    </w:p>
    <w:p w14:paraId="2EC43E54" w14:textId="1BC57F0B" w:rsidR="00A32164" w:rsidRDefault="00A60F25" w:rsidP="00B762A7">
      <w:pPr>
        <w:pStyle w:val="Footer"/>
        <w:jc w:val="both"/>
        <w:rPr>
          <w:i w:val="0"/>
          <w:noProof w:val="0"/>
          <w:sz w:val="24"/>
          <w:szCs w:val="24"/>
          <w:lang w:eastAsia="ja-JP"/>
        </w:rPr>
      </w:pPr>
      <w:r>
        <w:rPr>
          <w:rFonts w:eastAsia="SimSun"/>
          <w:i w:val="0"/>
          <w:noProof w:val="0"/>
          <w:sz w:val="24"/>
          <w:szCs w:val="24"/>
          <w:lang w:eastAsia="zh-CN"/>
        </w:rPr>
        <w:t>Reno</w:t>
      </w:r>
      <w:r w:rsidR="00380C19">
        <w:rPr>
          <w:rFonts w:eastAsia="SimSun"/>
          <w:i w:val="0"/>
          <w:noProof w:val="0"/>
          <w:sz w:val="24"/>
          <w:szCs w:val="24"/>
          <w:lang w:eastAsia="zh-CN"/>
        </w:rPr>
        <w:t xml:space="preserve">, </w:t>
      </w:r>
      <w:r>
        <w:rPr>
          <w:rFonts w:eastAsia="SimSun"/>
          <w:i w:val="0"/>
          <w:noProof w:val="0"/>
          <w:sz w:val="24"/>
          <w:szCs w:val="24"/>
          <w:lang w:eastAsia="zh-CN"/>
        </w:rPr>
        <w:t>U.S.A</w:t>
      </w:r>
      <w:r w:rsidR="00380C19">
        <w:rPr>
          <w:i w:val="0"/>
          <w:noProof w:val="0"/>
          <w:sz w:val="24"/>
          <w:szCs w:val="24"/>
          <w:lang w:eastAsia="ja-JP"/>
        </w:rPr>
        <w:t xml:space="preserve">, </w:t>
      </w:r>
      <w:r>
        <w:rPr>
          <w:i w:val="0"/>
          <w:noProof w:val="0"/>
          <w:sz w:val="24"/>
          <w:szCs w:val="24"/>
          <w:lang w:eastAsia="ja-JP"/>
        </w:rPr>
        <w:t>Novem</w:t>
      </w:r>
      <w:r w:rsidR="00FB0094">
        <w:rPr>
          <w:i w:val="0"/>
          <w:noProof w:val="0"/>
          <w:sz w:val="24"/>
          <w:szCs w:val="24"/>
          <w:lang w:eastAsia="ja-JP"/>
        </w:rPr>
        <w:t>ber</w:t>
      </w:r>
      <w:r w:rsidR="00380C19">
        <w:rPr>
          <w:i w:val="0"/>
          <w:noProof w:val="0"/>
          <w:sz w:val="24"/>
          <w:szCs w:val="24"/>
          <w:lang w:eastAsia="ja-JP"/>
        </w:rPr>
        <w:t xml:space="preserve"> </w:t>
      </w:r>
      <w:r>
        <w:rPr>
          <w:i w:val="0"/>
          <w:noProof w:val="0"/>
          <w:sz w:val="24"/>
          <w:szCs w:val="24"/>
          <w:lang w:eastAsia="ja-JP"/>
        </w:rPr>
        <w:t>27</w:t>
      </w:r>
      <w:r w:rsidR="00FB0094" w:rsidRPr="00FB0094">
        <w:rPr>
          <w:i w:val="0"/>
          <w:noProof w:val="0"/>
          <w:sz w:val="24"/>
          <w:szCs w:val="24"/>
          <w:vertAlign w:val="superscript"/>
          <w:lang w:eastAsia="ja-JP"/>
        </w:rPr>
        <w:t>th</w:t>
      </w:r>
      <w:r w:rsidR="00380C19">
        <w:rPr>
          <w:i w:val="0"/>
          <w:noProof w:val="0"/>
          <w:sz w:val="24"/>
          <w:szCs w:val="24"/>
          <w:lang w:eastAsia="ja-JP"/>
        </w:rPr>
        <w:t>-</w:t>
      </w:r>
      <w:r>
        <w:rPr>
          <w:i w:val="0"/>
          <w:noProof w:val="0"/>
          <w:sz w:val="24"/>
          <w:szCs w:val="24"/>
          <w:lang w:eastAsia="ja-JP"/>
        </w:rPr>
        <w:t>December 1</w:t>
      </w:r>
      <w:r w:rsidRPr="00A60F25">
        <w:rPr>
          <w:i w:val="0"/>
          <w:noProof w:val="0"/>
          <w:sz w:val="24"/>
          <w:szCs w:val="24"/>
          <w:vertAlign w:val="superscript"/>
          <w:lang w:eastAsia="ja-JP"/>
        </w:rPr>
        <w:t>st</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597238" w:rsidRDefault="00380C19" w:rsidP="00B762A7">
      <w:pPr>
        <w:pStyle w:val="Footer"/>
        <w:jc w:val="both"/>
        <w:rPr>
          <w:noProof w:val="0"/>
        </w:rPr>
      </w:pPr>
    </w:p>
    <w:p w14:paraId="3997F049" w14:textId="47884DE6" w:rsidR="00A32164" w:rsidRPr="000A64D8" w:rsidRDefault="00A32164" w:rsidP="00800D04">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B0094">
        <w:rPr>
          <w:rFonts w:ascii="Arial" w:hAnsi="Arial"/>
          <w:sz w:val="24"/>
        </w:rPr>
        <w:t>9.3</w:t>
      </w:r>
      <w:r w:rsidR="00D356F7">
        <w:rPr>
          <w:rFonts w:ascii="Arial" w:hAnsi="Arial"/>
          <w:sz w:val="24"/>
        </w:rPr>
        <w:t>.</w:t>
      </w:r>
      <w:r w:rsidR="00611A96">
        <w:rPr>
          <w:rFonts w:ascii="Arial" w:hAnsi="Arial"/>
          <w:sz w:val="24"/>
        </w:rPr>
        <w:t>3</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65A57619"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A0923">
        <w:rPr>
          <w:rFonts w:ascii="Arial" w:hAnsi="Arial"/>
          <w:sz w:val="22"/>
        </w:rPr>
        <w:t>RB Alignment in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0E883478" w14:textId="745CC8E6" w:rsidR="00BA6F0D" w:rsidRPr="00BA6F0D" w:rsidRDefault="0018112E" w:rsidP="0018112E">
      <w:pPr>
        <w:jc w:val="both"/>
        <w:rPr>
          <w:rFonts w:eastAsia="ＭＳ 明朝"/>
          <w:lang w:val="en-US" w:eastAsia="ja-JP"/>
        </w:rPr>
      </w:pPr>
      <w:r>
        <w:rPr>
          <w:rFonts w:eastAsia="ＭＳ 明朝"/>
          <w:lang w:val="en-US" w:eastAsia="ja-JP"/>
        </w:rPr>
        <w:t>Spectral utilization and RB alignment have been discussed for several RAN4 meetings. However, there is still some confusion on how to derive the RB placement in a channel and a WF to study this issue further was agreed [1]. In this paper we further analyze this topic and present some proposals.</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44713EE8" w14:textId="08C57217" w:rsidR="00461C54" w:rsidRDefault="00461C54" w:rsidP="005B25F1">
      <w:pPr>
        <w:jc w:val="both"/>
        <w:rPr>
          <w:rFonts w:eastAsia="ＭＳ 明朝"/>
          <w:lang w:val="en-US" w:eastAsia="ja-JP"/>
        </w:rPr>
      </w:pPr>
      <w:r>
        <w:rPr>
          <w:rFonts w:eastAsia="ＭＳ 明朝" w:hint="eastAsia"/>
          <w:lang w:val="en-US" w:eastAsia="ja-JP"/>
        </w:rPr>
        <w:t>R</w:t>
      </w:r>
      <w:r>
        <w:rPr>
          <w:rFonts w:eastAsia="ＭＳ 明朝"/>
          <w:lang w:val="en-US" w:eastAsia="ja-JP"/>
        </w:rPr>
        <w:t xml:space="preserve">B </w:t>
      </w:r>
      <w:r w:rsidR="0018112E">
        <w:rPr>
          <w:rFonts w:eastAsia="ＭＳ 明朝"/>
          <w:lang w:val="en-US" w:eastAsia="ja-JP"/>
        </w:rPr>
        <w:t xml:space="preserve">placement in a channel and </w:t>
      </w:r>
      <w:r>
        <w:rPr>
          <w:rFonts w:eastAsia="ＭＳ 明朝"/>
          <w:lang w:val="en-US" w:eastAsia="ja-JP"/>
        </w:rPr>
        <w:t xml:space="preserve">alignment </w:t>
      </w:r>
      <w:r w:rsidR="0018112E">
        <w:rPr>
          <w:rFonts w:eastAsia="ＭＳ 明朝"/>
          <w:lang w:val="en-US" w:eastAsia="ja-JP"/>
        </w:rPr>
        <w:t xml:space="preserve">among numerologies </w:t>
      </w:r>
      <w:r>
        <w:rPr>
          <w:rFonts w:eastAsia="ＭＳ 明朝"/>
          <w:lang w:val="en-US" w:eastAsia="ja-JP"/>
        </w:rPr>
        <w:t>was discussed</w:t>
      </w:r>
      <w:r w:rsidR="0018112E">
        <w:rPr>
          <w:rFonts w:eastAsia="ＭＳ 明朝"/>
          <w:lang w:val="en-US" w:eastAsia="ja-JP"/>
        </w:rPr>
        <w:t xml:space="preserve"> previous meetings</w:t>
      </w:r>
      <w:r>
        <w:rPr>
          <w:rFonts w:eastAsia="ＭＳ 明朝"/>
          <w:lang w:val="en-US" w:eastAsia="ja-JP"/>
        </w:rPr>
        <w:t>,</w:t>
      </w:r>
      <w:r w:rsidR="0018112E">
        <w:rPr>
          <w:rFonts w:eastAsia="ＭＳ 明朝"/>
          <w:lang w:val="en-US" w:eastAsia="ja-JP"/>
        </w:rPr>
        <w:t xml:space="preserve"> however, </w:t>
      </w:r>
      <w:r>
        <w:rPr>
          <w:rFonts w:eastAsia="ＭＳ 明朝"/>
          <w:lang w:val="en-US" w:eastAsia="ja-JP"/>
        </w:rPr>
        <w:t xml:space="preserve">there </w:t>
      </w:r>
      <w:r w:rsidR="0018112E">
        <w:rPr>
          <w:rFonts w:eastAsia="ＭＳ 明朝"/>
          <w:lang w:val="en-US" w:eastAsia="ja-JP"/>
        </w:rPr>
        <w:t xml:space="preserve">still </w:t>
      </w:r>
      <w:r>
        <w:rPr>
          <w:rFonts w:eastAsia="ＭＳ 明朝"/>
          <w:lang w:val="en-US" w:eastAsia="ja-JP"/>
        </w:rPr>
        <w:t xml:space="preserve">is </w:t>
      </w:r>
      <w:r w:rsidR="0018112E">
        <w:rPr>
          <w:rFonts w:eastAsia="ＭＳ 明朝"/>
          <w:lang w:val="en-US" w:eastAsia="ja-JP"/>
        </w:rPr>
        <w:t xml:space="preserve">some </w:t>
      </w:r>
      <w:r>
        <w:rPr>
          <w:rFonts w:eastAsia="ＭＳ 明朝"/>
          <w:lang w:val="en-US" w:eastAsia="ja-JP"/>
        </w:rPr>
        <w:t xml:space="preserve">confusion. </w:t>
      </w:r>
      <w:r w:rsidR="0018112E">
        <w:rPr>
          <w:rFonts w:eastAsia="ＭＳ 明朝"/>
          <w:lang w:val="en-US" w:eastAsia="ja-JP"/>
        </w:rPr>
        <w:t xml:space="preserve">The WF agreed in [1] is listing several open issues that should be addressed. We elaborate on this issue below and present solutions to the problems raised. </w:t>
      </w:r>
      <w:r w:rsidR="006F6D81">
        <w:rPr>
          <w:rFonts w:eastAsia="ＭＳ 明朝"/>
          <w:lang w:val="en-US" w:eastAsia="ja-JP"/>
        </w:rPr>
        <w:t>RAN1 previously agreed that subcarrier 0 of a higher order numerology has to be aligned with subcarrier 0 of a lower order numerology. This agreement introduces some boundariers on RB alignment, however, is not enough to derive the boundaries of all the RBs in a channel.</w:t>
      </w:r>
    </w:p>
    <w:p w14:paraId="2DD5A712" w14:textId="101CBBE2" w:rsidR="004A7DCF" w:rsidRDefault="006F6D81" w:rsidP="006F6D81">
      <w:pPr>
        <w:jc w:val="both"/>
        <w:rPr>
          <w:rFonts w:eastAsia="ＭＳ 明朝"/>
          <w:lang w:val="en-US" w:eastAsia="ja-JP"/>
        </w:rPr>
      </w:pPr>
      <w:r>
        <w:rPr>
          <w:rFonts w:eastAsia="ＭＳ 明朝" w:hint="eastAsia"/>
          <w:lang w:val="en-US" w:eastAsia="ja-JP"/>
        </w:rPr>
        <w:t>R</w:t>
      </w:r>
      <w:r>
        <w:rPr>
          <w:rFonts w:eastAsia="ＭＳ 明朝"/>
          <w:lang w:val="en-US" w:eastAsia="ja-JP"/>
        </w:rPr>
        <w:t xml:space="preserve">AN4 agreed the maximum spectral utilization for different numerologies in [2]. </w:t>
      </w:r>
      <w:r w:rsidR="004A7DCF">
        <w:rPr>
          <w:rFonts w:eastAsia="ＭＳ 明朝"/>
          <w:lang w:val="en-US" w:eastAsia="ja-JP"/>
        </w:rPr>
        <w:t>Considering this and the RAN1 agreement described above there could still be multiple ways to alocate RBs with different numerologies in a channel. This is illustrated in Figures 1-a and 1-b with a 5MHz example and 15kHz and 30kHz numerologies.</w:t>
      </w:r>
    </w:p>
    <w:p w14:paraId="754D6ED9" w14:textId="3A977AF0" w:rsidR="004A7DCF" w:rsidRDefault="004A7DCF" w:rsidP="006F6D81">
      <w:pPr>
        <w:jc w:val="both"/>
        <w:rPr>
          <w:rFonts w:eastAsia="ＭＳ 明朝"/>
          <w:lang w:val="en-US" w:eastAsia="ja-JP"/>
        </w:rPr>
      </w:pPr>
      <w:r>
        <w:object w:dxaOrig="8021" w:dyaOrig="2494" w14:anchorId="62EC6876">
          <v:shape id="_x0000_i1026" type="#_x0000_t75" style="width:233.5pt;height:73pt;mso-position-horizontal:absolute" o:ole="">
            <v:imagedata r:id="rId13" o:title=""/>
          </v:shape>
          <o:OLEObject Type="Embed" ProgID="Visio.Drawing.11" ShapeID="_x0000_i1026" DrawAspect="Content" ObjectID="_1572494001" r:id="rId14"/>
        </w:object>
      </w:r>
      <w:r>
        <w:t xml:space="preserve"> </w:t>
      </w:r>
      <w:r>
        <w:object w:dxaOrig="8021" w:dyaOrig="2494" w14:anchorId="3025A213">
          <v:shape id="_x0000_i1027" type="#_x0000_t75" style="width:236pt;height:73pt;mso-position-horizontal:absolute" o:ole="">
            <v:imagedata r:id="rId15" o:title=""/>
          </v:shape>
          <o:OLEObject Type="Embed" ProgID="Visio.Drawing.11" ShapeID="_x0000_i1027" DrawAspect="Content" ObjectID="_1572494002" r:id="rId16"/>
        </w:object>
      </w:r>
    </w:p>
    <w:p w14:paraId="2FDD270D" w14:textId="680B339A" w:rsidR="004A7DCF" w:rsidRDefault="004A7DCF" w:rsidP="006F6D81">
      <w:pPr>
        <w:jc w:val="both"/>
        <w:rPr>
          <w:rFonts w:eastAsia="ＭＳ 明朝"/>
          <w:lang w:val="en-US" w:eastAsia="ja-JP"/>
        </w:rPr>
      </w:pPr>
      <w:r>
        <w:rPr>
          <w:rFonts w:eastAsia="ＭＳ 明朝" w:hint="eastAsia"/>
          <w:lang w:val="en-US" w:eastAsia="ja-JP"/>
        </w:rPr>
        <w:t>F</w:t>
      </w:r>
      <w:r>
        <w:rPr>
          <w:rFonts w:eastAsia="ＭＳ 明朝"/>
          <w:lang w:val="en-US" w:eastAsia="ja-JP"/>
        </w:rPr>
        <w:t>igure 1-a. RB placement in a 5MHz channel</w:t>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t>Figure 1-b. RB placement in a 5MHz channel</w:t>
      </w:r>
    </w:p>
    <w:p w14:paraId="4E494791" w14:textId="6BBDA62E" w:rsidR="004A7DCF" w:rsidRDefault="004A7DCF" w:rsidP="006F6D81">
      <w:pPr>
        <w:jc w:val="both"/>
        <w:rPr>
          <w:rFonts w:eastAsia="ＭＳ 明朝"/>
          <w:lang w:val="en-US" w:eastAsia="ja-JP"/>
        </w:rPr>
      </w:pPr>
      <w:r>
        <w:rPr>
          <w:rFonts w:eastAsia="ＭＳ 明朝" w:hint="eastAsia"/>
          <w:lang w:val="en-US" w:eastAsia="ja-JP"/>
        </w:rPr>
        <w:t>F</w:t>
      </w:r>
      <w:r>
        <w:rPr>
          <w:rFonts w:eastAsia="ＭＳ 明朝"/>
          <w:lang w:val="en-US" w:eastAsia="ja-JP"/>
        </w:rPr>
        <w:t>rom the agreed spectral utilization the minimum guardband needed to meet the emission requirements can be derived. The RBs for all numerologies have to be placed in the channel such that this minimum guardband is met. This introduces another boundary on the RB placement options, however, most likely this is not enough to derive the RB placement as will be discussed below.</w:t>
      </w:r>
    </w:p>
    <w:p w14:paraId="6867258F" w14:textId="77777777" w:rsidR="006F6D81" w:rsidRDefault="0018112E" w:rsidP="005B25F1">
      <w:pPr>
        <w:jc w:val="both"/>
        <w:rPr>
          <w:rFonts w:eastAsia="ＭＳ 明朝"/>
          <w:lang w:val="en-US" w:eastAsia="ja-JP"/>
        </w:rPr>
      </w:pPr>
      <w:r>
        <w:rPr>
          <w:rFonts w:eastAsia="ＭＳ 明朝"/>
          <w:lang w:val="en-US" w:eastAsia="ja-JP"/>
        </w:rPr>
        <w:t xml:space="preserve">NR design introduces a lot of flexibility in how the </w:t>
      </w:r>
      <w:r w:rsidR="00461C54">
        <w:rPr>
          <w:rFonts w:eastAsia="ＭＳ 明朝"/>
          <w:lang w:val="en-US" w:eastAsia="ja-JP"/>
        </w:rPr>
        <w:t xml:space="preserve">UEs </w:t>
      </w:r>
      <w:r>
        <w:rPr>
          <w:rFonts w:eastAsia="ＭＳ 明朝"/>
          <w:lang w:val="en-US" w:eastAsia="ja-JP"/>
        </w:rPr>
        <w:t xml:space="preserve">operate in different channel bandwidths. It is already agreed that UEs could support different channel bandwdiths and should be able to </w:t>
      </w:r>
      <w:r w:rsidR="00461C54">
        <w:rPr>
          <w:rFonts w:eastAsia="ＭＳ 明朝"/>
          <w:lang w:val="en-US" w:eastAsia="ja-JP"/>
        </w:rPr>
        <w:t xml:space="preserve">operate in different </w:t>
      </w:r>
      <w:r>
        <w:rPr>
          <w:rFonts w:eastAsia="ＭＳ 明朝"/>
          <w:lang w:val="en-US" w:eastAsia="ja-JP"/>
        </w:rPr>
        <w:t>gNB</w:t>
      </w:r>
      <w:r w:rsidR="00461C54">
        <w:rPr>
          <w:rFonts w:eastAsia="ＭＳ 明朝"/>
          <w:lang w:val="en-US" w:eastAsia="ja-JP"/>
        </w:rPr>
        <w:t xml:space="preserve"> channel </w:t>
      </w:r>
      <w:r>
        <w:rPr>
          <w:rFonts w:eastAsia="ＭＳ 明朝"/>
          <w:lang w:val="en-US" w:eastAsia="ja-JP"/>
        </w:rPr>
        <w:t>bandwidths(e.g. UE operates in 100MHz while the gNB channel is 400MHz).</w:t>
      </w:r>
      <w:r w:rsidR="00461C54">
        <w:rPr>
          <w:rFonts w:eastAsia="ＭＳ 明朝"/>
          <w:lang w:val="en-US" w:eastAsia="ja-JP"/>
        </w:rPr>
        <w:t xml:space="preserve"> </w:t>
      </w:r>
      <w:r>
        <w:rPr>
          <w:rFonts w:eastAsia="ＭＳ 明朝"/>
          <w:lang w:val="en-US" w:eastAsia="ja-JP"/>
        </w:rPr>
        <w:t xml:space="preserve">In order to enable such operation and to also maintain future compatibility(e.g. addition of new channel bandwdiths), </w:t>
      </w:r>
      <w:r w:rsidR="00461C54">
        <w:rPr>
          <w:rFonts w:eastAsia="ＭＳ 明朝"/>
          <w:lang w:val="en-US" w:eastAsia="ja-JP"/>
        </w:rPr>
        <w:t xml:space="preserve">the </w:t>
      </w:r>
      <w:r>
        <w:rPr>
          <w:rFonts w:eastAsia="ＭＳ 明朝"/>
          <w:lang w:val="en-US" w:eastAsia="ja-JP"/>
        </w:rPr>
        <w:t xml:space="preserve">UE should be able to operate in any gNB </w:t>
      </w:r>
      <w:r w:rsidR="00461C54">
        <w:rPr>
          <w:rFonts w:eastAsia="ＭＳ 明朝"/>
          <w:lang w:val="en-US" w:eastAsia="ja-JP"/>
        </w:rPr>
        <w:t xml:space="preserve">channel </w:t>
      </w:r>
      <w:r>
        <w:rPr>
          <w:rFonts w:eastAsia="ＭＳ 明朝"/>
          <w:lang w:val="en-US" w:eastAsia="ja-JP"/>
        </w:rPr>
        <w:t>bandwidth</w:t>
      </w:r>
      <w:r w:rsidR="006F6D81">
        <w:rPr>
          <w:rFonts w:eastAsia="ＭＳ 明朝"/>
          <w:lang w:val="en-US" w:eastAsia="ja-JP"/>
        </w:rPr>
        <w:t xml:space="preserve"> in a transparent way(UE does not need to be aware of the gNB channel bandwidth). As such, UE should be able to derive the RB placement/alignment for supported numerologies without knowing the gNB channel bandwidth or boundaries. </w:t>
      </w:r>
    </w:p>
    <w:p w14:paraId="6E07228D" w14:textId="495833D1" w:rsidR="006F6D81" w:rsidRPr="00686F04" w:rsidRDefault="006F6D81" w:rsidP="005B25F1">
      <w:pPr>
        <w:jc w:val="both"/>
        <w:rPr>
          <w:rFonts w:eastAsia="ＭＳ 明朝"/>
          <w:b/>
          <w:lang w:val="en-US" w:eastAsia="ja-JP"/>
        </w:rPr>
      </w:pPr>
      <w:r w:rsidRPr="00686F04">
        <w:rPr>
          <w:rFonts w:eastAsia="ＭＳ 明朝" w:hint="eastAsia"/>
          <w:b/>
          <w:lang w:val="en-US" w:eastAsia="ja-JP"/>
        </w:rPr>
        <w:t>O</w:t>
      </w:r>
      <w:r w:rsidRPr="00686F04">
        <w:rPr>
          <w:rFonts w:eastAsia="ＭＳ 明朝"/>
          <w:b/>
          <w:lang w:val="en-US" w:eastAsia="ja-JP"/>
        </w:rPr>
        <w:t>bservation 1. UE should be able to derive the RB placement/alignment for supported numerologies without knowing the gNB channel bandwidth or boundaries.</w:t>
      </w:r>
    </w:p>
    <w:p w14:paraId="57C8AB59" w14:textId="02F21C0C" w:rsidR="00E134DB" w:rsidRDefault="00E134DB" w:rsidP="005B25F1">
      <w:pPr>
        <w:jc w:val="both"/>
        <w:rPr>
          <w:rFonts w:eastAsia="ＭＳ 明朝"/>
          <w:lang w:val="en-US" w:eastAsia="ja-JP"/>
        </w:rPr>
      </w:pPr>
      <w:r>
        <w:rPr>
          <w:rFonts w:eastAsia="ＭＳ 明朝"/>
          <w:lang w:val="en-US" w:eastAsia="ja-JP"/>
        </w:rPr>
        <w:t>This observation is explained in Figure 2. In this example the gNB is operating a 10MHz channel and UE1 and UE2 are each assigned a 5MHz channel within this 10MHz channel. Depending on where the 5MHz channel is placed, the RB alignment is different from a UE point of view. The UE should be able to derive the RB placement without knowing the gNB channel bandwidth.</w:t>
      </w:r>
    </w:p>
    <w:p w14:paraId="47F0A112" w14:textId="07B34FB6" w:rsidR="004A7DCF" w:rsidRDefault="00E134DB" w:rsidP="00E92E71">
      <w:pPr>
        <w:jc w:val="center"/>
        <w:rPr>
          <w:rFonts w:eastAsia="ＭＳ 明朝"/>
          <w:lang w:val="en-US" w:eastAsia="ja-JP"/>
        </w:rPr>
      </w:pPr>
      <w:r>
        <w:object w:dxaOrig="16257" w:dyaOrig="4507" w14:anchorId="6CFC9AE8">
          <v:shape id="_x0000_i1028" type="#_x0000_t75" style="width:482pt;height:133pt" o:ole="">
            <v:imagedata r:id="rId17" o:title=""/>
          </v:shape>
          <o:OLEObject Type="Embed" ProgID="Visio.Drawing.11" ShapeID="_x0000_i1028" DrawAspect="Content" ObjectID="_1572494003" r:id="rId18"/>
        </w:object>
      </w:r>
    </w:p>
    <w:p w14:paraId="6EFD1818" w14:textId="0278B501" w:rsidR="004A7DCF" w:rsidRDefault="00E134DB" w:rsidP="00E92E71">
      <w:pPr>
        <w:jc w:val="center"/>
        <w:rPr>
          <w:rFonts w:eastAsia="ＭＳ 明朝"/>
          <w:lang w:val="en-US" w:eastAsia="ja-JP"/>
        </w:rPr>
      </w:pPr>
      <w:r>
        <w:rPr>
          <w:rFonts w:eastAsia="ＭＳ 明朝" w:hint="eastAsia"/>
          <w:lang w:val="en-US" w:eastAsia="ja-JP"/>
        </w:rPr>
        <w:t>F</w:t>
      </w:r>
      <w:r>
        <w:rPr>
          <w:rFonts w:eastAsia="ＭＳ 明朝"/>
          <w:lang w:val="en-US" w:eastAsia="ja-JP"/>
        </w:rPr>
        <w:t>igure 2. RB alignment for UEs operating a narrower channel within a larger gNB channel</w:t>
      </w:r>
    </w:p>
    <w:p w14:paraId="79F233C3" w14:textId="5747868B" w:rsidR="004A7DCF" w:rsidRDefault="00E134DB" w:rsidP="005B25F1">
      <w:pPr>
        <w:jc w:val="both"/>
        <w:rPr>
          <w:rFonts w:eastAsia="ＭＳ 明朝"/>
          <w:lang w:val="en-US" w:eastAsia="ja-JP"/>
        </w:rPr>
      </w:pPr>
      <w:r>
        <w:rPr>
          <w:rFonts w:eastAsia="ＭＳ 明朝" w:hint="eastAsia"/>
          <w:lang w:val="en-US" w:eastAsia="ja-JP"/>
        </w:rPr>
        <w:t>I</w:t>
      </w:r>
      <w:r>
        <w:rPr>
          <w:rFonts w:eastAsia="ＭＳ 明朝"/>
          <w:lang w:val="en-US" w:eastAsia="ja-JP"/>
        </w:rPr>
        <w:t xml:space="preserve">n RAN4 it was already shown that based on the minimum guard band requirements and the RAN1 agreement on </w:t>
      </w:r>
      <w:r w:rsidR="00686F04">
        <w:rPr>
          <w:rFonts w:eastAsia="ＭＳ 明朝"/>
          <w:lang w:val="en-US" w:eastAsia="ja-JP"/>
        </w:rPr>
        <w:t xml:space="preserve">subcarrier 0 alignment, the resulting guardband could become asymmetric for some numerologies. Consequently, the number of RBs might have to be reduced compared to the maximum as documented in [2]. In order to maximize the spectral utilization, the gNB should be pick the “reference” subcarrier spacing for which it wants to optimize the spectral utilization and align the RBs among numerologies such that the minimum guardband is not violated. </w:t>
      </w:r>
    </w:p>
    <w:p w14:paraId="263D1D99" w14:textId="3EAF9F3F" w:rsidR="00686F04" w:rsidRPr="00686F04" w:rsidRDefault="00686F04" w:rsidP="005B25F1">
      <w:pPr>
        <w:jc w:val="both"/>
        <w:rPr>
          <w:rFonts w:eastAsia="ＭＳ 明朝"/>
          <w:b/>
          <w:lang w:val="en-US" w:eastAsia="ja-JP"/>
        </w:rPr>
      </w:pPr>
      <w:r w:rsidRPr="00686F04">
        <w:rPr>
          <w:rFonts w:eastAsia="ＭＳ 明朝"/>
          <w:b/>
          <w:lang w:val="en-US" w:eastAsia="ja-JP"/>
        </w:rPr>
        <w:t xml:space="preserve">Observation 2. The gNB should pick the RB placement for different numerologies to optimize spectral utilization while meeting the minimum guardband requirements derived based on the maximum spectral utilization. </w:t>
      </w:r>
    </w:p>
    <w:p w14:paraId="70F6564D" w14:textId="3BC8BEF2" w:rsidR="00686F04" w:rsidRDefault="00686F04" w:rsidP="005B25F1">
      <w:pPr>
        <w:jc w:val="both"/>
        <w:rPr>
          <w:rFonts w:eastAsia="ＭＳ 明朝"/>
          <w:lang w:val="en-US" w:eastAsia="ja-JP"/>
        </w:rPr>
      </w:pPr>
      <w:r>
        <w:rPr>
          <w:rFonts w:eastAsia="ＭＳ 明朝"/>
          <w:lang w:val="en-US" w:eastAsia="ja-JP"/>
        </w:rPr>
        <w:t>In</w:t>
      </w:r>
      <w:r w:rsidR="006374C8">
        <w:rPr>
          <w:rFonts w:eastAsia="ＭＳ 明朝"/>
          <w:lang w:val="en-US" w:eastAsia="ja-JP"/>
        </w:rPr>
        <w:t xml:space="preserve"> order for the UE to derive the RB placement that is chosen by the gNB, signaling from the gNB would be needed. The network would have to inform the UE of a reference point in which the subcarrier 0 for all numerologies supported in the channel is aligned. RAN4 should send an LS to RAN1/2 about the need for this signaling mechanism. The detailed signaling mechanism could be left to RAN1/2. Some possible signaling options for reference points are further discussed in [X]. </w:t>
      </w:r>
    </w:p>
    <w:p w14:paraId="1E8E9585" w14:textId="2C630E4A" w:rsidR="00C91500" w:rsidRPr="006374C8" w:rsidRDefault="006374C8" w:rsidP="005B25F1">
      <w:pPr>
        <w:jc w:val="both"/>
        <w:rPr>
          <w:rFonts w:eastAsia="ＭＳ 明朝"/>
          <w:b/>
          <w:lang w:val="en-US" w:eastAsia="ja-JP"/>
        </w:rPr>
      </w:pPr>
      <w:r w:rsidRPr="006374C8">
        <w:rPr>
          <w:rFonts w:eastAsia="ＭＳ 明朝" w:hint="eastAsia"/>
          <w:b/>
          <w:lang w:val="en-US" w:eastAsia="ja-JP"/>
        </w:rPr>
        <w:t>P</w:t>
      </w:r>
      <w:r w:rsidRPr="006374C8">
        <w:rPr>
          <w:rFonts w:eastAsia="ＭＳ 明朝"/>
          <w:b/>
          <w:lang w:val="en-US" w:eastAsia="ja-JP"/>
        </w:rPr>
        <w:t>roposal 1. Introduce signaling from the gNB to the UE to enable the UE to derive the RB placement within the UE assigned channel. Send LS to RAN1/2 to ask them to introduce the necessary signaling.</w:t>
      </w:r>
    </w:p>
    <w:p w14:paraId="2275CC85" w14:textId="5284C0CA" w:rsidR="00FA518B" w:rsidRPr="006374C8" w:rsidRDefault="006374C8" w:rsidP="005B25F1">
      <w:pPr>
        <w:jc w:val="both"/>
        <w:rPr>
          <w:rFonts w:eastAsia="ＭＳ 明朝"/>
          <w:lang w:val="en-US" w:eastAsia="ja-JP"/>
        </w:rPr>
      </w:pPr>
      <w:r>
        <w:rPr>
          <w:rFonts w:eastAsia="ＭＳ 明朝"/>
          <w:lang w:val="en-US" w:eastAsia="ja-JP"/>
        </w:rPr>
        <w:t>One of the options described in [1] was to align RB#0 for all numerologies. Based on the agreed spectral utilization, this would lead to very inefficient utilization of spectrum because the RB locations would have to follow the highest order numerology to be used. This would results in an unnecessarily large guardband for lower order numerologies.</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25AB89B8" w14:textId="4ED48C43" w:rsidR="0032565D" w:rsidRDefault="006374C8" w:rsidP="0032565D">
      <w:pPr>
        <w:jc w:val="both"/>
        <w:rPr>
          <w:rFonts w:eastAsia="ＭＳ 明朝"/>
          <w:lang w:val="en-US" w:eastAsia="ja-JP"/>
        </w:rPr>
      </w:pPr>
      <w:r>
        <w:rPr>
          <w:rFonts w:eastAsia="ＭＳ 明朝"/>
          <w:lang w:val="en-US" w:eastAsia="ja-JP"/>
        </w:rPr>
        <w:t>In this paper we further analyzed the RB placement/alignment for NR with different numerologies. We made the following observations and proposal:</w:t>
      </w:r>
    </w:p>
    <w:p w14:paraId="5CE6CA78" w14:textId="77777777" w:rsidR="006374C8" w:rsidRPr="00686F04" w:rsidRDefault="006374C8" w:rsidP="006374C8">
      <w:pPr>
        <w:jc w:val="both"/>
        <w:rPr>
          <w:rFonts w:eastAsia="ＭＳ 明朝"/>
          <w:b/>
          <w:lang w:val="en-US" w:eastAsia="ja-JP"/>
        </w:rPr>
      </w:pPr>
      <w:r w:rsidRPr="00686F04">
        <w:rPr>
          <w:rFonts w:eastAsia="ＭＳ 明朝" w:hint="eastAsia"/>
          <w:b/>
          <w:lang w:val="en-US" w:eastAsia="ja-JP"/>
        </w:rPr>
        <w:t>O</w:t>
      </w:r>
      <w:r w:rsidRPr="00686F04">
        <w:rPr>
          <w:rFonts w:eastAsia="ＭＳ 明朝"/>
          <w:b/>
          <w:lang w:val="en-US" w:eastAsia="ja-JP"/>
        </w:rPr>
        <w:t>bservation 1. UE should be able to derive the RB placement/alignment for supported numerologies without knowing the gNB channel bandwidth or boundaries.</w:t>
      </w:r>
    </w:p>
    <w:p w14:paraId="08264A91" w14:textId="4DCFEECD" w:rsidR="006374C8" w:rsidRPr="00686F04" w:rsidRDefault="006374C8" w:rsidP="006374C8">
      <w:pPr>
        <w:jc w:val="both"/>
        <w:rPr>
          <w:rFonts w:eastAsia="ＭＳ 明朝"/>
          <w:b/>
          <w:lang w:val="en-US" w:eastAsia="ja-JP"/>
        </w:rPr>
      </w:pPr>
      <w:r w:rsidRPr="00686F04">
        <w:rPr>
          <w:rFonts w:eastAsia="ＭＳ 明朝"/>
          <w:b/>
          <w:lang w:val="en-US" w:eastAsia="ja-JP"/>
        </w:rPr>
        <w:t xml:space="preserve">Observation 2. The gNB should pick the RB placement for different numerologies to optimize spectral utilization while meeting the minimum guardband requirements derived based on the maximum spectral utilization. </w:t>
      </w:r>
    </w:p>
    <w:p w14:paraId="4B15B8FC" w14:textId="31E685C2" w:rsidR="006374C8" w:rsidRPr="006374C8" w:rsidRDefault="006374C8" w:rsidP="0032565D">
      <w:pPr>
        <w:jc w:val="both"/>
        <w:rPr>
          <w:rFonts w:eastAsia="ＭＳ 明朝"/>
          <w:lang w:val="en-US" w:eastAsia="ja-JP"/>
        </w:rPr>
      </w:pPr>
      <w:r w:rsidRPr="006374C8">
        <w:rPr>
          <w:rFonts w:eastAsia="ＭＳ 明朝" w:hint="eastAsia"/>
          <w:b/>
          <w:lang w:val="en-US" w:eastAsia="ja-JP"/>
        </w:rPr>
        <w:t>P</w:t>
      </w:r>
      <w:r w:rsidRPr="006374C8">
        <w:rPr>
          <w:rFonts w:eastAsia="ＭＳ 明朝"/>
          <w:b/>
          <w:lang w:val="en-US" w:eastAsia="ja-JP"/>
        </w:rPr>
        <w:t>roposal 1. Introduce signaling from the gNB to the UE to enable the UE to derive the RB placement within the UE assigned channel. Send LS to RAN1/2 to ask them to introduce the necessary signaling.</w:t>
      </w:r>
      <w:bookmarkStart w:id="4" w:name="_GoBack"/>
      <w:bookmarkEnd w:id="4"/>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1B172953" w14:textId="70B397BD" w:rsidR="00FB0094" w:rsidRPr="00AA6E2E" w:rsidRDefault="00FB0094" w:rsidP="00AA6E2E">
      <w:pPr>
        <w:numPr>
          <w:ilvl w:val="0"/>
          <w:numId w:val="10"/>
        </w:numPr>
        <w:overflowPunct w:val="0"/>
        <w:autoSpaceDE w:val="0"/>
        <w:autoSpaceDN w:val="0"/>
        <w:adjustRightInd w:val="0"/>
        <w:jc w:val="both"/>
        <w:rPr>
          <w:rFonts w:eastAsia="ＭＳ 明朝"/>
          <w:lang w:val="en-US" w:eastAsia="ja-JP"/>
        </w:rPr>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rFonts w:eastAsia="ＭＳ 明朝" w:hint="eastAsia"/>
          <w:lang w:eastAsia="ja-JP"/>
        </w:rPr>
        <w:t>R4-1</w:t>
      </w:r>
      <w:r w:rsidR="00A60F25">
        <w:rPr>
          <w:rFonts w:eastAsia="ＭＳ 明朝"/>
          <w:lang w:eastAsia="ja-JP"/>
        </w:rPr>
        <w:t>711</w:t>
      </w:r>
      <w:r w:rsidR="00AA6E2E">
        <w:rPr>
          <w:rFonts w:eastAsia="ＭＳ 明朝"/>
          <w:lang w:eastAsia="ja-JP"/>
        </w:rPr>
        <w:t>736</w:t>
      </w:r>
      <w:r>
        <w:rPr>
          <w:rFonts w:eastAsia="ＭＳ 明朝" w:hint="eastAsia"/>
          <w:lang w:eastAsia="ja-JP"/>
        </w:rPr>
        <w:t xml:space="preserve">, </w:t>
      </w:r>
      <w:r>
        <w:rPr>
          <w:rFonts w:eastAsia="ＭＳ 明朝"/>
          <w:lang w:eastAsia="ja-JP"/>
        </w:rPr>
        <w:t>“</w:t>
      </w:r>
      <w:r w:rsidR="00AA6E2E" w:rsidRPr="00AA6E2E">
        <w:rPr>
          <w:rFonts w:eastAsia="ＭＳ 明朝"/>
          <w:lang w:val="sv-SE" w:eastAsia="ja-JP"/>
        </w:rPr>
        <w:t>WF on NR spectrum utilization</w:t>
      </w:r>
      <w:r w:rsidRPr="00AA6E2E">
        <w:rPr>
          <w:rFonts w:eastAsia="ＭＳ 明朝"/>
          <w:lang w:val="de-DE" w:eastAsia="ja-JP"/>
        </w:rPr>
        <w:t xml:space="preserve">“, </w:t>
      </w:r>
      <w:r w:rsidR="00AA6E2E">
        <w:rPr>
          <w:rFonts w:eastAsia="ＭＳ 明朝"/>
          <w:lang w:val="de-DE" w:eastAsia="ja-JP"/>
        </w:rPr>
        <w:t>ZTE</w:t>
      </w:r>
      <w:r w:rsidRPr="00AA6E2E">
        <w:rPr>
          <w:rFonts w:eastAsia="ＭＳ 明朝"/>
          <w:lang w:val="de-DE" w:eastAsia="ja-JP"/>
        </w:rPr>
        <w:t xml:space="preserve"> </w:t>
      </w:r>
    </w:p>
    <w:p w14:paraId="315CB000" w14:textId="4CCE788A" w:rsidR="006374C8" w:rsidRPr="006374C8" w:rsidRDefault="006F6D81" w:rsidP="006374C8">
      <w:pPr>
        <w:numPr>
          <w:ilvl w:val="0"/>
          <w:numId w:val="10"/>
        </w:numPr>
        <w:overflowPunct w:val="0"/>
        <w:autoSpaceDE w:val="0"/>
        <w:autoSpaceDN w:val="0"/>
        <w:adjustRightInd w:val="0"/>
        <w:jc w:val="both"/>
        <w:rPr>
          <w:rFonts w:eastAsia="ＭＳ 明朝"/>
          <w:lang w:val="en-US" w:eastAsia="ja-JP"/>
        </w:rPr>
      </w:pPr>
      <w:r w:rsidRPr="006F6D81">
        <w:rPr>
          <w:rFonts w:eastAsia="ＭＳ 明朝"/>
          <w:lang w:eastAsia="ja-JP"/>
        </w:rPr>
        <w:t>R4-1709075</w:t>
      </w:r>
      <w:r w:rsidR="00D356F7">
        <w:rPr>
          <w:rFonts w:eastAsia="ＭＳ 明朝" w:hint="eastAsia"/>
          <w:lang w:eastAsia="ja-JP"/>
        </w:rPr>
        <w:t xml:space="preserve">, </w:t>
      </w:r>
      <w:r w:rsidR="00D356F7">
        <w:rPr>
          <w:rFonts w:eastAsia="ＭＳ 明朝"/>
          <w:lang w:eastAsia="ja-JP"/>
        </w:rPr>
        <w:t>“</w:t>
      </w:r>
      <w:r w:rsidR="006374C8" w:rsidRPr="006374C8">
        <w:rPr>
          <w:rFonts w:eastAsia="ＭＳ 明朝"/>
          <w:lang w:val="sv-SE" w:eastAsia="ja-JP"/>
        </w:rPr>
        <w:t>Way forward on spectrum utilization</w:t>
      </w:r>
      <w:r w:rsidR="006374C8">
        <w:rPr>
          <w:rFonts w:eastAsia="ＭＳ 明朝"/>
          <w:lang w:val="sv-SE" w:eastAsia="ja-JP"/>
        </w:rPr>
        <w:t>”, Samsung et al.</w:t>
      </w:r>
    </w:p>
    <w:p w14:paraId="1E48BC87" w14:textId="79E6F01A" w:rsidR="00D356F7" w:rsidRPr="00AD5814" w:rsidRDefault="00E92E71" w:rsidP="0072600A">
      <w:pPr>
        <w:numPr>
          <w:ilvl w:val="0"/>
          <w:numId w:val="10"/>
        </w:numPr>
        <w:overflowPunct w:val="0"/>
        <w:autoSpaceDE w:val="0"/>
        <w:autoSpaceDN w:val="0"/>
        <w:adjustRightInd w:val="0"/>
        <w:jc w:val="both"/>
        <w:textAlignment w:val="baseline"/>
      </w:pPr>
      <w:r>
        <w:rPr>
          <w:rFonts w:eastAsia="ＭＳ 明朝"/>
          <w:lang w:eastAsia="ja-JP"/>
        </w:rPr>
        <w:t>R4-1712181</w:t>
      </w:r>
      <w:r w:rsidR="00AD5814">
        <w:rPr>
          <w:rFonts w:eastAsia="ＭＳ 明朝"/>
          <w:lang w:eastAsia="ja-JP"/>
        </w:rPr>
        <w:t xml:space="preserve">, </w:t>
      </w:r>
      <w:r w:rsidR="0072600A">
        <w:rPr>
          <w:rFonts w:eastAsia="ＭＳ 明朝"/>
          <w:lang w:eastAsia="ja-JP"/>
        </w:rPr>
        <w:t>“</w:t>
      </w:r>
      <w:r w:rsidR="0072600A" w:rsidRPr="0072600A">
        <w:rPr>
          <w:rFonts w:eastAsia="ＭＳ 明朝"/>
          <w:lang w:eastAsia="ja-JP"/>
        </w:rPr>
        <w:t>Synchronization Raster and Frequency Location Signalling in NR</w:t>
      </w:r>
      <w:r w:rsidR="0072600A">
        <w:rPr>
          <w:rFonts w:eastAsia="ＭＳ 明朝"/>
          <w:lang w:eastAsia="ja-JP"/>
        </w:rPr>
        <w:t>”, Qualcomm Incorporated</w:t>
      </w:r>
      <w:bookmarkEnd w:id="0"/>
      <w:bookmarkEnd w:id="5"/>
      <w:bookmarkEnd w:id="6"/>
      <w:bookmarkEnd w:id="7"/>
      <w:bookmarkEnd w:id="8"/>
      <w:bookmarkEnd w:id="9"/>
      <w:bookmarkEnd w:id="10"/>
      <w:bookmarkEnd w:id="11"/>
    </w:p>
    <w:sectPr w:rsidR="00D356F7" w:rsidRPr="00AD5814" w:rsidSect="00A36F33">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26291" w14:textId="77777777" w:rsidR="00960DC1" w:rsidRDefault="00960DC1">
      <w:r>
        <w:separator/>
      </w:r>
    </w:p>
  </w:endnote>
  <w:endnote w:type="continuationSeparator" w:id="0">
    <w:p w14:paraId="3F17D677" w14:textId="77777777" w:rsidR="00960DC1" w:rsidRDefault="0096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modern"/>
    <w:pitch w:val="fixed"/>
    <w:sig w:usb0="00000000"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4AA80850" w:rsidR="006374C8" w:rsidRDefault="006374C8">
        <w:pPr>
          <w:pStyle w:val="Footer"/>
        </w:pPr>
        <w:r>
          <w:rPr>
            <w:noProof w:val="0"/>
          </w:rPr>
          <w:fldChar w:fldCharType="begin"/>
        </w:r>
        <w:r>
          <w:instrText xml:space="preserve"> PAGE   \* MERGEFORMAT </w:instrText>
        </w:r>
        <w:r>
          <w:rPr>
            <w:noProof w:val="0"/>
          </w:rPr>
          <w:fldChar w:fldCharType="separate"/>
        </w:r>
        <w:r w:rsidR="00703130">
          <w:t>2</w:t>
        </w:r>
        <w:r>
          <w:fldChar w:fldCharType="end"/>
        </w:r>
      </w:p>
    </w:sdtContent>
  </w:sdt>
  <w:p w14:paraId="1DE43AF8" w14:textId="4D47B3D2" w:rsidR="006374C8" w:rsidRDefault="006374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29B6B" w14:textId="77777777" w:rsidR="00960DC1" w:rsidRDefault="00960DC1">
      <w:r>
        <w:separator/>
      </w:r>
    </w:p>
  </w:footnote>
  <w:footnote w:type="continuationSeparator" w:id="0">
    <w:p w14:paraId="370C1164" w14:textId="77777777" w:rsidR="00960DC1" w:rsidRDefault="00960D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16pt;height:1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063E7D"/>
    <w:multiLevelType w:val="hybridMultilevel"/>
    <w:tmpl w:val="EC3C6AB2"/>
    <w:lvl w:ilvl="0" w:tplc="CF429B90">
      <w:start w:val="1"/>
      <w:numFmt w:val="bullet"/>
      <w:lvlText w:val=""/>
      <w:lvlJc w:val="left"/>
      <w:pPr>
        <w:tabs>
          <w:tab w:val="num" w:pos="720"/>
        </w:tabs>
        <w:ind w:left="720" w:hanging="360"/>
      </w:pPr>
      <w:rPr>
        <w:rFonts w:ascii="Symbol" w:hAnsi="Symbol" w:hint="default"/>
      </w:rPr>
    </w:lvl>
    <w:lvl w:ilvl="1" w:tplc="7D8857B4">
      <w:numFmt w:val="bullet"/>
      <w:lvlText w:val="−"/>
      <w:lvlJc w:val="left"/>
      <w:pPr>
        <w:tabs>
          <w:tab w:val="num" w:pos="1440"/>
        </w:tabs>
        <w:ind w:left="1440" w:hanging="360"/>
      </w:pPr>
      <w:rPr>
        <w:rFonts w:ascii="Calibre Regular" w:hAnsi="Calibre Regular" w:hint="default"/>
      </w:rPr>
    </w:lvl>
    <w:lvl w:ilvl="2" w:tplc="2C063B94">
      <w:numFmt w:val="bullet"/>
      <w:lvlText w:val="−"/>
      <w:lvlJc w:val="left"/>
      <w:pPr>
        <w:tabs>
          <w:tab w:val="num" w:pos="2160"/>
        </w:tabs>
        <w:ind w:left="2160" w:hanging="360"/>
      </w:pPr>
      <w:rPr>
        <w:rFonts w:ascii="Calibre Regular" w:hAnsi="Calibre Regular" w:hint="default"/>
      </w:rPr>
    </w:lvl>
    <w:lvl w:ilvl="3" w:tplc="F8B4AE46" w:tentative="1">
      <w:start w:val="1"/>
      <w:numFmt w:val="bullet"/>
      <w:lvlText w:val=""/>
      <w:lvlJc w:val="left"/>
      <w:pPr>
        <w:tabs>
          <w:tab w:val="num" w:pos="2880"/>
        </w:tabs>
        <w:ind w:left="2880" w:hanging="360"/>
      </w:pPr>
      <w:rPr>
        <w:rFonts w:ascii="Symbol" w:hAnsi="Symbol" w:hint="default"/>
      </w:rPr>
    </w:lvl>
    <w:lvl w:ilvl="4" w:tplc="3A7E7474" w:tentative="1">
      <w:start w:val="1"/>
      <w:numFmt w:val="bullet"/>
      <w:lvlText w:val=""/>
      <w:lvlJc w:val="left"/>
      <w:pPr>
        <w:tabs>
          <w:tab w:val="num" w:pos="3600"/>
        </w:tabs>
        <w:ind w:left="3600" w:hanging="360"/>
      </w:pPr>
      <w:rPr>
        <w:rFonts w:ascii="Symbol" w:hAnsi="Symbol" w:hint="default"/>
      </w:rPr>
    </w:lvl>
    <w:lvl w:ilvl="5" w:tplc="04CA295E" w:tentative="1">
      <w:start w:val="1"/>
      <w:numFmt w:val="bullet"/>
      <w:lvlText w:val=""/>
      <w:lvlJc w:val="left"/>
      <w:pPr>
        <w:tabs>
          <w:tab w:val="num" w:pos="4320"/>
        </w:tabs>
        <w:ind w:left="4320" w:hanging="360"/>
      </w:pPr>
      <w:rPr>
        <w:rFonts w:ascii="Symbol" w:hAnsi="Symbol" w:hint="default"/>
      </w:rPr>
    </w:lvl>
    <w:lvl w:ilvl="6" w:tplc="7B86402E" w:tentative="1">
      <w:start w:val="1"/>
      <w:numFmt w:val="bullet"/>
      <w:lvlText w:val=""/>
      <w:lvlJc w:val="left"/>
      <w:pPr>
        <w:tabs>
          <w:tab w:val="num" w:pos="5040"/>
        </w:tabs>
        <w:ind w:left="5040" w:hanging="360"/>
      </w:pPr>
      <w:rPr>
        <w:rFonts w:ascii="Symbol" w:hAnsi="Symbol" w:hint="default"/>
      </w:rPr>
    </w:lvl>
    <w:lvl w:ilvl="7" w:tplc="ADC85882" w:tentative="1">
      <w:start w:val="1"/>
      <w:numFmt w:val="bullet"/>
      <w:lvlText w:val=""/>
      <w:lvlJc w:val="left"/>
      <w:pPr>
        <w:tabs>
          <w:tab w:val="num" w:pos="5760"/>
        </w:tabs>
        <w:ind w:left="5760" w:hanging="360"/>
      </w:pPr>
      <w:rPr>
        <w:rFonts w:ascii="Symbol" w:hAnsi="Symbol" w:hint="default"/>
      </w:rPr>
    </w:lvl>
    <w:lvl w:ilvl="8" w:tplc="D76E4E9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9457B0"/>
    <w:multiLevelType w:val="hybridMultilevel"/>
    <w:tmpl w:val="8C36639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033F4E"/>
    <w:multiLevelType w:val="hybridMultilevel"/>
    <w:tmpl w:val="BE5C4B16"/>
    <w:lvl w:ilvl="0" w:tplc="DF0C5624">
      <w:start w:val="1"/>
      <w:numFmt w:val="bullet"/>
      <w:lvlText w:val=""/>
      <w:lvlJc w:val="left"/>
      <w:pPr>
        <w:tabs>
          <w:tab w:val="num" w:pos="720"/>
        </w:tabs>
        <w:ind w:left="720" w:hanging="360"/>
      </w:pPr>
      <w:rPr>
        <w:rFonts w:ascii="Symbol" w:hAnsi="Symbol" w:hint="default"/>
      </w:rPr>
    </w:lvl>
    <w:lvl w:ilvl="1" w:tplc="18FE4732">
      <w:numFmt w:val="bullet"/>
      <w:lvlText w:val="−"/>
      <w:lvlJc w:val="left"/>
      <w:pPr>
        <w:tabs>
          <w:tab w:val="num" w:pos="1440"/>
        </w:tabs>
        <w:ind w:left="1440" w:hanging="360"/>
      </w:pPr>
      <w:rPr>
        <w:rFonts w:ascii="Calibre Regular" w:hAnsi="Calibre Regular" w:hint="default"/>
      </w:rPr>
    </w:lvl>
    <w:lvl w:ilvl="2" w:tplc="CF6C0638" w:tentative="1">
      <w:start w:val="1"/>
      <w:numFmt w:val="bullet"/>
      <w:lvlText w:val=""/>
      <w:lvlJc w:val="left"/>
      <w:pPr>
        <w:tabs>
          <w:tab w:val="num" w:pos="2160"/>
        </w:tabs>
        <w:ind w:left="2160" w:hanging="360"/>
      </w:pPr>
      <w:rPr>
        <w:rFonts w:ascii="Symbol" w:hAnsi="Symbol" w:hint="default"/>
      </w:rPr>
    </w:lvl>
    <w:lvl w:ilvl="3" w:tplc="D62C035E" w:tentative="1">
      <w:start w:val="1"/>
      <w:numFmt w:val="bullet"/>
      <w:lvlText w:val=""/>
      <w:lvlJc w:val="left"/>
      <w:pPr>
        <w:tabs>
          <w:tab w:val="num" w:pos="2880"/>
        </w:tabs>
        <w:ind w:left="2880" w:hanging="360"/>
      </w:pPr>
      <w:rPr>
        <w:rFonts w:ascii="Symbol" w:hAnsi="Symbol" w:hint="default"/>
      </w:rPr>
    </w:lvl>
    <w:lvl w:ilvl="4" w:tplc="A4E68338" w:tentative="1">
      <w:start w:val="1"/>
      <w:numFmt w:val="bullet"/>
      <w:lvlText w:val=""/>
      <w:lvlJc w:val="left"/>
      <w:pPr>
        <w:tabs>
          <w:tab w:val="num" w:pos="3600"/>
        </w:tabs>
        <w:ind w:left="3600" w:hanging="360"/>
      </w:pPr>
      <w:rPr>
        <w:rFonts w:ascii="Symbol" w:hAnsi="Symbol" w:hint="default"/>
      </w:rPr>
    </w:lvl>
    <w:lvl w:ilvl="5" w:tplc="98F45A88" w:tentative="1">
      <w:start w:val="1"/>
      <w:numFmt w:val="bullet"/>
      <w:lvlText w:val=""/>
      <w:lvlJc w:val="left"/>
      <w:pPr>
        <w:tabs>
          <w:tab w:val="num" w:pos="4320"/>
        </w:tabs>
        <w:ind w:left="4320" w:hanging="360"/>
      </w:pPr>
      <w:rPr>
        <w:rFonts w:ascii="Symbol" w:hAnsi="Symbol" w:hint="default"/>
      </w:rPr>
    </w:lvl>
    <w:lvl w:ilvl="6" w:tplc="933AC020" w:tentative="1">
      <w:start w:val="1"/>
      <w:numFmt w:val="bullet"/>
      <w:lvlText w:val=""/>
      <w:lvlJc w:val="left"/>
      <w:pPr>
        <w:tabs>
          <w:tab w:val="num" w:pos="5040"/>
        </w:tabs>
        <w:ind w:left="5040" w:hanging="360"/>
      </w:pPr>
      <w:rPr>
        <w:rFonts w:ascii="Symbol" w:hAnsi="Symbol" w:hint="default"/>
      </w:rPr>
    </w:lvl>
    <w:lvl w:ilvl="7" w:tplc="2FA07E84" w:tentative="1">
      <w:start w:val="1"/>
      <w:numFmt w:val="bullet"/>
      <w:lvlText w:val=""/>
      <w:lvlJc w:val="left"/>
      <w:pPr>
        <w:tabs>
          <w:tab w:val="num" w:pos="5760"/>
        </w:tabs>
        <w:ind w:left="5760" w:hanging="360"/>
      </w:pPr>
      <w:rPr>
        <w:rFonts w:ascii="Symbol" w:hAnsi="Symbol" w:hint="default"/>
      </w:rPr>
    </w:lvl>
    <w:lvl w:ilvl="8" w:tplc="29EEEB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36F2CD4"/>
    <w:multiLevelType w:val="hybridMultilevel"/>
    <w:tmpl w:val="FBFA3666"/>
    <w:lvl w:ilvl="0" w:tplc="6C7E89B8">
      <w:start w:val="1"/>
      <w:numFmt w:val="bullet"/>
      <w:lvlText w:val=""/>
      <w:lvlJc w:val="left"/>
      <w:pPr>
        <w:tabs>
          <w:tab w:val="num" w:pos="720"/>
        </w:tabs>
        <w:ind w:left="720" w:hanging="360"/>
      </w:pPr>
      <w:rPr>
        <w:rFonts w:ascii="Symbol" w:hAnsi="Symbol" w:hint="default"/>
      </w:rPr>
    </w:lvl>
    <w:lvl w:ilvl="1" w:tplc="FACE6B98">
      <w:numFmt w:val="bullet"/>
      <w:lvlText w:val="−"/>
      <w:lvlJc w:val="left"/>
      <w:pPr>
        <w:tabs>
          <w:tab w:val="num" w:pos="1440"/>
        </w:tabs>
        <w:ind w:left="1440" w:hanging="360"/>
      </w:pPr>
      <w:rPr>
        <w:rFonts w:ascii="Calibre Regular" w:hAnsi="Calibre Regular" w:hint="default"/>
      </w:rPr>
    </w:lvl>
    <w:lvl w:ilvl="2" w:tplc="1E4A6144">
      <w:numFmt w:val="bullet"/>
      <w:lvlText w:val="−"/>
      <w:lvlJc w:val="left"/>
      <w:pPr>
        <w:tabs>
          <w:tab w:val="num" w:pos="2160"/>
        </w:tabs>
        <w:ind w:left="2160" w:hanging="360"/>
      </w:pPr>
      <w:rPr>
        <w:rFonts w:ascii="Calibre Regular" w:hAnsi="Calibre Regular" w:hint="default"/>
      </w:rPr>
    </w:lvl>
    <w:lvl w:ilvl="3" w:tplc="050600D0">
      <w:numFmt w:val="bullet"/>
      <w:lvlText w:val="−"/>
      <w:lvlJc w:val="left"/>
      <w:pPr>
        <w:tabs>
          <w:tab w:val="num" w:pos="2880"/>
        </w:tabs>
        <w:ind w:left="2880" w:hanging="360"/>
      </w:pPr>
      <w:rPr>
        <w:rFonts w:ascii="Calibre Regular" w:hAnsi="Calibre Regular" w:hint="default"/>
      </w:rPr>
    </w:lvl>
    <w:lvl w:ilvl="4" w:tplc="9296FF8E" w:tentative="1">
      <w:start w:val="1"/>
      <w:numFmt w:val="bullet"/>
      <w:lvlText w:val=""/>
      <w:lvlJc w:val="left"/>
      <w:pPr>
        <w:tabs>
          <w:tab w:val="num" w:pos="3600"/>
        </w:tabs>
        <w:ind w:left="3600" w:hanging="360"/>
      </w:pPr>
      <w:rPr>
        <w:rFonts w:ascii="Symbol" w:hAnsi="Symbol" w:hint="default"/>
      </w:rPr>
    </w:lvl>
    <w:lvl w:ilvl="5" w:tplc="915AC004" w:tentative="1">
      <w:start w:val="1"/>
      <w:numFmt w:val="bullet"/>
      <w:lvlText w:val=""/>
      <w:lvlJc w:val="left"/>
      <w:pPr>
        <w:tabs>
          <w:tab w:val="num" w:pos="4320"/>
        </w:tabs>
        <w:ind w:left="4320" w:hanging="360"/>
      </w:pPr>
      <w:rPr>
        <w:rFonts w:ascii="Symbol" w:hAnsi="Symbol" w:hint="default"/>
      </w:rPr>
    </w:lvl>
    <w:lvl w:ilvl="6" w:tplc="F8A80C24" w:tentative="1">
      <w:start w:val="1"/>
      <w:numFmt w:val="bullet"/>
      <w:lvlText w:val=""/>
      <w:lvlJc w:val="left"/>
      <w:pPr>
        <w:tabs>
          <w:tab w:val="num" w:pos="5040"/>
        </w:tabs>
        <w:ind w:left="5040" w:hanging="360"/>
      </w:pPr>
      <w:rPr>
        <w:rFonts w:ascii="Symbol" w:hAnsi="Symbol" w:hint="default"/>
      </w:rPr>
    </w:lvl>
    <w:lvl w:ilvl="7" w:tplc="03845910" w:tentative="1">
      <w:start w:val="1"/>
      <w:numFmt w:val="bullet"/>
      <w:lvlText w:val=""/>
      <w:lvlJc w:val="left"/>
      <w:pPr>
        <w:tabs>
          <w:tab w:val="num" w:pos="5760"/>
        </w:tabs>
        <w:ind w:left="5760" w:hanging="360"/>
      </w:pPr>
      <w:rPr>
        <w:rFonts w:ascii="Symbol" w:hAnsi="Symbol" w:hint="default"/>
      </w:rPr>
    </w:lvl>
    <w:lvl w:ilvl="8" w:tplc="3C947C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9"/>
  </w:num>
  <w:num w:numId="4">
    <w:abstractNumId w:val="20"/>
  </w:num>
  <w:num w:numId="5">
    <w:abstractNumId w:val="16"/>
  </w:num>
  <w:num w:numId="6">
    <w:abstractNumId w:val="1"/>
  </w:num>
  <w:num w:numId="7">
    <w:abstractNumId w:val="5"/>
  </w:num>
  <w:num w:numId="8">
    <w:abstractNumId w:val="12"/>
  </w:num>
  <w:num w:numId="9">
    <w:abstractNumId w:val="13"/>
  </w:num>
  <w:num w:numId="10">
    <w:abstractNumId w:val="9"/>
  </w:num>
  <w:num w:numId="11">
    <w:abstractNumId w:val="8"/>
  </w:num>
  <w:num w:numId="12">
    <w:abstractNumId w:val="7"/>
  </w:num>
  <w:num w:numId="13">
    <w:abstractNumId w:val="15"/>
  </w:num>
  <w:num w:numId="14">
    <w:abstractNumId w:val="14"/>
  </w:num>
  <w:num w:numId="15">
    <w:abstractNumId w:val="18"/>
  </w:num>
  <w:num w:numId="16">
    <w:abstractNumId w:val="4"/>
  </w:num>
  <w:num w:numId="17">
    <w:abstractNumId w:val="17"/>
  </w:num>
  <w:num w:numId="18">
    <w:abstractNumId w:val="11"/>
  </w:num>
  <w:num w:numId="19">
    <w:abstractNumId w:val="6"/>
  </w:num>
  <w:num w:numId="2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9B9"/>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500"/>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112E"/>
    <w:rsid w:val="001822FE"/>
    <w:rsid w:val="00184281"/>
    <w:rsid w:val="00184548"/>
    <w:rsid w:val="00184EF7"/>
    <w:rsid w:val="00184F9E"/>
    <w:rsid w:val="001860A0"/>
    <w:rsid w:val="00186AE6"/>
    <w:rsid w:val="0019227A"/>
    <w:rsid w:val="0019372B"/>
    <w:rsid w:val="001944E6"/>
    <w:rsid w:val="00194B82"/>
    <w:rsid w:val="00195650"/>
    <w:rsid w:val="0019583F"/>
    <w:rsid w:val="00195FA6"/>
    <w:rsid w:val="0019659B"/>
    <w:rsid w:val="001968A1"/>
    <w:rsid w:val="00196C1F"/>
    <w:rsid w:val="001974F0"/>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545"/>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4F9"/>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3A4F"/>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353"/>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4309"/>
    <w:rsid w:val="002F55B2"/>
    <w:rsid w:val="002F56DE"/>
    <w:rsid w:val="002F57B6"/>
    <w:rsid w:val="002F595F"/>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65D"/>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51C"/>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A4E"/>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B7A"/>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A04"/>
    <w:rsid w:val="00410C01"/>
    <w:rsid w:val="0041193B"/>
    <w:rsid w:val="004122AC"/>
    <w:rsid w:val="004131D9"/>
    <w:rsid w:val="0041390E"/>
    <w:rsid w:val="00414BB3"/>
    <w:rsid w:val="00415963"/>
    <w:rsid w:val="0041669D"/>
    <w:rsid w:val="00416961"/>
    <w:rsid w:val="00416AC5"/>
    <w:rsid w:val="004201F7"/>
    <w:rsid w:val="004217FF"/>
    <w:rsid w:val="00421E1E"/>
    <w:rsid w:val="00421EAB"/>
    <w:rsid w:val="0042641A"/>
    <w:rsid w:val="00426620"/>
    <w:rsid w:val="0042735E"/>
    <w:rsid w:val="00427BCC"/>
    <w:rsid w:val="00430D05"/>
    <w:rsid w:val="004318BE"/>
    <w:rsid w:val="00431C7B"/>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C54"/>
    <w:rsid w:val="00461FA9"/>
    <w:rsid w:val="00463FC2"/>
    <w:rsid w:val="00464463"/>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2AA"/>
    <w:rsid w:val="004953B5"/>
    <w:rsid w:val="004953E7"/>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A7DCF"/>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15"/>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44"/>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238"/>
    <w:rsid w:val="00597CC7"/>
    <w:rsid w:val="00597F12"/>
    <w:rsid w:val="005A0195"/>
    <w:rsid w:val="005A0923"/>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6FC"/>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A96"/>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374C8"/>
    <w:rsid w:val="006407A8"/>
    <w:rsid w:val="006409C9"/>
    <w:rsid w:val="00641134"/>
    <w:rsid w:val="006418C7"/>
    <w:rsid w:val="0064192C"/>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57B77"/>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6F04"/>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086"/>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21A2"/>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04A"/>
    <w:rsid w:val="006F2236"/>
    <w:rsid w:val="006F2FA6"/>
    <w:rsid w:val="006F3474"/>
    <w:rsid w:val="006F495F"/>
    <w:rsid w:val="006F4DAF"/>
    <w:rsid w:val="006F6366"/>
    <w:rsid w:val="006F6858"/>
    <w:rsid w:val="006F6997"/>
    <w:rsid w:val="006F6D81"/>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130"/>
    <w:rsid w:val="00703478"/>
    <w:rsid w:val="00703CB7"/>
    <w:rsid w:val="00703EBB"/>
    <w:rsid w:val="00703F1B"/>
    <w:rsid w:val="00703FDA"/>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00A"/>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54B22"/>
    <w:rsid w:val="0076138E"/>
    <w:rsid w:val="00761500"/>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276"/>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48D"/>
    <w:rsid w:val="0079497A"/>
    <w:rsid w:val="00795E88"/>
    <w:rsid w:val="0079609B"/>
    <w:rsid w:val="00796155"/>
    <w:rsid w:val="00796522"/>
    <w:rsid w:val="00796A59"/>
    <w:rsid w:val="00796B95"/>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B77FE"/>
    <w:rsid w:val="007C05A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0D04"/>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1BE"/>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4C5B"/>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401"/>
    <w:rsid w:val="009577CA"/>
    <w:rsid w:val="00957D82"/>
    <w:rsid w:val="00957ED8"/>
    <w:rsid w:val="009601C4"/>
    <w:rsid w:val="00960DC1"/>
    <w:rsid w:val="009612A1"/>
    <w:rsid w:val="00961793"/>
    <w:rsid w:val="00964DEA"/>
    <w:rsid w:val="009651F1"/>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C6D3C"/>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1929"/>
    <w:rsid w:val="009F256E"/>
    <w:rsid w:val="009F3A04"/>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0F25"/>
    <w:rsid w:val="00A61D78"/>
    <w:rsid w:val="00A62712"/>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6E2E"/>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5814"/>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940"/>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7DB"/>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879A7"/>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A56"/>
    <w:rsid w:val="00BA4E07"/>
    <w:rsid w:val="00BA4FB5"/>
    <w:rsid w:val="00BA6D64"/>
    <w:rsid w:val="00BA6F0D"/>
    <w:rsid w:val="00BA74B8"/>
    <w:rsid w:val="00BA7518"/>
    <w:rsid w:val="00BB1DFA"/>
    <w:rsid w:val="00BB2D42"/>
    <w:rsid w:val="00BB3825"/>
    <w:rsid w:val="00BB399B"/>
    <w:rsid w:val="00BB4CBA"/>
    <w:rsid w:val="00BB4D55"/>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1F2"/>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67E"/>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50CE"/>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617"/>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CBD"/>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3AC6"/>
    <w:rsid w:val="00C8480D"/>
    <w:rsid w:val="00C84DC4"/>
    <w:rsid w:val="00C854A8"/>
    <w:rsid w:val="00C85755"/>
    <w:rsid w:val="00C85959"/>
    <w:rsid w:val="00C860CA"/>
    <w:rsid w:val="00C86789"/>
    <w:rsid w:val="00C86957"/>
    <w:rsid w:val="00C86B6B"/>
    <w:rsid w:val="00C86E82"/>
    <w:rsid w:val="00C9112D"/>
    <w:rsid w:val="00C91500"/>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8AF"/>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4C60"/>
    <w:rsid w:val="00D35675"/>
    <w:rsid w:val="00D356F7"/>
    <w:rsid w:val="00D36AE5"/>
    <w:rsid w:val="00D36BF4"/>
    <w:rsid w:val="00D36DC4"/>
    <w:rsid w:val="00D37153"/>
    <w:rsid w:val="00D372C8"/>
    <w:rsid w:val="00D377E1"/>
    <w:rsid w:val="00D40292"/>
    <w:rsid w:val="00D4069E"/>
    <w:rsid w:val="00D40C3D"/>
    <w:rsid w:val="00D41368"/>
    <w:rsid w:val="00D413F6"/>
    <w:rsid w:val="00D414D6"/>
    <w:rsid w:val="00D41622"/>
    <w:rsid w:val="00D434B8"/>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2FE6"/>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11E4"/>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4DB"/>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7A6"/>
    <w:rsid w:val="00E24D7C"/>
    <w:rsid w:val="00E25691"/>
    <w:rsid w:val="00E261C5"/>
    <w:rsid w:val="00E26A69"/>
    <w:rsid w:val="00E27387"/>
    <w:rsid w:val="00E27FE3"/>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0DA9"/>
    <w:rsid w:val="00E61597"/>
    <w:rsid w:val="00E61854"/>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2E71"/>
    <w:rsid w:val="00E93D31"/>
    <w:rsid w:val="00E94F5B"/>
    <w:rsid w:val="00E95837"/>
    <w:rsid w:val="00E95AE8"/>
    <w:rsid w:val="00E95ECE"/>
    <w:rsid w:val="00E964F1"/>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3E1D"/>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9DB"/>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18BD"/>
    <w:rsid w:val="00F52D75"/>
    <w:rsid w:val="00F5374E"/>
    <w:rsid w:val="00F53831"/>
    <w:rsid w:val="00F538FE"/>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3383"/>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3CD0"/>
    <w:rsid w:val="00FA4654"/>
    <w:rsid w:val="00FA518B"/>
    <w:rsid w:val="00FA5242"/>
    <w:rsid w:val="00FA56C3"/>
    <w:rsid w:val="00FA5FA8"/>
    <w:rsid w:val="00FA62B3"/>
    <w:rsid w:val="00FA65A1"/>
    <w:rsid w:val="00FA69E5"/>
    <w:rsid w:val="00FA7DC8"/>
    <w:rsid w:val="00FB0094"/>
    <w:rsid w:val="00FB034B"/>
    <w:rsid w:val="00FB075F"/>
    <w:rsid w:val="00FB084E"/>
    <w:rsid w:val="00FB0EC4"/>
    <w:rsid w:val="00FB11EF"/>
    <w:rsid w:val="00FB1BB8"/>
    <w:rsid w:val="00FB1D85"/>
    <w:rsid w:val="00FB1E52"/>
    <w:rsid w:val="00FB2853"/>
    <w:rsid w:val="00FB3049"/>
    <w:rsid w:val="00FB30DB"/>
    <w:rsid w:val="00FB3128"/>
    <w:rsid w:val="00FB3177"/>
    <w:rsid w:val="00FB3C64"/>
    <w:rsid w:val="00FB3D40"/>
    <w:rsid w:val="00FB3FF4"/>
    <w:rsid w:val="00FB455E"/>
    <w:rsid w:val="00FB4E84"/>
    <w:rsid w:val="00FB575F"/>
    <w:rsid w:val="00FB659A"/>
    <w:rsid w:val="00FB71AD"/>
    <w:rsid w:val="00FB7F73"/>
    <w:rsid w:val="00FC078D"/>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7068203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51797747">
      <w:bodyDiv w:val="1"/>
      <w:marLeft w:val="0"/>
      <w:marRight w:val="0"/>
      <w:marTop w:val="0"/>
      <w:marBottom w:val="0"/>
      <w:divBdr>
        <w:top w:val="none" w:sz="0" w:space="0" w:color="auto"/>
        <w:left w:val="none" w:sz="0" w:space="0" w:color="auto"/>
        <w:bottom w:val="none" w:sz="0" w:space="0" w:color="auto"/>
        <w:right w:val="none" w:sz="0" w:space="0" w:color="auto"/>
      </w:divBdr>
      <w:divsChild>
        <w:div w:id="135875411">
          <w:marLeft w:val="547"/>
          <w:marRight w:val="0"/>
          <w:marTop w:val="96"/>
          <w:marBottom w:val="0"/>
          <w:divBdr>
            <w:top w:val="none" w:sz="0" w:space="0" w:color="auto"/>
            <w:left w:val="none" w:sz="0" w:space="0" w:color="auto"/>
            <w:bottom w:val="none" w:sz="0" w:space="0" w:color="auto"/>
            <w:right w:val="none" w:sz="0" w:space="0" w:color="auto"/>
          </w:divBdr>
        </w:div>
        <w:div w:id="2015525946">
          <w:marLeft w:val="1166"/>
          <w:marRight w:val="0"/>
          <w:marTop w:val="86"/>
          <w:marBottom w:val="0"/>
          <w:divBdr>
            <w:top w:val="none" w:sz="0" w:space="0" w:color="auto"/>
            <w:left w:val="none" w:sz="0" w:space="0" w:color="auto"/>
            <w:bottom w:val="none" w:sz="0" w:space="0" w:color="auto"/>
            <w:right w:val="none" w:sz="0" w:space="0" w:color="auto"/>
          </w:divBdr>
        </w:div>
        <w:div w:id="529804294">
          <w:marLeft w:val="1627"/>
          <w:marRight w:val="0"/>
          <w:marTop w:val="77"/>
          <w:marBottom w:val="0"/>
          <w:divBdr>
            <w:top w:val="none" w:sz="0" w:space="0" w:color="auto"/>
            <w:left w:val="none" w:sz="0" w:space="0" w:color="auto"/>
            <w:bottom w:val="none" w:sz="0" w:space="0" w:color="auto"/>
            <w:right w:val="none" w:sz="0" w:space="0" w:color="auto"/>
          </w:divBdr>
        </w:div>
        <w:div w:id="204634744">
          <w:marLeft w:val="2074"/>
          <w:marRight w:val="0"/>
          <w:marTop w:val="67"/>
          <w:marBottom w:val="0"/>
          <w:divBdr>
            <w:top w:val="none" w:sz="0" w:space="0" w:color="auto"/>
            <w:left w:val="none" w:sz="0" w:space="0" w:color="auto"/>
            <w:bottom w:val="none" w:sz="0" w:space="0" w:color="auto"/>
            <w:right w:val="none" w:sz="0" w:space="0" w:color="auto"/>
          </w:divBdr>
        </w:div>
        <w:div w:id="566838043">
          <w:marLeft w:val="2074"/>
          <w:marRight w:val="0"/>
          <w:marTop w:val="67"/>
          <w:marBottom w:val="0"/>
          <w:divBdr>
            <w:top w:val="none" w:sz="0" w:space="0" w:color="auto"/>
            <w:left w:val="none" w:sz="0" w:space="0" w:color="auto"/>
            <w:bottom w:val="none" w:sz="0" w:space="0" w:color="auto"/>
            <w:right w:val="none" w:sz="0" w:space="0" w:color="auto"/>
          </w:divBdr>
        </w:div>
        <w:div w:id="404568933">
          <w:marLeft w:val="1627"/>
          <w:marRight w:val="0"/>
          <w:marTop w:val="77"/>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43856004">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sChild>
        <w:div w:id="1793669875">
          <w:marLeft w:val="547"/>
          <w:marRight w:val="0"/>
          <w:marTop w:val="96"/>
          <w:marBottom w:val="0"/>
          <w:divBdr>
            <w:top w:val="none" w:sz="0" w:space="0" w:color="auto"/>
            <w:left w:val="none" w:sz="0" w:space="0" w:color="auto"/>
            <w:bottom w:val="none" w:sz="0" w:space="0" w:color="auto"/>
            <w:right w:val="none" w:sz="0" w:space="0" w:color="auto"/>
          </w:divBdr>
        </w:div>
        <w:div w:id="770861573">
          <w:marLeft w:val="1166"/>
          <w:marRight w:val="0"/>
          <w:marTop w:val="86"/>
          <w:marBottom w:val="0"/>
          <w:divBdr>
            <w:top w:val="none" w:sz="0" w:space="0" w:color="auto"/>
            <w:left w:val="none" w:sz="0" w:space="0" w:color="auto"/>
            <w:bottom w:val="none" w:sz="0" w:space="0" w:color="auto"/>
            <w:right w:val="none" w:sz="0" w:space="0" w:color="auto"/>
          </w:divBdr>
        </w:div>
        <w:div w:id="250160161">
          <w:marLeft w:val="1166"/>
          <w:marRight w:val="0"/>
          <w:marTop w:val="86"/>
          <w:marBottom w:val="0"/>
          <w:divBdr>
            <w:top w:val="none" w:sz="0" w:space="0" w:color="auto"/>
            <w:left w:val="none" w:sz="0" w:space="0" w:color="auto"/>
            <w:bottom w:val="none" w:sz="0" w:space="0" w:color="auto"/>
            <w:right w:val="none" w:sz="0" w:space="0" w:color="auto"/>
          </w:divBdr>
        </w:div>
        <w:div w:id="44136421">
          <w:marLeft w:val="547"/>
          <w:marRight w:val="0"/>
          <w:marTop w:val="96"/>
          <w:marBottom w:val="0"/>
          <w:divBdr>
            <w:top w:val="none" w:sz="0" w:space="0" w:color="auto"/>
            <w:left w:val="none" w:sz="0" w:space="0" w:color="auto"/>
            <w:bottom w:val="none" w:sz="0" w:space="0" w:color="auto"/>
            <w:right w:val="none" w:sz="0" w:space="0" w:color="auto"/>
          </w:divBdr>
        </w:div>
        <w:div w:id="1323696396">
          <w:marLeft w:val="1166"/>
          <w:marRight w:val="0"/>
          <w:marTop w:val="86"/>
          <w:marBottom w:val="0"/>
          <w:divBdr>
            <w:top w:val="none" w:sz="0" w:space="0" w:color="auto"/>
            <w:left w:val="none" w:sz="0" w:space="0" w:color="auto"/>
            <w:bottom w:val="none" w:sz="0" w:space="0" w:color="auto"/>
            <w:right w:val="none" w:sz="0" w:space="0" w:color="auto"/>
          </w:divBdr>
        </w:div>
        <w:div w:id="1408382855">
          <w:marLeft w:val="1627"/>
          <w:marRight w:val="0"/>
          <w:marTop w:val="77"/>
          <w:marBottom w:val="0"/>
          <w:divBdr>
            <w:top w:val="none" w:sz="0" w:space="0" w:color="auto"/>
            <w:left w:val="none" w:sz="0" w:space="0" w:color="auto"/>
            <w:bottom w:val="none" w:sz="0" w:space="0" w:color="auto"/>
            <w:right w:val="none" w:sz="0" w:space="0" w:color="auto"/>
          </w:divBdr>
        </w:div>
        <w:div w:id="1431969657">
          <w:marLeft w:val="1166"/>
          <w:marRight w:val="0"/>
          <w:marTop w:val="86"/>
          <w:marBottom w:val="0"/>
          <w:divBdr>
            <w:top w:val="none" w:sz="0" w:space="0" w:color="auto"/>
            <w:left w:val="none" w:sz="0" w:space="0" w:color="auto"/>
            <w:bottom w:val="none" w:sz="0" w:space="0" w:color="auto"/>
            <w:right w:val="none" w:sz="0" w:space="0" w:color="auto"/>
          </w:divBdr>
        </w:div>
        <w:div w:id="931551036">
          <w:marLeft w:val="1627"/>
          <w:marRight w:val="0"/>
          <w:marTop w:val="77"/>
          <w:marBottom w:val="0"/>
          <w:divBdr>
            <w:top w:val="none" w:sz="0" w:space="0" w:color="auto"/>
            <w:left w:val="none" w:sz="0" w:space="0" w:color="auto"/>
            <w:bottom w:val="none" w:sz="0" w:space="0" w:color="auto"/>
            <w:right w:val="none" w:sz="0" w:space="0" w:color="auto"/>
          </w:divBdr>
        </w:div>
        <w:div w:id="1709455890">
          <w:marLeft w:val="1166"/>
          <w:marRight w:val="0"/>
          <w:marTop w:val="86"/>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2.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3.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4.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A45B8A97-F62C-49C3-B176-09C14F4CF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898</Words>
  <Characters>5120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2009-04-22T01:01:00Z</cp:lastPrinted>
  <dcterms:created xsi:type="dcterms:W3CDTF">2017-11-17T22:01:00Z</dcterms:created>
  <dcterms:modified xsi:type="dcterms:W3CDTF">2017-11-17T22:01:00Z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