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7764EA">
        <w:rPr>
          <w:rFonts w:ascii="Times New Roman" w:eastAsia="宋体" w:hAnsi="Times New Roman" w:cs="Times New Roman"/>
          <w:b/>
          <w:noProof/>
          <w:kern w:val="0"/>
          <w:sz w:val="24"/>
          <w:szCs w:val="24"/>
          <w:lang w:val="en-GB" w:eastAsia="en-US"/>
        </w:rPr>
        <w:t>3GPP TSG-RAN WG4 Meeting</w:t>
      </w:r>
      <w:r w:rsidR="00B21699">
        <w:rPr>
          <w:rFonts w:ascii="Times New Roman" w:eastAsia="宋体" w:hAnsi="Times New Roman" w:cs="Times New Roman" w:hint="eastAsia"/>
          <w:b/>
          <w:noProof/>
          <w:kern w:val="0"/>
          <w:sz w:val="24"/>
          <w:szCs w:val="24"/>
          <w:lang w:val="en-GB"/>
        </w:rPr>
        <w:t>#84</w:t>
      </w:r>
      <w:r w:rsidRPr="007764EA">
        <w:rPr>
          <w:rFonts w:ascii="Times New Roman" w:eastAsia="宋体" w:hAnsi="Times New Roman" w:cs="Times New Roman"/>
          <w:b/>
          <w:noProof/>
          <w:kern w:val="0"/>
          <w:sz w:val="24"/>
          <w:szCs w:val="24"/>
          <w:lang w:val="en-GB" w:eastAsia="en-US"/>
        </w:rPr>
        <w:t xml:space="preserve"> </w:t>
      </w:r>
      <w:r w:rsidRPr="007764EA">
        <w:rPr>
          <w:rFonts w:ascii="Times New Roman" w:eastAsia="宋体" w:hAnsi="Times New Roman" w:cs="Times New Roman" w:hint="eastAsia"/>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R4-1</w:t>
      </w:r>
      <w:r w:rsidRPr="007764EA">
        <w:rPr>
          <w:rFonts w:ascii="Times New Roman" w:eastAsia="宋体" w:hAnsi="Times New Roman" w:cs="Times New Roman" w:hint="eastAsia"/>
          <w:b/>
          <w:noProof/>
          <w:kern w:val="0"/>
          <w:sz w:val="24"/>
          <w:szCs w:val="24"/>
          <w:lang w:val="en-GB" w:eastAsia="en-US"/>
        </w:rPr>
        <w:t>7</w:t>
      </w:r>
      <w:r w:rsidR="00B21699">
        <w:rPr>
          <w:rFonts w:ascii="Times New Roman" w:eastAsia="宋体" w:hAnsi="Times New Roman" w:cs="Times New Roman" w:hint="eastAsia"/>
          <w:b/>
          <w:noProof/>
          <w:kern w:val="0"/>
          <w:sz w:val="24"/>
          <w:szCs w:val="24"/>
          <w:lang w:val="en-GB"/>
        </w:rPr>
        <w:t>07090</w:t>
      </w:r>
    </w:p>
    <w:p w:rsidR="007764EA" w:rsidRDefault="00B21699"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hint="eastAsia"/>
          <w:b/>
          <w:noProof/>
          <w:kern w:val="0"/>
          <w:sz w:val="24"/>
          <w:szCs w:val="24"/>
          <w:lang w:val="en-GB"/>
        </w:rPr>
        <w:t>Berlin</w:t>
      </w:r>
      <w:r w:rsidR="007764EA" w:rsidRPr="007764EA">
        <w:rPr>
          <w:rFonts w:ascii="Times New Roman" w:eastAsia="宋体" w:hAnsi="Times New Roman" w:cs="Times New Roman"/>
          <w:b/>
          <w:noProof/>
          <w:kern w:val="0"/>
          <w:sz w:val="24"/>
          <w:szCs w:val="24"/>
          <w:lang w:val="en-GB" w:eastAsia="en-US"/>
        </w:rPr>
        <w:t>,</w:t>
      </w:r>
      <w:r>
        <w:rPr>
          <w:rFonts w:ascii="Times New Roman" w:eastAsia="宋体" w:hAnsi="Times New Roman" w:cs="Times New Roman" w:hint="eastAsia"/>
          <w:b/>
          <w:noProof/>
          <w:kern w:val="0"/>
          <w:sz w:val="24"/>
          <w:szCs w:val="24"/>
          <w:lang w:val="en-GB"/>
        </w:rPr>
        <w:t>DE</w:t>
      </w:r>
      <w:r w:rsidR="007764EA" w:rsidRPr="007764EA">
        <w:rPr>
          <w:rFonts w:ascii="Times New Roman" w:eastAsia="宋体" w:hAnsi="Times New Roman" w:cs="Times New Roman"/>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2</w:t>
      </w:r>
      <w:r>
        <w:rPr>
          <w:rFonts w:ascii="Times New Roman" w:eastAsia="宋体" w:hAnsi="Times New Roman" w:cs="Times New Roman" w:hint="eastAsia"/>
          <w:b/>
          <w:noProof/>
          <w:kern w:val="0"/>
          <w:sz w:val="24"/>
          <w:szCs w:val="24"/>
          <w:lang w:val="en-GB"/>
        </w:rPr>
        <w:t>1</w:t>
      </w:r>
      <w:r w:rsidR="007764EA" w:rsidRPr="007764EA">
        <w:rPr>
          <w:rFonts w:ascii="Times New Roman" w:eastAsia="宋体" w:hAnsi="Times New Roman" w:cs="Times New Roman" w:hint="eastAsia"/>
          <w:b/>
          <w:noProof/>
          <w:kern w:val="0"/>
          <w:sz w:val="24"/>
          <w:szCs w:val="24"/>
          <w:lang w:val="en-GB" w:eastAsia="en-US"/>
        </w:rPr>
        <w:t>-2</w:t>
      </w:r>
      <w:r>
        <w:rPr>
          <w:rFonts w:ascii="Times New Roman" w:eastAsia="宋体" w:hAnsi="Times New Roman" w:cs="Times New Roman" w:hint="eastAsia"/>
          <w:b/>
          <w:noProof/>
          <w:kern w:val="0"/>
          <w:sz w:val="24"/>
          <w:szCs w:val="24"/>
          <w:lang w:val="en-GB"/>
        </w:rPr>
        <w:t>5 Aug</w:t>
      </w:r>
      <w:r w:rsidR="007764EA" w:rsidRPr="007764EA">
        <w:rPr>
          <w:rFonts w:ascii="Times New Roman" w:eastAsia="宋体" w:hAnsi="Times New Roman" w:cs="Times New Roman"/>
          <w:b/>
          <w:noProof/>
          <w:kern w:val="0"/>
          <w:sz w:val="24"/>
          <w:szCs w:val="24"/>
          <w:lang w:val="en-GB" w:eastAsia="en-US"/>
        </w:rPr>
        <w:t>, 201</w:t>
      </w:r>
      <w:r w:rsidR="007764EA" w:rsidRPr="007764EA">
        <w:rPr>
          <w:rFonts w:ascii="Times New Roman" w:eastAsia="宋体" w:hAnsi="Times New Roman" w:cs="Times New Roman" w:hint="eastAsia"/>
          <w:b/>
          <w:noProof/>
          <w:kern w:val="0"/>
          <w:sz w:val="24"/>
          <w:szCs w:val="24"/>
          <w:lang w:val="en-GB" w:eastAsia="en-US"/>
        </w:rPr>
        <w:t>7</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AA1D55">
        <w:rPr>
          <w:rFonts w:ascii="Times New Roman" w:eastAsia="宋体" w:hAnsi="Times New Roman" w:cs="Times New Roman" w:hint="eastAsia"/>
          <w:b/>
          <w:noProof/>
          <w:kern w:val="0"/>
          <w:sz w:val="24"/>
          <w:szCs w:val="24"/>
          <w:lang w:val="en-GB"/>
        </w:rPr>
        <w:t xml:space="preserve"> 9.3.1.3</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sidR="006314AF">
        <w:rPr>
          <w:rFonts w:ascii="Times New Roman" w:eastAsia="宋体" w:hAnsi="Times New Roman" w:cs="Times New Roman" w:hint="eastAsia"/>
          <w:b/>
          <w:noProof/>
          <w:kern w:val="0"/>
          <w:sz w:val="24"/>
          <w:szCs w:val="24"/>
          <w:lang w:val="en-GB"/>
        </w:rPr>
        <w:t xml:space="preserve">         Clarification on wideband operation</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hint="eastAsia"/>
          <w:b/>
          <w:noProof/>
          <w:kern w:val="0"/>
          <w:sz w:val="24"/>
          <w:szCs w:val="24"/>
          <w:lang w:val="en-GB" w:eastAsia="en-US"/>
        </w:rPr>
        <w:t xml:space="preserve"> </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hint="eastAsia"/>
          <w:b/>
          <w:noProof/>
          <w:kern w:val="0"/>
          <w:sz w:val="24"/>
          <w:szCs w:val="24"/>
          <w:lang w:val="en-GB" w:eastAsia="en-US"/>
        </w:rPr>
        <w:t>Discussion</w:t>
      </w:r>
    </w:p>
    <w:p w:rsidR="007764EA" w:rsidRDefault="007764EA" w:rsidP="007764EA">
      <w:pPr>
        <w:pStyle w:val="1"/>
        <w:tabs>
          <w:tab w:val="left" w:pos="9781"/>
        </w:tabs>
        <w:ind w:right="-28"/>
        <w:jc w:val="both"/>
        <w:rPr>
          <w:rFonts w:cs="Arial"/>
          <w:lang w:eastAsia="zh-CN"/>
        </w:rPr>
      </w:pPr>
      <w:r w:rsidRPr="002D1706">
        <w:rPr>
          <w:rFonts w:cs="Arial"/>
        </w:rPr>
        <w:t>Introduction</w:t>
      </w:r>
    </w:p>
    <w:p w:rsidR="007764EA" w:rsidRDefault="001814FB" w:rsidP="007764EA">
      <w:r>
        <w:rPr>
          <w:rFonts w:hint="eastAsia"/>
        </w:rPr>
        <w:t>In RAN4 NR AH#2</w:t>
      </w:r>
      <w:r w:rsidR="00B56B9B">
        <w:rPr>
          <w:rFonts w:hint="eastAsia"/>
        </w:rPr>
        <w:t xml:space="preserve"> meeting, the WF was</w:t>
      </w:r>
      <w:r w:rsidR="007764EA">
        <w:rPr>
          <w:rFonts w:hint="eastAsia"/>
        </w:rPr>
        <w:t xml:space="preserve"> approved for Wide bandwidth operation</w:t>
      </w:r>
      <w:r w:rsidR="00902F3A">
        <w:rPr>
          <w:rFonts w:hint="eastAsia"/>
        </w:rPr>
        <w:t xml:space="preserve"> [1</w:t>
      </w:r>
      <w:r w:rsidR="00A22D05">
        <w:rPr>
          <w:rFonts w:hint="eastAsia"/>
        </w:rPr>
        <w:t>]</w:t>
      </w:r>
      <w:r w:rsidR="00B56B9B">
        <w:rPr>
          <w:rFonts w:hint="eastAsia"/>
        </w:rPr>
        <w:t xml:space="preserve"> which indicated that further clarification is needed for this feature</w:t>
      </w:r>
      <w:r w:rsidR="007764EA">
        <w:rPr>
          <w:rFonts w:hint="eastAsia"/>
        </w:rPr>
        <w:t xml:space="preserve">. </w:t>
      </w:r>
      <w:r w:rsidR="00902F3A">
        <w:rPr>
          <w:rFonts w:hint="eastAsia"/>
        </w:rPr>
        <w:t xml:space="preserve">Furthermore, there is RAN1 LS sent to RAN4 on </w:t>
      </w:r>
      <w:r w:rsidR="00C14D7D">
        <w:rPr>
          <w:rFonts w:hint="eastAsia"/>
        </w:rPr>
        <w:t>BWP (</w:t>
      </w:r>
      <w:r w:rsidR="00902F3A">
        <w:rPr>
          <w:rFonts w:hint="eastAsia"/>
        </w:rPr>
        <w:t>bandwidth part</w:t>
      </w:r>
      <w:r w:rsidR="00C14D7D">
        <w:rPr>
          <w:rFonts w:hint="eastAsia"/>
        </w:rPr>
        <w:t>)</w:t>
      </w:r>
      <w:r w:rsidR="00902F3A">
        <w:rPr>
          <w:rFonts w:hint="eastAsia"/>
        </w:rPr>
        <w:t xml:space="preserve"> operation in [2]</w:t>
      </w:r>
      <w:r w:rsidR="00B56B9B">
        <w:rPr>
          <w:rFonts w:hint="eastAsia"/>
        </w:rPr>
        <w:t xml:space="preserve">. Based on these </w:t>
      </w:r>
      <w:r w:rsidR="00C14D7D">
        <w:rPr>
          <w:rFonts w:hint="eastAsia"/>
        </w:rPr>
        <w:t xml:space="preserve">agreements </w:t>
      </w:r>
      <w:r w:rsidR="00B56B9B">
        <w:rPr>
          <w:rFonts w:hint="eastAsia"/>
        </w:rPr>
        <w:t xml:space="preserve">our understanding regarding wideband operation is shared in this contribution. </w:t>
      </w:r>
      <w:r w:rsidR="00CE4D18">
        <w:rPr>
          <w:rFonts w:hint="eastAsia"/>
        </w:rPr>
        <w:t xml:space="preserve"> </w:t>
      </w:r>
      <w:r w:rsidR="007764EA">
        <w:rPr>
          <w:rFonts w:hint="eastAsia"/>
        </w:rPr>
        <w:t xml:space="preserve"> </w:t>
      </w:r>
    </w:p>
    <w:p w:rsidR="007764EA" w:rsidRDefault="00232157" w:rsidP="007764EA">
      <w:pPr>
        <w:pStyle w:val="1"/>
        <w:rPr>
          <w:rFonts w:cs="Arial"/>
          <w:lang w:eastAsia="zh-CN"/>
        </w:rPr>
      </w:pPr>
      <w:r>
        <w:rPr>
          <w:rFonts w:cs="Arial" w:hint="eastAsia"/>
          <w:lang w:eastAsia="zh-CN"/>
        </w:rPr>
        <w:t xml:space="preserve"> </w:t>
      </w:r>
      <w:r w:rsidR="00C14D7D">
        <w:rPr>
          <w:rFonts w:cs="Arial" w:hint="eastAsia"/>
          <w:lang w:eastAsia="zh-CN"/>
        </w:rPr>
        <w:t xml:space="preserve">Summary on </w:t>
      </w:r>
      <w:r w:rsidR="00C14D7D">
        <w:rPr>
          <w:rFonts w:cs="Arial"/>
          <w:lang w:eastAsia="zh-CN"/>
        </w:rPr>
        <w:t>corresponding</w:t>
      </w:r>
      <w:r w:rsidR="00C14D7D">
        <w:rPr>
          <w:rFonts w:cs="Arial" w:hint="eastAsia"/>
          <w:lang w:eastAsia="zh-CN"/>
        </w:rPr>
        <w:t xml:space="preserve"> RAN1 agreements</w:t>
      </w:r>
    </w:p>
    <w:p w:rsidR="00C14D7D" w:rsidRDefault="00C14D7D" w:rsidP="00C14D7D">
      <w:r>
        <w:rPr>
          <w:rFonts w:hint="eastAsia"/>
        </w:rPr>
        <w:t>In RAN1 discussion the concept of BWP (bandwidth part) is agreed to introduce for NR operation. According current agreement in RAN1, at least the BWP has following attributes:</w:t>
      </w:r>
    </w:p>
    <w:p w:rsidR="00C14D7D" w:rsidRPr="009871AD" w:rsidRDefault="00C14D7D" w:rsidP="00C14D7D">
      <w:pPr>
        <w:pStyle w:val="a5"/>
        <w:numPr>
          <w:ilvl w:val="0"/>
          <w:numId w:val="3"/>
        </w:numPr>
        <w:ind w:firstLineChars="0"/>
        <w:rPr>
          <w:rFonts w:ascii="Calibri" w:hAnsi="Calibri" w:cs="Arial"/>
          <w:sz w:val="20"/>
        </w:rPr>
      </w:pPr>
      <w:r w:rsidRPr="009871AD">
        <w:rPr>
          <w:rFonts w:ascii="Calibri" w:hAnsi="Calibri" w:cs="Arial"/>
          <w:sz w:val="20"/>
        </w:rPr>
        <w:t>UE specific configurable parameter</w:t>
      </w:r>
    </w:p>
    <w:p w:rsidR="00C14D7D" w:rsidRPr="00465D4B" w:rsidRDefault="00C14D7D" w:rsidP="00C14D7D">
      <w:pPr>
        <w:pStyle w:val="a5"/>
        <w:numPr>
          <w:ilvl w:val="0"/>
          <w:numId w:val="3"/>
        </w:numPr>
        <w:ind w:firstLineChars="0"/>
        <w:rPr>
          <w:rFonts w:ascii="Calibri" w:hAnsi="Calibri" w:cs="Arial"/>
          <w:sz w:val="20"/>
        </w:rPr>
      </w:pPr>
      <w:r>
        <w:rPr>
          <w:rFonts w:ascii="Calibri" w:hAnsi="Calibri" w:cs="Arial" w:hint="eastAsia"/>
          <w:sz w:val="20"/>
        </w:rPr>
        <w:t xml:space="preserve">A BWP comprises of </w:t>
      </w:r>
      <w:r w:rsidRPr="009871AD">
        <w:rPr>
          <w:rFonts w:ascii="Calibri" w:hAnsi="Calibri" w:cs="Arial"/>
          <w:sz w:val="20"/>
        </w:rPr>
        <w:t xml:space="preserve">certain number of contiguous PRBs with the same numerology </w:t>
      </w:r>
    </w:p>
    <w:p w:rsidR="00C14D7D" w:rsidRDefault="00C14D7D" w:rsidP="00C14D7D">
      <w:r>
        <w:rPr>
          <w:rFonts w:hint="eastAsia"/>
        </w:rPr>
        <w:t xml:space="preserve">For a UE in connection mode, the </w:t>
      </w:r>
      <w:r>
        <w:t>operation</w:t>
      </w:r>
      <w:r>
        <w:rPr>
          <w:rFonts w:hint="eastAsia"/>
        </w:rPr>
        <w:t xml:space="preserve"> with BWP would be as below procedure: </w:t>
      </w:r>
    </w:p>
    <w:p w:rsidR="00C14D7D" w:rsidRDefault="00C14D7D" w:rsidP="00C14D7D">
      <w:r>
        <w:rPr>
          <w:rFonts w:hint="eastAsia"/>
        </w:rPr>
        <w:t xml:space="preserve"> Step 1: configuration of BWP(s) including the numerology, frequency location, BW. Default BWP would be applied.</w:t>
      </w:r>
    </w:p>
    <w:p w:rsidR="00C14D7D" w:rsidRDefault="00C14D7D" w:rsidP="00C14D7D">
      <w:r>
        <w:rPr>
          <w:rFonts w:hint="eastAsia"/>
        </w:rPr>
        <w:t xml:space="preserve"> Step 2: activation of specific BWP, as one active BWP is agreed with 1</w:t>
      </w:r>
      <w:r w:rsidRPr="0072219E">
        <w:rPr>
          <w:rFonts w:hint="eastAsia"/>
          <w:vertAlign w:val="superscript"/>
        </w:rPr>
        <w:t>st</w:t>
      </w:r>
      <w:r>
        <w:rPr>
          <w:rFonts w:hint="eastAsia"/>
        </w:rPr>
        <w:t xml:space="preserve"> priority in Rel-15. </w:t>
      </w:r>
    </w:p>
    <w:p w:rsidR="00C14D7D" w:rsidRDefault="00C14D7D" w:rsidP="00C14D7D">
      <w:r>
        <w:rPr>
          <w:rFonts w:hint="eastAsia"/>
        </w:rPr>
        <w:t xml:space="preserve"> Step 3: PRB </w:t>
      </w:r>
      <w:r>
        <w:t>allocation</w:t>
      </w:r>
      <w:r>
        <w:rPr>
          <w:rFonts w:hint="eastAsia"/>
        </w:rPr>
        <w:t xml:space="preserve"> within </w:t>
      </w:r>
      <w:r>
        <w:t>active</w:t>
      </w:r>
      <w:r>
        <w:rPr>
          <w:rFonts w:hint="eastAsia"/>
        </w:rPr>
        <w:t xml:space="preserve"> BWP</w:t>
      </w:r>
    </w:p>
    <w:p w:rsidR="00C14D7D" w:rsidRDefault="00C14D7D" w:rsidP="00C14D7D">
      <w:r>
        <w:rPr>
          <w:rFonts w:hint="eastAsia"/>
        </w:rPr>
        <w:t xml:space="preserve"> </w:t>
      </w:r>
    </w:p>
    <w:p w:rsidR="00C14D7D" w:rsidRDefault="00C14D7D" w:rsidP="00C14D7D">
      <w:r>
        <w:t>Furthermore,</w:t>
      </w:r>
      <w:r>
        <w:rPr>
          <w:rFonts w:hint="eastAsia"/>
        </w:rPr>
        <w:t xml:space="preserve"> regarding the PRB grid structure and indexing there are RAN1 agreements as below:</w:t>
      </w:r>
    </w:p>
    <w:p w:rsidR="00C14D7D" w:rsidRPr="00C14D7D" w:rsidRDefault="00C14D7D" w:rsidP="00C14D7D">
      <w:pPr>
        <w:rPr>
          <w:rFonts w:eastAsia="MS Mincho"/>
          <w:i/>
          <w:lang w:eastAsia="ja-JP"/>
        </w:rPr>
      </w:pPr>
      <w:r w:rsidRPr="00C14D7D">
        <w:rPr>
          <w:rFonts w:eastAsia="MS Mincho" w:hint="eastAsia"/>
          <w:b/>
          <w:i/>
          <w:lang w:eastAsia="ja-JP"/>
        </w:rPr>
        <w:t xml:space="preserve">R1-1709625 </w:t>
      </w:r>
      <w:r w:rsidRPr="00C14D7D">
        <w:rPr>
          <w:rFonts w:eastAsia="MS Mincho" w:hint="eastAsia"/>
          <w:b/>
          <w:i/>
          <w:lang w:eastAsia="ja-JP"/>
        </w:rPr>
        <w:tab/>
      </w:r>
      <w:r w:rsidRPr="00C14D7D">
        <w:rPr>
          <w:rFonts w:eastAsia="MS Mincho"/>
          <w:i/>
          <w:lang w:eastAsia="ja-JP"/>
        </w:rPr>
        <w:t>WF on PRB grid structure for wider bandwidth operation</w:t>
      </w:r>
      <w:r w:rsidRPr="00C14D7D">
        <w:rPr>
          <w:rFonts w:eastAsia="MS Mincho" w:hint="eastAsia"/>
          <w:i/>
          <w:lang w:eastAsia="ja-JP"/>
        </w:rPr>
        <w:tab/>
      </w:r>
      <w:r w:rsidRPr="00C14D7D">
        <w:rPr>
          <w:rFonts w:eastAsia="MS Mincho"/>
          <w:i/>
          <w:lang w:eastAsia="ja-JP"/>
        </w:rPr>
        <w:t xml:space="preserve">LG Electronics, OPPO, ASUSTEK, Ericsson, Intel, DOCOMO, Huawei, </w:t>
      </w:r>
      <w:proofErr w:type="spellStart"/>
      <w:r w:rsidRPr="00C14D7D">
        <w:rPr>
          <w:rFonts w:eastAsia="MS Mincho"/>
          <w:i/>
          <w:lang w:eastAsia="ja-JP"/>
        </w:rPr>
        <w:t>HiSilicon</w:t>
      </w:r>
      <w:proofErr w:type="spellEnd"/>
    </w:p>
    <w:p w:rsidR="00C14D7D" w:rsidRPr="00C14D7D" w:rsidRDefault="00C14D7D" w:rsidP="00C14D7D">
      <w:pPr>
        <w:rPr>
          <w:rFonts w:eastAsia="MS Mincho"/>
          <w:b/>
          <w:i/>
          <w:u w:val="single"/>
          <w:lang w:eastAsia="ja-JP"/>
        </w:rPr>
      </w:pPr>
      <w:r w:rsidRPr="00C14D7D">
        <w:rPr>
          <w:rFonts w:eastAsia="MS Mincho" w:hint="eastAsia"/>
          <w:b/>
          <w:i/>
          <w:highlight w:val="green"/>
          <w:u w:val="single"/>
          <w:lang w:eastAsia="ja-JP"/>
        </w:rPr>
        <w:t>Agreements:</w:t>
      </w:r>
    </w:p>
    <w:p w:rsidR="00C14D7D" w:rsidRPr="00C14D7D" w:rsidRDefault="00C14D7D" w:rsidP="00C14D7D">
      <w:pPr>
        <w:widowControl/>
        <w:numPr>
          <w:ilvl w:val="0"/>
          <w:numId w:val="6"/>
        </w:numPr>
        <w:jc w:val="left"/>
        <w:rPr>
          <w:rFonts w:eastAsia="MS Mincho"/>
          <w:i/>
          <w:lang w:eastAsia="ja-JP"/>
        </w:rPr>
      </w:pPr>
      <w:r w:rsidRPr="00C14D7D">
        <w:rPr>
          <w:rFonts w:eastAsia="MS Mincho"/>
          <w:i/>
          <w:lang w:eastAsia="ja-JP"/>
        </w:rPr>
        <w:t xml:space="preserve">Same PRB grid structure for a given numerology is assumed for </w:t>
      </w:r>
      <w:r w:rsidRPr="00C14D7D">
        <w:rPr>
          <w:rFonts w:eastAsia="MS Mincho" w:hint="eastAsia"/>
          <w:i/>
          <w:lang w:eastAsia="ja-JP"/>
        </w:rPr>
        <w:t>narrow</w:t>
      </w:r>
      <w:r w:rsidRPr="00C14D7D">
        <w:rPr>
          <w:rFonts w:eastAsia="MS Mincho"/>
          <w:i/>
          <w:lang w:eastAsia="ja-JP"/>
        </w:rPr>
        <w:t xml:space="preserve"> band UEs, CA UEs and wideband UEs within a wideband NR carrier</w:t>
      </w:r>
    </w:p>
    <w:p w:rsidR="00C14D7D" w:rsidRPr="00C14D7D" w:rsidRDefault="00C14D7D" w:rsidP="00C14D7D">
      <w:pPr>
        <w:widowControl/>
        <w:numPr>
          <w:ilvl w:val="1"/>
          <w:numId w:val="6"/>
        </w:numPr>
        <w:jc w:val="left"/>
        <w:rPr>
          <w:rFonts w:eastAsia="MS Mincho"/>
          <w:i/>
          <w:lang w:eastAsia="ja-JP"/>
        </w:rPr>
      </w:pPr>
      <w:r w:rsidRPr="00C14D7D">
        <w:rPr>
          <w:rFonts w:eastAsia="MS Mincho" w:hint="eastAsia"/>
          <w:i/>
          <w:lang w:eastAsia="ja-JP"/>
        </w:rPr>
        <w:t>FFS: PRB indexing</w:t>
      </w:r>
    </w:p>
    <w:p w:rsidR="00C14D7D" w:rsidRPr="00C14D7D" w:rsidRDefault="00C14D7D" w:rsidP="00C14D7D">
      <w:pPr>
        <w:rPr>
          <w:rFonts w:eastAsia="MS Mincho"/>
          <w:i/>
          <w:szCs w:val="20"/>
          <w:lang w:eastAsia="ja-JP"/>
        </w:rPr>
      </w:pPr>
      <w:r w:rsidRPr="00C14D7D">
        <w:rPr>
          <w:rFonts w:eastAsia="MS Mincho" w:hint="eastAsia"/>
          <w:b/>
          <w:i/>
          <w:szCs w:val="20"/>
          <w:lang w:eastAsia="ja-JP"/>
        </w:rPr>
        <w:t>R1-1711855</w:t>
      </w:r>
      <w:r w:rsidRPr="00C14D7D">
        <w:rPr>
          <w:rFonts w:eastAsia="MS Mincho" w:hint="eastAsia"/>
          <w:i/>
          <w:szCs w:val="20"/>
          <w:lang w:eastAsia="ja-JP"/>
        </w:rPr>
        <w:tab/>
      </w:r>
      <w:r w:rsidRPr="00C14D7D">
        <w:rPr>
          <w:rFonts w:eastAsia="MS Mincho"/>
          <w:i/>
          <w:szCs w:val="20"/>
          <w:lang w:eastAsia="ja-JP"/>
        </w:rPr>
        <w:t>Way forward on PRB indexing</w:t>
      </w:r>
      <w:r w:rsidRPr="00C14D7D">
        <w:rPr>
          <w:rFonts w:eastAsia="MS Mincho" w:hint="eastAsia"/>
          <w:i/>
          <w:szCs w:val="20"/>
          <w:lang w:eastAsia="ja-JP"/>
        </w:rPr>
        <w:tab/>
      </w:r>
      <w:r w:rsidRPr="00C14D7D">
        <w:rPr>
          <w:rFonts w:eastAsia="MS Mincho"/>
          <w:i/>
          <w:szCs w:val="20"/>
          <w:lang w:eastAsia="ja-JP"/>
        </w:rPr>
        <w:t xml:space="preserve">Intel, Sharp, Ericsson, </w:t>
      </w:r>
      <w:proofErr w:type="spellStart"/>
      <w:r w:rsidRPr="00C14D7D">
        <w:rPr>
          <w:rFonts w:eastAsia="MS Mincho"/>
          <w:i/>
          <w:szCs w:val="20"/>
          <w:lang w:eastAsia="ja-JP"/>
        </w:rPr>
        <w:t>MediaTek</w:t>
      </w:r>
      <w:proofErr w:type="spellEnd"/>
      <w:r w:rsidRPr="00C14D7D">
        <w:rPr>
          <w:rFonts w:eastAsia="MS Mincho"/>
          <w:i/>
          <w:szCs w:val="20"/>
          <w:lang w:eastAsia="ja-JP"/>
        </w:rPr>
        <w:t>, NTT DOCOMO, Panasonic, Nokia, ASB, NEC, KT, ETRI</w:t>
      </w:r>
    </w:p>
    <w:p w:rsidR="00C14D7D" w:rsidRPr="00C14D7D" w:rsidRDefault="00C14D7D" w:rsidP="00C14D7D">
      <w:pPr>
        <w:rPr>
          <w:rFonts w:eastAsia="MS Mincho"/>
          <w:b/>
          <w:i/>
          <w:szCs w:val="20"/>
          <w:u w:val="single"/>
          <w:lang w:eastAsia="ja-JP"/>
        </w:rPr>
      </w:pPr>
      <w:r w:rsidRPr="00C14D7D">
        <w:rPr>
          <w:rFonts w:eastAsia="MS Mincho" w:hint="eastAsia"/>
          <w:b/>
          <w:i/>
          <w:szCs w:val="20"/>
          <w:highlight w:val="green"/>
          <w:u w:val="single"/>
          <w:lang w:eastAsia="ja-JP"/>
        </w:rPr>
        <w:t>Agreements:</w:t>
      </w:r>
    </w:p>
    <w:p w:rsidR="00C14D7D" w:rsidRPr="00C14D7D" w:rsidRDefault="00C14D7D" w:rsidP="00C14D7D">
      <w:pPr>
        <w:widowControl/>
        <w:numPr>
          <w:ilvl w:val="0"/>
          <w:numId w:val="7"/>
        </w:numPr>
        <w:tabs>
          <w:tab w:val="left" w:pos="20"/>
        </w:tabs>
        <w:jc w:val="left"/>
        <w:rPr>
          <w:rFonts w:eastAsia="MS Mincho"/>
          <w:i/>
          <w:szCs w:val="20"/>
          <w:lang w:eastAsia="ja-JP"/>
        </w:rPr>
      </w:pPr>
      <w:r w:rsidRPr="00C14D7D">
        <w:rPr>
          <w:rFonts w:eastAsia="MS Mincho"/>
          <w:i/>
          <w:szCs w:val="20"/>
          <w:lang w:eastAsia="ja-JP"/>
        </w:rPr>
        <w:t>Common PRB indexing is supported</w:t>
      </w:r>
    </w:p>
    <w:p w:rsidR="00C14D7D" w:rsidRPr="00C14D7D" w:rsidRDefault="00C14D7D" w:rsidP="00C14D7D">
      <w:pPr>
        <w:widowControl/>
        <w:numPr>
          <w:ilvl w:val="1"/>
          <w:numId w:val="7"/>
        </w:numPr>
        <w:tabs>
          <w:tab w:val="left" w:pos="20"/>
        </w:tabs>
        <w:jc w:val="left"/>
        <w:rPr>
          <w:rFonts w:eastAsia="MS Mincho"/>
          <w:i/>
          <w:szCs w:val="20"/>
          <w:lang w:eastAsia="ja-JP"/>
        </w:rPr>
      </w:pPr>
      <w:r w:rsidRPr="00C14D7D">
        <w:rPr>
          <w:rFonts w:eastAsia="MS Mincho"/>
          <w:i/>
          <w:szCs w:val="20"/>
          <w:lang w:eastAsia="ja-JP"/>
        </w:rPr>
        <w:t xml:space="preserve">The indexing is common to all the UEs sharing a wideband CC from network perspective, regardless of whether they are NB, CA, or WB UEs. </w:t>
      </w:r>
    </w:p>
    <w:p w:rsidR="00C14D7D" w:rsidRPr="00C14D7D" w:rsidRDefault="00C14D7D" w:rsidP="00C14D7D">
      <w:pPr>
        <w:widowControl/>
        <w:numPr>
          <w:ilvl w:val="1"/>
          <w:numId w:val="7"/>
        </w:numPr>
        <w:tabs>
          <w:tab w:val="left" w:pos="20"/>
        </w:tabs>
        <w:jc w:val="left"/>
        <w:rPr>
          <w:rFonts w:eastAsia="MS Mincho"/>
          <w:i/>
          <w:szCs w:val="20"/>
          <w:lang w:eastAsia="ja-JP"/>
        </w:rPr>
      </w:pPr>
      <w:r w:rsidRPr="00C14D7D">
        <w:rPr>
          <w:rFonts w:eastAsia="MS Mincho"/>
          <w:i/>
          <w:szCs w:val="20"/>
          <w:lang w:eastAsia="ja-JP"/>
        </w:rPr>
        <w:t xml:space="preserve">The indexing is with respect to </w:t>
      </w:r>
      <w:r w:rsidRPr="00C14D7D">
        <w:rPr>
          <w:rFonts w:eastAsia="MS Mincho" w:hint="eastAsia"/>
          <w:i/>
          <w:szCs w:val="20"/>
          <w:lang w:eastAsia="ja-JP"/>
        </w:rPr>
        <w:t>the</w:t>
      </w:r>
      <w:r w:rsidRPr="00C14D7D">
        <w:rPr>
          <w:rFonts w:eastAsia="MS Mincho"/>
          <w:i/>
          <w:szCs w:val="20"/>
          <w:lang w:eastAsia="ja-JP"/>
        </w:rPr>
        <w:t xml:space="preserve"> reference point</w:t>
      </w:r>
    </w:p>
    <w:p w:rsidR="00C14D7D" w:rsidRPr="00C14D7D" w:rsidRDefault="00C14D7D" w:rsidP="00C14D7D">
      <w:pPr>
        <w:widowControl/>
        <w:numPr>
          <w:ilvl w:val="1"/>
          <w:numId w:val="7"/>
        </w:numPr>
        <w:tabs>
          <w:tab w:val="left" w:pos="20"/>
        </w:tabs>
        <w:jc w:val="left"/>
        <w:rPr>
          <w:rFonts w:eastAsia="MS Mincho"/>
          <w:i/>
          <w:szCs w:val="20"/>
          <w:lang w:eastAsia="ja-JP"/>
        </w:rPr>
      </w:pPr>
      <w:r w:rsidRPr="00C14D7D">
        <w:rPr>
          <w:rFonts w:eastAsia="MS Mincho"/>
          <w:i/>
          <w:szCs w:val="20"/>
          <w:lang w:eastAsia="ja-JP"/>
        </w:rPr>
        <w:t xml:space="preserve">The indexing is with respect to </w:t>
      </w:r>
      <w:r w:rsidRPr="00C14D7D">
        <w:rPr>
          <w:rFonts w:eastAsia="MS Mincho" w:hint="eastAsia"/>
          <w:i/>
          <w:szCs w:val="20"/>
          <w:lang w:eastAsia="ja-JP"/>
        </w:rPr>
        <w:t>a</w:t>
      </w:r>
      <w:r w:rsidRPr="00C14D7D">
        <w:rPr>
          <w:rFonts w:eastAsia="MS Mincho"/>
          <w:i/>
          <w:szCs w:val="20"/>
          <w:lang w:eastAsia="ja-JP"/>
        </w:rPr>
        <w:t xml:space="preserve"> </w:t>
      </w:r>
      <w:r w:rsidRPr="00C14D7D">
        <w:rPr>
          <w:rFonts w:eastAsia="MS Mincho" w:hint="eastAsia"/>
          <w:i/>
          <w:szCs w:val="20"/>
          <w:lang w:eastAsia="ja-JP"/>
        </w:rPr>
        <w:t xml:space="preserve">given </w:t>
      </w:r>
      <w:r w:rsidRPr="00C14D7D">
        <w:rPr>
          <w:rFonts w:eastAsia="MS Mincho"/>
          <w:i/>
          <w:szCs w:val="20"/>
          <w:lang w:eastAsia="ja-JP"/>
        </w:rPr>
        <w:t>numerology</w:t>
      </w:r>
    </w:p>
    <w:p w:rsidR="00C14D7D" w:rsidRPr="00C14D7D" w:rsidRDefault="00C14D7D" w:rsidP="00C14D7D">
      <w:pPr>
        <w:widowControl/>
        <w:numPr>
          <w:ilvl w:val="1"/>
          <w:numId w:val="7"/>
        </w:numPr>
        <w:tabs>
          <w:tab w:val="left" w:pos="20"/>
        </w:tabs>
        <w:jc w:val="left"/>
        <w:rPr>
          <w:rFonts w:eastAsia="MS Mincho"/>
          <w:i/>
          <w:szCs w:val="20"/>
          <w:lang w:eastAsia="ja-JP"/>
        </w:rPr>
      </w:pPr>
      <w:r w:rsidRPr="00C14D7D">
        <w:rPr>
          <w:rFonts w:eastAsia="MS Mincho"/>
          <w:i/>
          <w:szCs w:val="20"/>
          <w:lang w:eastAsia="ja-JP"/>
        </w:rPr>
        <w:lastRenderedPageBreak/>
        <w:t>Note: Example usage of common PRB indexing is for scheduling group common PDSCH, RS sequences, BWP configuration, etc.</w:t>
      </w:r>
    </w:p>
    <w:p w:rsidR="00C14D7D" w:rsidRPr="00C14D7D" w:rsidRDefault="00C14D7D" w:rsidP="00C14D7D">
      <w:pPr>
        <w:widowControl/>
        <w:numPr>
          <w:ilvl w:val="0"/>
          <w:numId w:val="7"/>
        </w:numPr>
        <w:tabs>
          <w:tab w:val="left" w:pos="20"/>
        </w:tabs>
        <w:jc w:val="left"/>
        <w:rPr>
          <w:rFonts w:eastAsia="MS Mincho"/>
          <w:i/>
          <w:szCs w:val="20"/>
          <w:lang w:eastAsia="ja-JP"/>
        </w:rPr>
      </w:pPr>
      <w:r w:rsidRPr="00C14D7D">
        <w:rPr>
          <w:rFonts w:eastAsia="MS Mincho"/>
          <w:i/>
          <w:szCs w:val="20"/>
          <w:lang w:eastAsia="ja-JP"/>
        </w:rPr>
        <w:t>UE-specific PRB indexing is supported</w:t>
      </w:r>
    </w:p>
    <w:p w:rsidR="00C14D7D" w:rsidRPr="00C14D7D" w:rsidRDefault="00C14D7D" w:rsidP="00C14D7D">
      <w:pPr>
        <w:widowControl/>
        <w:numPr>
          <w:ilvl w:val="1"/>
          <w:numId w:val="7"/>
        </w:numPr>
        <w:tabs>
          <w:tab w:val="left" w:pos="20"/>
        </w:tabs>
        <w:jc w:val="left"/>
        <w:rPr>
          <w:rFonts w:eastAsia="MS Mincho"/>
          <w:i/>
          <w:szCs w:val="20"/>
          <w:lang w:eastAsia="ja-JP"/>
        </w:rPr>
      </w:pPr>
      <w:r w:rsidRPr="00C14D7D">
        <w:rPr>
          <w:rFonts w:eastAsia="MS Mincho"/>
          <w:i/>
          <w:szCs w:val="20"/>
          <w:lang w:eastAsia="ja-JP"/>
        </w:rPr>
        <w:t>It is indexed per BWP with respect to the configured SCS for the BWP</w:t>
      </w:r>
    </w:p>
    <w:p w:rsidR="000F5859" w:rsidRPr="00C14D7D" w:rsidRDefault="00C14D7D" w:rsidP="00C14D7D">
      <w:pPr>
        <w:widowControl/>
        <w:numPr>
          <w:ilvl w:val="1"/>
          <w:numId w:val="7"/>
        </w:numPr>
        <w:tabs>
          <w:tab w:val="left" w:pos="20"/>
        </w:tabs>
        <w:jc w:val="left"/>
        <w:rPr>
          <w:rFonts w:eastAsia="MS Mincho"/>
          <w:i/>
          <w:szCs w:val="20"/>
          <w:lang w:eastAsia="ja-JP"/>
        </w:rPr>
      </w:pPr>
      <w:r w:rsidRPr="00C14D7D">
        <w:rPr>
          <w:rFonts w:eastAsia="MS Mincho"/>
          <w:i/>
          <w:szCs w:val="20"/>
          <w:lang w:eastAsia="ja-JP"/>
        </w:rPr>
        <w:t>Note: Example usage of UE-specific indexing is for scheduling UE-specific PDSCH</w:t>
      </w:r>
    </w:p>
    <w:p w:rsidR="00CE4D18" w:rsidRDefault="00C14D7D" w:rsidP="00CE4D18">
      <w:pPr>
        <w:pStyle w:val="1"/>
        <w:rPr>
          <w:rFonts w:cs="Arial"/>
          <w:lang w:eastAsia="zh-CN"/>
        </w:rPr>
      </w:pPr>
      <w:r>
        <w:rPr>
          <w:rFonts w:cs="Arial" w:hint="eastAsia"/>
          <w:lang w:eastAsia="zh-CN"/>
        </w:rPr>
        <w:t xml:space="preserve">Working procedure with CA mode UE </w:t>
      </w:r>
    </w:p>
    <w:p w:rsidR="00CE4D18" w:rsidRDefault="00C14D7D" w:rsidP="00CE4D18">
      <w:r>
        <w:rPr>
          <w:rFonts w:hint="eastAsia"/>
        </w:rPr>
        <w:t xml:space="preserve">In </w:t>
      </w:r>
      <w:r>
        <w:t>this</w:t>
      </w:r>
      <w:r>
        <w:rPr>
          <w:rFonts w:hint="eastAsia"/>
        </w:rPr>
        <w:t xml:space="preserve"> section, our understanding on CA mode UE operation in wideband system is shown as below according above agreement. </w:t>
      </w:r>
    </w:p>
    <w:p w:rsidR="00C14D7D" w:rsidRPr="00C14D7D" w:rsidRDefault="00C14D7D" w:rsidP="00CE4D18">
      <w:pPr>
        <w:rPr>
          <w:b/>
        </w:rPr>
      </w:pPr>
      <w:r w:rsidRPr="00C14D7D">
        <w:rPr>
          <w:rFonts w:hint="eastAsia"/>
          <w:b/>
        </w:rPr>
        <w:t xml:space="preserve">Step 1: </w:t>
      </w:r>
      <w:r w:rsidRPr="00C14D7D">
        <w:rPr>
          <w:b/>
        </w:rPr>
        <w:t>initial</w:t>
      </w:r>
      <w:r w:rsidRPr="00C14D7D">
        <w:rPr>
          <w:rFonts w:hint="eastAsia"/>
          <w:b/>
        </w:rPr>
        <w:t xml:space="preserve"> </w:t>
      </w:r>
      <w:r>
        <w:rPr>
          <w:rFonts w:hint="eastAsia"/>
          <w:b/>
        </w:rPr>
        <w:t>sync search</w:t>
      </w:r>
    </w:p>
    <w:p w:rsidR="00CE4D18" w:rsidRPr="00C14D7D" w:rsidRDefault="00C14D7D">
      <w:r>
        <w:rPr>
          <w:rFonts w:hint="eastAsia"/>
        </w:rPr>
        <w:t xml:space="preserve">As illustrated in figure below, in the </w:t>
      </w:r>
      <w:r>
        <w:t>initial</w:t>
      </w:r>
      <w:r>
        <w:rPr>
          <w:rFonts w:hint="eastAsia"/>
        </w:rPr>
        <w:t xml:space="preserve"> sync with </w:t>
      </w:r>
      <w:r>
        <w:t>system</w:t>
      </w:r>
      <w:r>
        <w:rPr>
          <w:rFonts w:hint="eastAsia"/>
        </w:rPr>
        <w:t xml:space="preserve">, the assumption for CA mode UE would be to turn on one RF chain for </w:t>
      </w:r>
      <w:r>
        <w:t>synchronization</w:t>
      </w:r>
      <w:r>
        <w:rPr>
          <w:rFonts w:hint="eastAsia"/>
        </w:rPr>
        <w:t xml:space="preserve"> with certain SS block. </w:t>
      </w:r>
      <w:r>
        <w:t>T</w:t>
      </w:r>
      <w:r>
        <w:rPr>
          <w:rFonts w:hint="eastAsia"/>
        </w:rPr>
        <w:t xml:space="preserve">he remaining RF chain(s) could be turned off before activation of corresponding BWP in connection mode. </w:t>
      </w:r>
    </w:p>
    <w:p w:rsidR="00CE4D18" w:rsidRDefault="00C14D7D" w:rsidP="00433ED4">
      <w:pPr>
        <w:jc w:val="center"/>
      </w:pPr>
      <w:r>
        <w:object w:dxaOrig="6910" w:dyaOrig="2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08.7pt" o:ole="">
            <v:imagedata r:id="rId8" o:title=""/>
          </v:shape>
          <o:OLEObject Type="Embed" ProgID="Visio.Drawing.11" ShapeID="_x0000_i1025" DrawAspect="Content" ObjectID="_1563889629" r:id="rId9"/>
        </w:object>
      </w:r>
    </w:p>
    <w:p w:rsidR="00AA1D55" w:rsidRDefault="00C14D7D">
      <w:pPr>
        <w:rPr>
          <w:b/>
        </w:rPr>
      </w:pPr>
      <w:r w:rsidRPr="00C14D7D">
        <w:rPr>
          <w:rFonts w:hint="eastAsia"/>
          <w:b/>
        </w:rPr>
        <w:t xml:space="preserve">Step 2: </w:t>
      </w:r>
      <w:r w:rsidR="00B21699">
        <w:rPr>
          <w:rFonts w:hint="eastAsia"/>
          <w:b/>
        </w:rPr>
        <w:t xml:space="preserve">Configuration on BWP set(s) </w:t>
      </w:r>
      <w:r w:rsidRPr="00C14D7D">
        <w:rPr>
          <w:rFonts w:hint="eastAsia"/>
          <w:b/>
        </w:rPr>
        <w:t>according to UE capability</w:t>
      </w:r>
      <w:r>
        <w:rPr>
          <w:rFonts w:hint="eastAsia"/>
          <w:b/>
        </w:rPr>
        <w:t xml:space="preserve"> reporting for connection mode UE</w:t>
      </w:r>
    </w:p>
    <w:p w:rsidR="00C14D7D" w:rsidRDefault="00C14D7D">
      <w:r w:rsidRPr="00C14D7D">
        <w:rPr>
          <w:rFonts w:hint="eastAsia"/>
        </w:rPr>
        <w:t>To</w:t>
      </w:r>
      <w:r>
        <w:rPr>
          <w:rFonts w:hint="eastAsia"/>
        </w:rPr>
        <w:t xml:space="preserve"> have better configuration on BWP(s), it seems UE capability to support system bandwidth could not be transparent to Network. </w:t>
      </w:r>
    </w:p>
    <w:p w:rsidR="00C14D7D" w:rsidRDefault="00C14D7D">
      <w:pPr>
        <w:rPr>
          <w:b/>
        </w:rPr>
      </w:pPr>
      <w:r w:rsidRPr="00C14D7D">
        <w:rPr>
          <w:rFonts w:hint="eastAsia"/>
          <w:b/>
        </w:rPr>
        <w:t>Step 3: Activation on BWP(s) for CA mode UE</w:t>
      </w:r>
    </w:p>
    <w:p w:rsidR="00C14D7D" w:rsidRDefault="00C14D7D" w:rsidP="00C14D7D">
      <w:pPr>
        <w:widowControl/>
      </w:pPr>
      <w:r>
        <w:rPr>
          <w:rFonts w:hint="eastAsia"/>
        </w:rPr>
        <w:t xml:space="preserve">As indicated in RAN1 LS, </w:t>
      </w:r>
      <w:r>
        <w:t>“</w:t>
      </w:r>
      <w:r w:rsidRPr="008A1A37">
        <w:rPr>
          <w:rFonts w:eastAsia="MS Mincho"/>
          <w:lang w:eastAsia="ja-JP"/>
        </w:rPr>
        <w:t>The active DL/UL bandwidth part is not assumed to span a frequency range larger than the DL/UL bandwidth capability of the UE in a component carrier.</w:t>
      </w:r>
      <w:r>
        <w:t>”</w:t>
      </w:r>
      <w:r>
        <w:rPr>
          <w:rFonts w:hint="eastAsia"/>
        </w:rPr>
        <w:t xml:space="preserve"> It seems it is not quite clear what the </w:t>
      </w:r>
      <w:r>
        <w:t>“a</w:t>
      </w:r>
      <w:r>
        <w:rPr>
          <w:rFonts w:hint="eastAsia"/>
        </w:rPr>
        <w:t xml:space="preserve"> component carrier</w:t>
      </w:r>
      <w:r>
        <w:t>”</w:t>
      </w:r>
      <w:r>
        <w:rPr>
          <w:rFonts w:hint="eastAsia"/>
        </w:rPr>
        <w:t xml:space="preserve"> indicate for</w:t>
      </w:r>
      <w:r w:rsidR="00E63212">
        <w:rPr>
          <w:rFonts w:hint="eastAsia"/>
        </w:rPr>
        <w:t>: whether</w:t>
      </w:r>
      <w:r>
        <w:rPr>
          <w:rFonts w:hint="eastAsia"/>
        </w:rPr>
        <w:t xml:space="preserve"> </w:t>
      </w:r>
      <w:r w:rsidR="00E63212">
        <w:rPr>
          <w:rFonts w:hint="eastAsia"/>
        </w:rPr>
        <w:t>i</w:t>
      </w:r>
      <w:r>
        <w:rPr>
          <w:rFonts w:hint="eastAsia"/>
        </w:rPr>
        <w:t xml:space="preserve">t is from system side or for UE side. Hence here both </w:t>
      </w:r>
      <w:r>
        <w:t>possibilities</w:t>
      </w:r>
      <w:r>
        <w:rPr>
          <w:rFonts w:hint="eastAsia"/>
        </w:rPr>
        <w:t xml:space="preserve"> are illustrated in figure below. Furthermore, as the agreement to </w:t>
      </w:r>
      <w:r w:rsidR="00E63212">
        <w:rPr>
          <w:rFonts w:hint="eastAsia"/>
        </w:rPr>
        <w:t xml:space="preserve">put primary focus on </w:t>
      </w:r>
      <w:r>
        <w:rPr>
          <w:rFonts w:hint="eastAsia"/>
        </w:rPr>
        <w:t xml:space="preserve">single </w:t>
      </w:r>
      <w:r w:rsidR="00E63212">
        <w:rPr>
          <w:rFonts w:hint="eastAsia"/>
        </w:rPr>
        <w:t xml:space="preserve">active </w:t>
      </w:r>
      <w:r>
        <w:rPr>
          <w:rFonts w:hint="eastAsia"/>
        </w:rPr>
        <w:t xml:space="preserve">bandwidth part case in RAN1, definitely it should be clarified these agreement together. </w:t>
      </w:r>
    </w:p>
    <w:p w:rsidR="00C14D7D" w:rsidRPr="00C14D7D" w:rsidRDefault="00C14D7D" w:rsidP="00C14D7D">
      <w:pPr>
        <w:widowControl/>
      </w:pPr>
      <w:r w:rsidRPr="00C14D7D">
        <w:rPr>
          <w:b/>
        </w:rPr>
        <w:t>Observation</w:t>
      </w:r>
      <w:r w:rsidRPr="00C14D7D">
        <w:rPr>
          <w:rFonts w:hint="eastAsia"/>
          <w:b/>
        </w:rPr>
        <w:t xml:space="preserve"> 1</w:t>
      </w:r>
      <w:r>
        <w:rPr>
          <w:rFonts w:hint="eastAsia"/>
        </w:rPr>
        <w:t xml:space="preserve">: Applicability on BWP agreement for CA mode UE should be further clarified by RAN1. </w:t>
      </w:r>
    </w:p>
    <w:p w:rsidR="00C14D7D" w:rsidRDefault="00C14D7D">
      <w:r>
        <w:rPr>
          <w:rFonts w:hint="eastAsia"/>
        </w:rPr>
        <w:t xml:space="preserve"> </w:t>
      </w:r>
      <w:r>
        <w:object w:dxaOrig="7761" w:dyaOrig="3628">
          <v:shape id="_x0000_i1026" type="#_x0000_t75" style="width:387.85pt;height:181.35pt" o:ole="">
            <v:imagedata r:id="rId10" o:title=""/>
          </v:shape>
          <o:OLEObject Type="Embed" ProgID="Visio.Drawing.11" ShapeID="_x0000_i1026" DrawAspect="Content" ObjectID="_1563889630" r:id="rId11"/>
        </w:object>
      </w:r>
    </w:p>
    <w:p w:rsidR="00C14D7D" w:rsidRDefault="00C14D7D" w:rsidP="00B21699">
      <w:pPr>
        <w:jc w:val="left"/>
      </w:pPr>
      <w:bookmarkStart w:id="0" w:name="OLE_LINK80"/>
      <w:r>
        <w:rPr>
          <w:rFonts w:hint="eastAsia"/>
        </w:rPr>
        <w:t xml:space="preserve">And if it is assumed </w:t>
      </w:r>
      <w:r w:rsidR="00B21699">
        <w:rPr>
          <w:rFonts w:hint="eastAsia"/>
        </w:rPr>
        <w:t xml:space="preserve">BWP could not span the frequency range </w:t>
      </w:r>
      <w:r w:rsidR="00B21699">
        <w:t>la</w:t>
      </w:r>
      <w:r w:rsidR="00B21699">
        <w:rPr>
          <w:rFonts w:hint="eastAsia"/>
        </w:rPr>
        <w:t>ger than the bandwidth of one RF chain of UE</w:t>
      </w:r>
      <w:r>
        <w:rPr>
          <w:rFonts w:hint="eastAsia"/>
        </w:rPr>
        <w:t xml:space="preserve">, BS </w:t>
      </w:r>
      <w:r>
        <w:rPr>
          <w:rFonts w:hint="eastAsia"/>
        </w:rPr>
        <w:lastRenderedPageBreak/>
        <w:t xml:space="preserve">has to know the full information on UE </w:t>
      </w:r>
      <w:r>
        <w:t>capability</w:t>
      </w:r>
      <w:r>
        <w:rPr>
          <w:rFonts w:hint="eastAsia"/>
        </w:rPr>
        <w:t xml:space="preserve"> on </w:t>
      </w:r>
      <w:r>
        <w:t>channel</w:t>
      </w:r>
      <w:r>
        <w:rPr>
          <w:rFonts w:hint="eastAsia"/>
        </w:rPr>
        <w:t xml:space="preserve"> bandwidth for BWP configuration.</w:t>
      </w:r>
      <w:r w:rsidR="00B21699">
        <w:rPr>
          <w:rFonts w:hint="eastAsia"/>
        </w:rPr>
        <w:t xml:space="preserve"> Hence </w:t>
      </w:r>
      <w:r w:rsidR="00B21699">
        <w:rPr>
          <w:rFonts w:hint="eastAsia"/>
        </w:rPr>
        <w:t>the UE capability on how to support system channel bandwidth absolutely could not be transparent to network</w:t>
      </w:r>
      <w:r w:rsidR="00B21699">
        <w:rPr>
          <w:rFonts w:hint="eastAsia"/>
        </w:rPr>
        <w:t xml:space="preserve"> including all UE types of WB, SB and CA-mode.</w:t>
      </w:r>
    </w:p>
    <w:p w:rsidR="00C14D7D" w:rsidRPr="00C14D7D" w:rsidRDefault="00C14D7D" w:rsidP="00B21699">
      <w:pPr>
        <w:jc w:val="left"/>
      </w:pPr>
      <w:r>
        <w:rPr>
          <w:rFonts w:hint="eastAsia"/>
        </w:rPr>
        <w:t>Furthermore, following RAN1 agreement t</w:t>
      </w:r>
      <w:r w:rsidRPr="00C14D7D">
        <w:rPr>
          <w:rFonts w:hint="eastAsia"/>
        </w:rPr>
        <w:t xml:space="preserve">he frequency location of </w:t>
      </w:r>
      <w:r>
        <w:rPr>
          <w:rFonts w:hint="eastAsia"/>
        </w:rPr>
        <w:t xml:space="preserve">BWP(s) of CA mode UE would just follow the indication from Network </w:t>
      </w:r>
      <w:r w:rsidR="00B21699">
        <w:rPr>
          <w:rFonts w:hint="eastAsia"/>
        </w:rPr>
        <w:t>with</w:t>
      </w:r>
      <w:r>
        <w:rPr>
          <w:rFonts w:hint="eastAsia"/>
        </w:rPr>
        <w:t xml:space="preserve"> the same PRB grid and indexing. </w:t>
      </w:r>
      <w:r w:rsidR="0004553B">
        <w:rPr>
          <w:rFonts w:hint="eastAsia"/>
        </w:rPr>
        <w:t>W</w:t>
      </w:r>
      <w:r w:rsidR="002943A1">
        <w:rPr>
          <w:rFonts w:hint="eastAsia"/>
        </w:rPr>
        <w:t xml:space="preserve">hether </w:t>
      </w:r>
      <w:r>
        <w:rPr>
          <w:rFonts w:hint="eastAsia"/>
        </w:rPr>
        <w:t xml:space="preserve">the </w:t>
      </w:r>
      <w:r>
        <w:t>chann</w:t>
      </w:r>
      <w:r w:rsidR="0004553B">
        <w:t xml:space="preserve">el spacing between adjacent </w:t>
      </w:r>
      <w:r w:rsidR="0004553B">
        <w:rPr>
          <w:rFonts w:hint="eastAsia"/>
        </w:rPr>
        <w:t xml:space="preserve">active </w:t>
      </w:r>
      <w:r w:rsidR="0004553B">
        <w:t>BWP</w:t>
      </w:r>
      <w:r w:rsidR="0004553B">
        <w:rPr>
          <w:rFonts w:hint="eastAsia"/>
        </w:rPr>
        <w:t>s</w:t>
      </w:r>
      <w:r>
        <w:t xml:space="preserve"> in </w:t>
      </w:r>
      <w:r w:rsidR="0004553B">
        <w:rPr>
          <w:rFonts w:hint="eastAsia"/>
        </w:rPr>
        <w:t xml:space="preserve">above </w:t>
      </w:r>
      <w:r>
        <w:t>figure</w:t>
      </w:r>
      <w:r w:rsidR="0004553B">
        <w:rPr>
          <w:rFonts w:hint="eastAsia"/>
        </w:rPr>
        <w:t xml:space="preserve"> needs to</w:t>
      </w:r>
      <w:r>
        <w:t xml:space="preserve"> be specified </w:t>
      </w:r>
      <w:r w:rsidR="0004553B">
        <w:rPr>
          <w:rFonts w:hint="eastAsia"/>
        </w:rPr>
        <w:t>for</w:t>
      </w:r>
      <w:r>
        <w:t xml:space="preserve"> NR </w:t>
      </w:r>
      <w:r w:rsidR="002943A1">
        <w:rPr>
          <w:rFonts w:hint="eastAsia"/>
        </w:rPr>
        <w:t>or</w:t>
      </w:r>
      <w:r>
        <w:t xml:space="preserve"> just leave as </w:t>
      </w:r>
      <w:r w:rsidR="0004553B">
        <w:t>implementation needs</w:t>
      </w:r>
      <w:r w:rsidR="002943A1">
        <w:rPr>
          <w:rFonts w:hint="eastAsia"/>
        </w:rPr>
        <w:t xml:space="preserve"> further discussion</w:t>
      </w:r>
      <w:r w:rsidR="0004553B">
        <w:rPr>
          <w:rFonts w:hint="eastAsia"/>
        </w:rPr>
        <w:t xml:space="preserve"> as well</w:t>
      </w:r>
      <w:r w:rsidR="002943A1">
        <w:rPr>
          <w:rFonts w:hint="eastAsia"/>
        </w:rPr>
        <w:t xml:space="preserve">. </w:t>
      </w:r>
      <w:r>
        <w:rPr>
          <w:rFonts w:hint="eastAsia"/>
        </w:rPr>
        <w:t xml:space="preserve"> </w:t>
      </w:r>
      <w:bookmarkStart w:id="1" w:name="_GoBack"/>
      <w:bookmarkEnd w:id="1"/>
    </w:p>
    <w:p w:rsidR="00C14D7D" w:rsidRPr="0004553B" w:rsidRDefault="00C14D7D"/>
    <w:bookmarkEnd w:id="0"/>
    <w:p w:rsidR="00C14D7D" w:rsidRPr="00C14D7D" w:rsidRDefault="00C14D7D">
      <w:pPr>
        <w:rPr>
          <w:b/>
        </w:rPr>
      </w:pPr>
      <w:r w:rsidRPr="00C14D7D">
        <w:rPr>
          <w:rFonts w:hint="eastAsia"/>
          <w:b/>
        </w:rPr>
        <w:t>Step 4: indication on RB allocation in BWP(s) for CA mode UE</w:t>
      </w:r>
    </w:p>
    <w:p w:rsidR="00C14D7D" w:rsidRPr="00C14D7D" w:rsidRDefault="00C14D7D">
      <w:r w:rsidRPr="00C14D7D">
        <w:rPr>
          <w:rFonts w:hint="eastAsia"/>
        </w:rPr>
        <w:t xml:space="preserve">To </w:t>
      </w:r>
      <w:r>
        <w:rPr>
          <w:rFonts w:hint="eastAsia"/>
        </w:rPr>
        <w:t>achieve</w:t>
      </w:r>
      <w:r w:rsidRPr="00C14D7D">
        <w:rPr>
          <w:rFonts w:hint="eastAsia"/>
        </w:rPr>
        <w:t xml:space="preserve"> the </w:t>
      </w:r>
      <w:r>
        <w:rPr>
          <w:rFonts w:hint="eastAsia"/>
        </w:rPr>
        <w:t xml:space="preserve">maximum throughput of </w:t>
      </w:r>
      <w:r>
        <w:t>specific</w:t>
      </w:r>
      <w:r>
        <w:rPr>
          <w:rFonts w:hint="eastAsia"/>
        </w:rPr>
        <w:t xml:space="preserve"> UE, the full RB allocation should be </w:t>
      </w:r>
      <w:r w:rsidR="00605FE2">
        <w:rPr>
          <w:rFonts w:hint="eastAsia"/>
        </w:rPr>
        <w:t xml:space="preserve">indicated </w:t>
      </w:r>
      <w:r>
        <w:rPr>
          <w:rFonts w:hint="eastAsia"/>
        </w:rPr>
        <w:t>for BWP(s).</w:t>
      </w:r>
    </w:p>
    <w:p w:rsidR="00CE4D18" w:rsidRDefault="00CE4D18" w:rsidP="00CE4D18">
      <w:pPr>
        <w:pStyle w:val="1"/>
        <w:rPr>
          <w:rFonts w:cs="Arial"/>
          <w:lang w:eastAsia="zh-CN"/>
        </w:rPr>
      </w:pPr>
      <w:r>
        <w:rPr>
          <w:rFonts w:cs="Arial" w:hint="eastAsia"/>
          <w:lang w:eastAsia="zh-CN"/>
        </w:rPr>
        <w:t>Conclusion</w:t>
      </w:r>
    </w:p>
    <w:p w:rsidR="00CE4D18" w:rsidRPr="00C14D7D" w:rsidRDefault="00C14D7D">
      <w:r>
        <w:rPr>
          <w:rFonts w:hint="eastAsia"/>
        </w:rPr>
        <w:t xml:space="preserve">In this contribution the understanding on CA mode UE working procedure in wideband system is share based on agreement of RAN1. Based on the discussion, the applicability of RAN1 BWP agreement to CA mode UE should be further clarified. </w:t>
      </w:r>
    </w:p>
    <w:p w:rsidR="00CE4D18" w:rsidRDefault="00CE4D18" w:rsidP="00CE4D18">
      <w:pPr>
        <w:pStyle w:val="1"/>
        <w:rPr>
          <w:rFonts w:cs="Arial"/>
          <w:lang w:eastAsia="zh-CN"/>
        </w:rPr>
      </w:pPr>
      <w:r>
        <w:rPr>
          <w:rFonts w:cs="Arial" w:hint="eastAsia"/>
          <w:lang w:eastAsia="zh-CN"/>
        </w:rPr>
        <w:t>Reference</w:t>
      </w:r>
    </w:p>
    <w:p w:rsidR="00CE4D18" w:rsidRDefault="00CE4D18" w:rsidP="00CE4D18">
      <w:pPr>
        <w:rPr>
          <w:lang w:val="en-GB"/>
        </w:rPr>
      </w:pPr>
      <w:r>
        <w:rPr>
          <w:rFonts w:hint="eastAsia"/>
          <w:lang w:val="en-GB"/>
        </w:rPr>
        <w:t>[</w:t>
      </w:r>
      <w:r w:rsidR="00902F3A">
        <w:rPr>
          <w:rFonts w:hint="eastAsia"/>
          <w:lang w:val="en-GB"/>
        </w:rPr>
        <w:t>1</w:t>
      </w:r>
      <w:r>
        <w:rPr>
          <w:rFonts w:hint="eastAsia"/>
          <w:lang w:val="en-GB"/>
        </w:rPr>
        <w:t>]</w:t>
      </w:r>
      <w:r w:rsidR="00A22D05">
        <w:rPr>
          <w:rFonts w:hint="eastAsia"/>
          <w:lang w:val="en-GB"/>
        </w:rPr>
        <w:t xml:space="preserve"> R4-1706927, </w:t>
      </w:r>
      <w:proofErr w:type="gramStart"/>
      <w:r w:rsidR="00A22D05">
        <w:rPr>
          <w:rFonts w:hint="eastAsia"/>
          <w:lang w:val="en-GB"/>
        </w:rPr>
        <w:t>Further</w:t>
      </w:r>
      <w:proofErr w:type="gramEnd"/>
      <w:r w:rsidR="00A22D05">
        <w:rPr>
          <w:rFonts w:hint="eastAsia"/>
          <w:lang w:val="en-GB"/>
        </w:rPr>
        <w:t xml:space="preserve"> clarification on the aggregated wideband operation</w:t>
      </w:r>
    </w:p>
    <w:p w:rsidR="00CE4D18" w:rsidRPr="00CE4D18" w:rsidRDefault="00902F3A" w:rsidP="00CE4D18">
      <w:pPr>
        <w:rPr>
          <w:lang w:val="en-GB"/>
        </w:rPr>
      </w:pPr>
      <w:r>
        <w:rPr>
          <w:rFonts w:hint="eastAsia"/>
          <w:lang w:val="en-GB"/>
        </w:rPr>
        <w:t>[2</w:t>
      </w:r>
      <w:r w:rsidR="00CE4D18">
        <w:rPr>
          <w:rFonts w:hint="eastAsia"/>
          <w:lang w:val="en-GB"/>
        </w:rPr>
        <w:t>]</w:t>
      </w:r>
      <w:r w:rsidR="00774530">
        <w:rPr>
          <w:rFonts w:hint="eastAsia"/>
          <w:lang w:val="en-GB"/>
        </w:rPr>
        <w:t xml:space="preserve"> R1-1711998, </w:t>
      </w:r>
      <w:r w:rsidR="00774530" w:rsidRPr="00774530">
        <w:rPr>
          <w:lang w:val="en-GB"/>
        </w:rPr>
        <w:t>LS on Bandwidth Part Operation in NR</w:t>
      </w:r>
    </w:p>
    <w:p w:rsidR="00CE4D18" w:rsidRPr="007764EA" w:rsidRDefault="00CE4D18"/>
    <w:sectPr w:rsidR="00CE4D18" w:rsidRPr="007764EA" w:rsidSect="007764E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AC0" w:rsidRDefault="005E6AC0" w:rsidP="007764EA">
      <w:r>
        <w:separator/>
      </w:r>
    </w:p>
  </w:endnote>
  <w:endnote w:type="continuationSeparator" w:id="0">
    <w:p w:rsidR="005E6AC0" w:rsidRDefault="005E6AC0" w:rsidP="0077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AC0" w:rsidRDefault="005E6AC0" w:rsidP="007764EA">
      <w:r>
        <w:separator/>
      </w:r>
    </w:p>
  </w:footnote>
  <w:footnote w:type="continuationSeparator" w:id="0">
    <w:p w:rsidR="005E6AC0" w:rsidRDefault="005E6AC0" w:rsidP="007764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3E91F31"/>
    <w:multiLevelType w:val="hybridMultilevel"/>
    <w:tmpl w:val="C9460CAE"/>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E82675C"/>
    <w:multiLevelType w:val="hybridMultilevel"/>
    <w:tmpl w:val="F5DA5BAE"/>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5">
    <w:nsid w:val="47927B21"/>
    <w:multiLevelType w:val="hybridMultilevel"/>
    <w:tmpl w:val="FDC04FF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7">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7"/>
  </w:num>
  <w:num w:numId="2">
    <w:abstractNumId w:val="2"/>
  </w:num>
  <w:num w:numId="3">
    <w:abstractNumId w:val="3"/>
  </w:num>
  <w:num w:numId="4">
    <w:abstractNumId w:val="5"/>
  </w:num>
  <w:num w:numId="5">
    <w:abstractNumId w:val="1"/>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5B9"/>
    <w:rsid w:val="0004553B"/>
    <w:rsid w:val="00047F90"/>
    <w:rsid w:val="000F5859"/>
    <w:rsid w:val="00103A2C"/>
    <w:rsid w:val="001814FB"/>
    <w:rsid w:val="001E33E1"/>
    <w:rsid w:val="00232157"/>
    <w:rsid w:val="002943A1"/>
    <w:rsid w:val="003376BC"/>
    <w:rsid w:val="00433ED4"/>
    <w:rsid w:val="00465D4B"/>
    <w:rsid w:val="00544CFD"/>
    <w:rsid w:val="005E6AC0"/>
    <w:rsid w:val="00605FE2"/>
    <w:rsid w:val="006314AF"/>
    <w:rsid w:val="00696F1B"/>
    <w:rsid w:val="0072219E"/>
    <w:rsid w:val="00774530"/>
    <w:rsid w:val="007764EA"/>
    <w:rsid w:val="00902F3A"/>
    <w:rsid w:val="009871AD"/>
    <w:rsid w:val="00A22D05"/>
    <w:rsid w:val="00A551E4"/>
    <w:rsid w:val="00A9099D"/>
    <w:rsid w:val="00AA1D55"/>
    <w:rsid w:val="00B21699"/>
    <w:rsid w:val="00B34162"/>
    <w:rsid w:val="00B377D9"/>
    <w:rsid w:val="00B54308"/>
    <w:rsid w:val="00B56B9B"/>
    <w:rsid w:val="00BF04AF"/>
    <w:rsid w:val="00C14D7D"/>
    <w:rsid w:val="00C24CC8"/>
    <w:rsid w:val="00C65DEE"/>
    <w:rsid w:val="00CE4D18"/>
    <w:rsid w:val="00E26715"/>
    <w:rsid w:val="00E465B9"/>
    <w:rsid w:val="00E63212"/>
    <w:rsid w:val="00F76C14"/>
    <w:rsid w:val="00FA7E1B"/>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7764EA"/>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7764E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7764E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7764EA"/>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7764EA"/>
    <w:pPr>
      <w:numPr>
        <w:ilvl w:val="4"/>
      </w:numPr>
      <w:outlineLvl w:val="4"/>
    </w:pPr>
    <w:rPr>
      <w:sz w:val="22"/>
    </w:rPr>
  </w:style>
  <w:style w:type="paragraph" w:styleId="6">
    <w:name w:val="heading 6"/>
    <w:aliases w:val="T1,Header 6"/>
    <w:basedOn w:val="a"/>
    <w:next w:val="a"/>
    <w:link w:val="6Char"/>
    <w:qFormat/>
    <w:rsid w:val="007764EA"/>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7764EA"/>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7764EA"/>
    <w:pPr>
      <w:numPr>
        <w:ilvl w:val="7"/>
      </w:numPr>
      <w:outlineLvl w:val="7"/>
    </w:pPr>
  </w:style>
  <w:style w:type="paragraph" w:styleId="9">
    <w:name w:val="heading 9"/>
    <w:basedOn w:val="8"/>
    <w:next w:val="a"/>
    <w:link w:val="9Char"/>
    <w:qFormat/>
    <w:rsid w:val="00776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7764E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7764EA"/>
    <w:rPr>
      <w:sz w:val="18"/>
      <w:szCs w:val="18"/>
    </w:rPr>
  </w:style>
  <w:style w:type="paragraph" w:styleId="a4">
    <w:name w:val="footer"/>
    <w:basedOn w:val="a"/>
    <w:link w:val="Char0"/>
    <w:uiPriority w:val="99"/>
    <w:unhideWhenUsed/>
    <w:rsid w:val="007764EA"/>
    <w:pPr>
      <w:tabs>
        <w:tab w:val="center" w:pos="4153"/>
        <w:tab w:val="right" w:pos="8306"/>
      </w:tabs>
      <w:snapToGrid w:val="0"/>
      <w:jc w:val="left"/>
    </w:pPr>
    <w:rPr>
      <w:sz w:val="18"/>
      <w:szCs w:val="18"/>
    </w:rPr>
  </w:style>
  <w:style w:type="character" w:customStyle="1" w:styleId="Char0">
    <w:name w:val="页脚 Char"/>
    <w:basedOn w:val="a0"/>
    <w:link w:val="a4"/>
    <w:uiPriority w:val="99"/>
    <w:rsid w:val="007764EA"/>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7764EA"/>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7764EA"/>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7764EA"/>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7764EA"/>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7764EA"/>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7764EA"/>
    <w:rPr>
      <w:rFonts w:ascii="Arial" w:eastAsia="宋体" w:hAnsi="Arial" w:cs="Times New Roman"/>
      <w:kern w:val="0"/>
      <w:sz w:val="20"/>
      <w:szCs w:val="20"/>
      <w:lang w:val="en-GB" w:eastAsia="en-US"/>
    </w:rPr>
  </w:style>
  <w:style w:type="character" w:customStyle="1" w:styleId="7Char">
    <w:name w:val="标题 7 Char"/>
    <w:basedOn w:val="a0"/>
    <w:link w:val="7"/>
    <w:rsid w:val="007764EA"/>
    <w:rPr>
      <w:rFonts w:ascii="Arial" w:eastAsia="宋体" w:hAnsi="Arial" w:cs="Times New Roman"/>
      <w:kern w:val="0"/>
      <w:sz w:val="20"/>
      <w:szCs w:val="20"/>
      <w:lang w:val="en-GB" w:eastAsia="en-US"/>
    </w:rPr>
  </w:style>
  <w:style w:type="character" w:customStyle="1" w:styleId="8Char">
    <w:name w:val="标题 8 Char"/>
    <w:basedOn w:val="a0"/>
    <w:link w:val="8"/>
    <w:rsid w:val="007764EA"/>
    <w:rPr>
      <w:rFonts w:ascii="Arial" w:eastAsia="宋体" w:hAnsi="Arial" w:cs="Times New Roman"/>
      <w:kern w:val="0"/>
      <w:sz w:val="36"/>
      <w:szCs w:val="20"/>
      <w:lang w:val="en-GB" w:eastAsia="en-US"/>
    </w:rPr>
  </w:style>
  <w:style w:type="character" w:customStyle="1" w:styleId="9Char">
    <w:name w:val="标题 9 Char"/>
    <w:basedOn w:val="a0"/>
    <w:link w:val="9"/>
    <w:rsid w:val="007764EA"/>
    <w:rPr>
      <w:rFonts w:ascii="Arial" w:eastAsia="宋体" w:hAnsi="Arial" w:cs="Times New Roman"/>
      <w:kern w:val="0"/>
      <w:sz w:val="36"/>
      <w:szCs w:val="20"/>
      <w:lang w:val="en-GB" w:eastAsia="en-US"/>
    </w:rPr>
  </w:style>
  <w:style w:type="paragraph" w:styleId="a5">
    <w:name w:val="List Paragraph"/>
    <w:basedOn w:val="a"/>
    <w:link w:val="Char1"/>
    <w:uiPriority w:val="34"/>
    <w:qFormat/>
    <w:rsid w:val="007764EA"/>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7764EA"/>
    <w:rPr>
      <w:rFonts w:ascii="宋体" w:eastAsia="宋体" w:hAnsi="宋体" w:cs="宋体"/>
      <w:kern w:val="0"/>
      <w:sz w:val="24"/>
      <w:szCs w:val="24"/>
    </w:rPr>
  </w:style>
  <w:style w:type="table" w:styleId="a6">
    <w:name w:val="Table Grid"/>
    <w:basedOn w:val="a1"/>
    <w:uiPriority w:val="59"/>
    <w:rsid w:val="00774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E63212"/>
    <w:rPr>
      <w:sz w:val="21"/>
      <w:szCs w:val="21"/>
    </w:rPr>
  </w:style>
  <w:style w:type="paragraph" w:styleId="a8">
    <w:name w:val="annotation text"/>
    <w:basedOn w:val="a"/>
    <w:link w:val="Char2"/>
    <w:uiPriority w:val="99"/>
    <w:semiHidden/>
    <w:unhideWhenUsed/>
    <w:rsid w:val="00E63212"/>
    <w:pPr>
      <w:jc w:val="left"/>
    </w:pPr>
  </w:style>
  <w:style w:type="character" w:customStyle="1" w:styleId="Char2">
    <w:name w:val="批注文字 Char"/>
    <w:basedOn w:val="a0"/>
    <w:link w:val="a8"/>
    <w:uiPriority w:val="99"/>
    <w:semiHidden/>
    <w:rsid w:val="00E63212"/>
  </w:style>
  <w:style w:type="paragraph" w:styleId="a9">
    <w:name w:val="annotation subject"/>
    <w:basedOn w:val="a8"/>
    <w:next w:val="a8"/>
    <w:link w:val="Char3"/>
    <w:uiPriority w:val="99"/>
    <w:semiHidden/>
    <w:unhideWhenUsed/>
    <w:rsid w:val="00E63212"/>
    <w:rPr>
      <w:b/>
      <w:bCs/>
    </w:rPr>
  </w:style>
  <w:style w:type="character" w:customStyle="1" w:styleId="Char3">
    <w:name w:val="批注主题 Char"/>
    <w:basedOn w:val="Char2"/>
    <w:link w:val="a9"/>
    <w:uiPriority w:val="99"/>
    <w:semiHidden/>
    <w:rsid w:val="00E63212"/>
    <w:rPr>
      <w:b/>
      <w:bCs/>
    </w:rPr>
  </w:style>
  <w:style w:type="paragraph" w:styleId="aa">
    <w:name w:val="Balloon Text"/>
    <w:basedOn w:val="a"/>
    <w:link w:val="Char4"/>
    <w:uiPriority w:val="99"/>
    <w:semiHidden/>
    <w:unhideWhenUsed/>
    <w:rsid w:val="00E63212"/>
    <w:rPr>
      <w:sz w:val="16"/>
      <w:szCs w:val="16"/>
    </w:rPr>
  </w:style>
  <w:style w:type="character" w:customStyle="1" w:styleId="Char4">
    <w:name w:val="批注框文本 Char"/>
    <w:basedOn w:val="a0"/>
    <w:link w:val="aa"/>
    <w:uiPriority w:val="99"/>
    <w:semiHidden/>
    <w:rsid w:val="00E6321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7764EA"/>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7764E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7764E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7764EA"/>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7764EA"/>
    <w:pPr>
      <w:numPr>
        <w:ilvl w:val="4"/>
      </w:numPr>
      <w:outlineLvl w:val="4"/>
    </w:pPr>
    <w:rPr>
      <w:sz w:val="22"/>
    </w:rPr>
  </w:style>
  <w:style w:type="paragraph" w:styleId="6">
    <w:name w:val="heading 6"/>
    <w:aliases w:val="T1,Header 6"/>
    <w:basedOn w:val="a"/>
    <w:next w:val="a"/>
    <w:link w:val="6Char"/>
    <w:qFormat/>
    <w:rsid w:val="007764EA"/>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7764EA"/>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7764EA"/>
    <w:pPr>
      <w:numPr>
        <w:ilvl w:val="7"/>
      </w:numPr>
      <w:outlineLvl w:val="7"/>
    </w:pPr>
  </w:style>
  <w:style w:type="paragraph" w:styleId="9">
    <w:name w:val="heading 9"/>
    <w:basedOn w:val="8"/>
    <w:next w:val="a"/>
    <w:link w:val="9Char"/>
    <w:qFormat/>
    <w:rsid w:val="00776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7764E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7764EA"/>
    <w:rPr>
      <w:sz w:val="18"/>
      <w:szCs w:val="18"/>
    </w:rPr>
  </w:style>
  <w:style w:type="paragraph" w:styleId="a4">
    <w:name w:val="footer"/>
    <w:basedOn w:val="a"/>
    <w:link w:val="Char0"/>
    <w:uiPriority w:val="99"/>
    <w:unhideWhenUsed/>
    <w:rsid w:val="007764EA"/>
    <w:pPr>
      <w:tabs>
        <w:tab w:val="center" w:pos="4153"/>
        <w:tab w:val="right" w:pos="8306"/>
      </w:tabs>
      <w:snapToGrid w:val="0"/>
      <w:jc w:val="left"/>
    </w:pPr>
    <w:rPr>
      <w:sz w:val="18"/>
      <w:szCs w:val="18"/>
    </w:rPr>
  </w:style>
  <w:style w:type="character" w:customStyle="1" w:styleId="Char0">
    <w:name w:val="页脚 Char"/>
    <w:basedOn w:val="a0"/>
    <w:link w:val="a4"/>
    <w:uiPriority w:val="99"/>
    <w:rsid w:val="007764EA"/>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7764EA"/>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7764EA"/>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7764EA"/>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7764EA"/>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7764EA"/>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7764EA"/>
    <w:rPr>
      <w:rFonts w:ascii="Arial" w:eastAsia="宋体" w:hAnsi="Arial" w:cs="Times New Roman"/>
      <w:kern w:val="0"/>
      <w:sz w:val="20"/>
      <w:szCs w:val="20"/>
      <w:lang w:val="en-GB" w:eastAsia="en-US"/>
    </w:rPr>
  </w:style>
  <w:style w:type="character" w:customStyle="1" w:styleId="7Char">
    <w:name w:val="标题 7 Char"/>
    <w:basedOn w:val="a0"/>
    <w:link w:val="7"/>
    <w:rsid w:val="007764EA"/>
    <w:rPr>
      <w:rFonts w:ascii="Arial" w:eastAsia="宋体" w:hAnsi="Arial" w:cs="Times New Roman"/>
      <w:kern w:val="0"/>
      <w:sz w:val="20"/>
      <w:szCs w:val="20"/>
      <w:lang w:val="en-GB" w:eastAsia="en-US"/>
    </w:rPr>
  </w:style>
  <w:style w:type="character" w:customStyle="1" w:styleId="8Char">
    <w:name w:val="标题 8 Char"/>
    <w:basedOn w:val="a0"/>
    <w:link w:val="8"/>
    <w:rsid w:val="007764EA"/>
    <w:rPr>
      <w:rFonts w:ascii="Arial" w:eastAsia="宋体" w:hAnsi="Arial" w:cs="Times New Roman"/>
      <w:kern w:val="0"/>
      <w:sz w:val="36"/>
      <w:szCs w:val="20"/>
      <w:lang w:val="en-GB" w:eastAsia="en-US"/>
    </w:rPr>
  </w:style>
  <w:style w:type="character" w:customStyle="1" w:styleId="9Char">
    <w:name w:val="标题 9 Char"/>
    <w:basedOn w:val="a0"/>
    <w:link w:val="9"/>
    <w:rsid w:val="007764EA"/>
    <w:rPr>
      <w:rFonts w:ascii="Arial" w:eastAsia="宋体" w:hAnsi="Arial" w:cs="Times New Roman"/>
      <w:kern w:val="0"/>
      <w:sz w:val="36"/>
      <w:szCs w:val="20"/>
      <w:lang w:val="en-GB" w:eastAsia="en-US"/>
    </w:rPr>
  </w:style>
  <w:style w:type="paragraph" w:styleId="a5">
    <w:name w:val="List Paragraph"/>
    <w:basedOn w:val="a"/>
    <w:link w:val="Char1"/>
    <w:uiPriority w:val="34"/>
    <w:qFormat/>
    <w:rsid w:val="007764EA"/>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7764EA"/>
    <w:rPr>
      <w:rFonts w:ascii="宋体" w:eastAsia="宋体" w:hAnsi="宋体" w:cs="宋体"/>
      <w:kern w:val="0"/>
      <w:sz w:val="24"/>
      <w:szCs w:val="24"/>
    </w:rPr>
  </w:style>
  <w:style w:type="table" w:styleId="a6">
    <w:name w:val="Table Grid"/>
    <w:basedOn w:val="a1"/>
    <w:uiPriority w:val="59"/>
    <w:rsid w:val="00774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E63212"/>
    <w:rPr>
      <w:sz w:val="21"/>
      <w:szCs w:val="21"/>
    </w:rPr>
  </w:style>
  <w:style w:type="paragraph" w:styleId="a8">
    <w:name w:val="annotation text"/>
    <w:basedOn w:val="a"/>
    <w:link w:val="Char2"/>
    <w:uiPriority w:val="99"/>
    <w:semiHidden/>
    <w:unhideWhenUsed/>
    <w:rsid w:val="00E63212"/>
    <w:pPr>
      <w:jc w:val="left"/>
    </w:pPr>
  </w:style>
  <w:style w:type="character" w:customStyle="1" w:styleId="Char2">
    <w:name w:val="批注文字 Char"/>
    <w:basedOn w:val="a0"/>
    <w:link w:val="a8"/>
    <w:uiPriority w:val="99"/>
    <w:semiHidden/>
    <w:rsid w:val="00E63212"/>
  </w:style>
  <w:style w:type="paragraph" w:styleId="a9">
    <w:name w:val="annotation subject"/>
    <w:basedOn w:val="a8"/>
    <w:next w:val="a8"/>
    <w:link w:val="Char3"/>
    <w:uiPriority w:val="99"/>
    <w:semiHidden/>
    <w:unhideWhenUsed/>
    <w:rsid w:val="00E63212"/>
    <w:rPr>
      <w:b/>
      <w:bCs/>
    </w:rPr>
  </w:style>
  <w:style w:type="character" w:customStyle="1" w:styleId="Char3">
    <w:name w:val="批注主题 Char"/>
    <w:basedOn w:val="Char2"/>
    <w:link w:val="a9"/>
    <w:uiPriority w:val="99"/>
    <w:semiHidden/>
    <w:rsid w:val="00E63212"/>
    <w:rPr>
      <w:b/>
      <w:bCs/>
    </w:rPr>
  </w:style>
  <w:style w:type="paragraph" w:styleId="aa">
    <w:name w:val="Balloon Text"/>
    <w:basedOn w:val="a"/>
    <w:link w:val="Char4"/>
    <w:uiPriority w:val="99"/>
    <w:semiHidden/>
    <w:unhideWhenUsed/>
    <w:rsid w:val="00E63212"/>
    <w:rPr>
      <w:sz w:val="16"/>
      <w:szCs w:val="16"/>
    </w:rPr>
  </w:style>
  <w:style w:type="character" w:customStyle="1" w:styleId="Char4">
    <w:name w:val="批注框文本 Char"/>
    <w:basedOn w:val="a0"/>
    <w:link w:val="aa"/>
    <w:uiPriority w:val="99"/>
    <w:semiHidden/>
    <w:rsid w:val="00E6321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72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2017-08-10T08:50:00Z</dcterms:created>
  <dcterms:modified xsi:type="dcterms:W3CDTF">2017-08-10T09:01:00Z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D45AAA542812922CD85FA44D946ED20E0341F37ADC01D3FF82E51E918F286428</vt:lpwstr>
  </property>
  <property fmtid="{D5CDD505-2E9C-101B-9397-08002B2CF9AE}" pid="2" name="NSCPROP">
    <vt:lpwstr>NSCCustomProperty</vt:lpwstr>
  </property>
  <property fmtid="{D5CDD505-2E9C-101B-9397-08002B2CF9AE}" pid="3" name="NSCPROP_SA">
    <vt:lpwstr>C:\mySingle\TEMP\R4-170XXXX_CA mode WB operation .docx</vt:lpwstr>
  </property>
</Properties>
</file>