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43DF0" w14:textId="3A84F1FA" w:rsidR="00380C19" w:rsidRPr="004B7E17" w:rsidRDefault="00380C19" w:rsidP="00011781">
      <w:pPr>
        <w:widowControl w:val="0"/>
        <w:tabs>
          <w:tab w:val="right" w:pos="9639"/>
          <w:tab w:val="right" w:pos="13323"/>
        </w:tabs>
        <w:spacing w:after="0"/>
        <w:jc w:val="both"/>
        <w:rPr>
          <w:rFonts w:ascii="Arial" w:hAnsi="Arial" w:cs="Arial"/>
          <w:b/>
          <w:noProof/>
          <w:sz w:val="24"/>
          <w:szCs w:val="24"/>
          <w:lang w:val="en-US" w:eastAsia="ja-JP"/>
        </w:rPr>
      </w:pPr>
      <w:bookmarkStart w:id="0" w:name="_Toc193024528"/>
      <w:r>
        <w:rPr>
          <w:rFonts w:ascii="Arial" w:hAnsi="Arial" w:cs="Arial"/>
          <w:b/>
          <w:noProof/>
          <w:sz w:val="24"/>
          <w:szCs w:val="24"/>
          <w:lang w:val="en-US"/>
        </w:rPr>
        <w:t>3GPP TSG-RAN WG4 RAN4 #83</w:t>
      </w:r>
      <w:r w:rsidRPr="004B7E17">
        <w:rPr>
          <w:rFonts w:ascii="Arial" w:hAnsi="Arial" w:cs="Arial"/>
          <w:b/>
          <w:noProof/>
          <w:sz w:val="24"/>
          <w:szCs w:val="24"/>
          <w:lang w:val="en-US"/>
        </w:rPr>
        <w:tab/>
        <w:t>R4-1</w:t>
      </w:r>
      <w:r>
        <w:rPr>
          <w:rFonts w:ascii="Arial" w:hAnsi="Arial" w:cs="Arial"/>
          <w:b/>
          <w:noProof/>
          <w:sz w:val="24"/>
          <w:szCs w:val="24"/>
          <w:lang w:val="en-US"/>
        </w:rPr>
        <w:t>7</w:t>
      </w:r>
      <w:r w:rsidR="00A44515">
        <w:rPr>
          <w:rFonts w:ascii="Arial" w:hAnsi="Arial" w:cs="Arial"/>
          <w:b/>
          <w:noProof/>
          <w:sz w:val="24"/>
          <w:szCs w:val="24"/>
          <w:lang w:val="en-US"/>
        </w:rPr>
        <w:t>04570</w:t>
      </w:r>
    </w:p>
    <w:p w14:paraId="2EC43E54" w14:textId="5A791D3E" w:rsidR="00A32164" w:rsidRDefault="00380C19" w:rsidP="00011781">
      <w:pPr>
        <w:pStyle w:val="Footer"/>
        <w:jc w:val="both"/>
        <w:rPr>
          <w:i w:val="0"/>
          <w:noProof w:val="0"/>
          <w:sz w:val="24"/>
          <w:szCs w:val="24"/>
          <w:lang w:eastAsia="ja-JP"/>
        </w:rPr>
      </w:pPr>
      <w:r>
        <w:rPr>
          <w:rFonts w:eastAsia="SimSun"/>
          <w:i w:val="0"/>
          <w:noProof w:val="0"/>
          <w:sz w:val="24"/>
          <w:szCs w:val="24"/>
          <w:lang w:eastAsia="zh-CN"/>
        </w:rPr>
        <w:t>Hangzhou, China</w:t>
      </w:r>
      <w:r>
        <w:rPr>
          <w:i w:val="0"/>
          <w:noProof w:val="0"/>
          <w:sz w:val="24"/>
          <w:szCs w:val="24"/>
          <w:lang w:eastAsia="ja-JP"/>
        </w:rPr>
        <w:t>, May 25</w:t>
      </w:r>
      <w:r w:rsidRPr="006F147E">
        <w:rPr>
          <w:i w:val="0"/>
          <w:noProof w:val="0"/>
          <w:sz w:val="24"/>
          <w:szCs w:val="24"/>
          <w:vertAlign w:val="superscript"/>
          <w:lang w:eastAsia="ja-JP"/>
        </w:rPr>
        <w:t>th</w:t>
      </w:r>
      <w:r>
        <w:rPr>
          <w:i w:val="0"/>
          <w:noProof w:val="0"/>
          <w:sz w:val="24"/>
          <w:szCs w:val="24"/>
          <w:lang w:eastAsia="ja-JP"/>
        </w:rPr>
        <w:t>-19</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14:paraId="7363B36E" w14:textId="77777777" w:rsidR="00380C19" w:rsidRPr="000A64D8" w:rsidRDefault="00380C19" w:rsidP="00011781">
      <w:pPr>
        <w:pStyle w:val="Footer"/>
        <w:jc w:val="both"/>
        <w:rPr>
          <w:noProof w:val="0"/>
        </w:rPr>
      </w:pPr>
    </w:p>
    <w:p w14:paraId="3997F049" w14:textId="670507A4" w:rsidR="00A32164" w:rsidRPr="000A64D8" w:rsidRDefault="00A32164" w:rsidP="0001178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5016D">
        <w:rPr>
          <w:rFonts w:ascii="Arial" w:hAnsi="Arial"/>
          <w:sz w:val="24"/>
        </w:rPr>
        <w:t>10.</w:t>
      </w:r>
      <w:r w:rsidR="00A44515">
        <w:rPr>
          <w:rFonts w:ascii="Arial" w:hAnsi="Arial"/>
          <w:sz w:val="24"/>
        </w:rPr>
        <w:t>6</w:t>
      </w:r>
      <w:r w:rsidR="0035016D">
        <w:rPr>
          <w:rFonts w:ascii="Arial" w:hAnsi="Arial"/>
          <w:sz w:val="24"/>
        </w:rPr>
        <w:t>.</w:t>
      </w:r>
      <w:r w:rsidR="00A44515">
        <w:rPr>
          <w:rFonts w:ascii="Arial" w:hAnsi="Arial"/>
          <w:sz w:val="24"/>
        </w:rPr>
        <w:t>5</w:t>
      </w:r>
    </w:p>
    <w:p w14:paraId="14E9FD35" w14:textId="77777777" w:rsidR="00A32164" w:rsidRPr="000A64D8" w:rsidRDefault="00A32164" w:rsidP="0001178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48AFE89E" w:rsidR="00A32164" w:rsidRPr="000A64D8" w:rsidRDefault="00A32164" w:rsidP="00011781">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D3336">
        <w:rPr>
          <w:rFonts w:ascii="Arial" w:hAnsi="Arial"/>
          <w:sz w:val="22"/>
        </w:rPr>
        <w:t>Beam management requirement</w:t>
      </w:r>
      <w:r w:rsidR="00D423F9">
        <w:rPr>
          <w:rFonts w:ascii="Arial" w:hAnsi="Arial"/>
          <w:sz w:val="22"/>
        </w:rPr>
        <w:t>s</w:t>
      </w:r>
    </w:p>
    <w:p w14:paraId="7477C2F3" w14:textId="0D6C939E" w:rsidR="00A32164" w:rsidRDefault="00A32164" w:rsidP="00011781">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p>
    <w:p w14:paraId="317EE72E" w14:textId="77777777" w:rsidR="008817D4" w:rsidRPr="008817D4" w:rsidRDefault="008817D4" w:rsidP="00011781">
      <w:pPr>
        <w:pStyle w:val="Heading1"/>
        <w:overflowPunct w:val="0"/>
        <w:autoSpaceDE w:val="0"/>
        <w:autoSpaceDN w:val="0"/>
        <w:adjustRightInd w:val="0"/>
        <w:ind w:left="1134" w:hanging="1134"/>
        <w:jc w:val="both"/>
        <w:textAlignment w:val="baseline"/>
        <w:rPr>
          <w:rFonts w:eastAsia="SimSun"/>
          <w:sz w:val="36"/>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283553CA" w14:textId="7BCBDC74" w:rsidR="0001291A" w:rsidRDefault="005F6A4A" w:rsidP="00011781">
      <w:pPr>
        <w:jc w:val="both"/>
        <w:rPr>
          <w:lang w:val="en-US" w:eastAsia="ja-JP"/>
        </w:rPr>
      </w:pPr>
      <w:r>
        <w:rPr>
          <w:lang w:val="en-US" w:eastAsia="ja-JP"/>
        </w:rPr>
        <w:t>As part of the RRM requirements for NR, RAN4 will have to define requirements for beam management. This area is new to RAN4, what requirements should be defined and the methodology to derive these requirements has to be discussed. In this paper we provide a brief analysis on these issues.</w:t>
      </w:r>
    </w:p>
    <w:p w14:paraId="2A6A26E9" w14:textId="2AF721BE" w:rsidR="00062E6F" w:rsidRDefault="007C61DA" w:rsidP="00011781">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56D547E6" w14:textId="2C670B5B" w:rsidR="005F6A4A" w:rsidRDefault="005F6A4A" w:rsidP="00011781">
      <w:pPr>
        <w:jc w:val="both"/>
        <w:rPr>
          <w:lang w:val="en-US"/>
        </w:rPr>
      </w:pPr>
      <w:r>
        <w:rPr>
          <w:lang w:val="en-US"/>
        </w:rPr>
        <w:t>Beam management has some similarities to the actual measurements used for mobility</w:t>
      </w:r>
      <w:r w:rsidR="00704C03">
        <w:rPr>
          <w:lang w:val="en-US"/>
        </w:rPr>
        <w:t xml:space="preserve"> in legacy systems</w:t>
      </w:r>
      <w:r>
        <w:rPr>
          <w:lang w:val="en-US"/>
        </w:rPr>
        <w:t>. From a physical layer point of view, each beam can has to discover</w:t>
      </w:r>
      <w:r w:rsidR="007648DB">
        <w:rPr>
          <w:lang w:val="en-US"/>
        </w:rPr>
        <w:t>ed</w:t>
      </w:r>
      <w:r>
        <w:rPr>
          <w:lang w:val="en-US"/>
        </w:rPr>
        <w:t xml:space="preserve"> </w:t>
      </w:r>
      <w:r w:rsidR="007648DB">
        <w:rPr>
          <w:lang w:val="en-US"/>
        </w:rPr>
        <w:t xml:space="preserve">and </w:t>
      </w:r>
      <w:r>
        <w:rPr>
          <w:lang w:val="en-US"/>
        </w:rPr>
        <w:t>measure</w:t>
      </w:r>
      <w:r w:rsidR="007648DB">
        <w:rPr>
          <w:lang w:val="en-US"/>
        </w:rPr>
        <w:t>d independently(similar to a cell in legacy cases)</w:t>
      </w:r>
      <w:r>
        <w:rPr>
          <w:lang w:val="en-US"/>
        </w:rPr>
        <w:t>, and based on these measurements the UE will switch the beams used for communicating with the base station</w:t>
      </w:r>
      <w:r w:rsidR="00704C03">
        <w:rPr>
          <w:lang w:val="en-US"/>
        </w:rPr>
        <w:t>(similar to handover in legacy systems)</w:t>
      </w:r>
      <w:r>
        <w:rPr>
          <w:lang w:val="en-US"/>
        </w:rPr>
        <w:t xml:space="preserve">. The coverage of each beam </w:t>
      </w:r>
      <w:r w:rsidR="004F39C4">
        <w:rPr>
          <w:lang w:val="en-US"/>
        </w:rPr>
        <w:t xml:space="preserve">is likely to be much smaller compared to a normal cell so the </w:t>
      </w:r>
      <w:r w:rsidR="00571A86">
        <w:rPr>
          <w:lang w:val="en-US"/>
        </w:rPr>
        <w:t>beam switching is likely to be o</w:t>
      </w:r>
      <w:r w:rsidR="004F39C4">
        <w:rPr>
          <w:lang w:val="en-US"/>
        </w:rPr>
        <w:t>n a much shorter time scale compared to LTE handovers.</w:t>
      </w:r>
      <w:r w:rsidR="00571A86">
        <w:rPr>
          <w:lang w:val="en-US"/>
        </w:rPr>
        <w:t xml:space="preserve"> For beam managements, RAN4 is expected to develop requirements for beam detection, measurement period and number of beams that the UE should be able to monitor.</w:t>
      </w:r>
    </w:p>
    <w:p w14:paraId="0D0ED521" w14:textId="083AEB00" w:rsidR="00571A86" w:rsidRPr="00DE083C" w:rsidRDefault="00571A86" w:rsidP="00011781">
      <w:pPr>
        <w:jc w:val="both"/>
        <w:rPr>
          <w:b/>
          <w:lang w:val="en-US"/>
        </w:rPr>
      </w:pPr>
      <w:r w:rsidRPr="00DE083C">
        <w:rPr>
          <w:b/>
          <w:lang w:val="en-US"/>
        </w:rPr>
        <w:t>Observation 1: For beam management RAN4 will have to define requirements at least for beam detection, beam measurement period and number of beams that a UE should be able to monitor.</w:t>
      </w:r>
    </w:p>
    <w:p w14:paraId="0045EC9A" w14:textId="5D1C20AC" w:rsidR="006C44FC" w:rsidRDefault="006C44FC" w:rsidP="00011781">
      <w:pPr>
        <w:jc w:val="both"/>
        <w:rPr>
          <w:lang w:val="en-US"/>
        </w:rPr>
      </w:pPr>
      <w:r>
        <w:rPr>
          <w:lang w:val="en-US"/>
        </w:rPr>
        <w:t xml:space="preserve">To determine mobility related requirements in the past, RAN4 performed dynamic system simulations with different parameters for mobility procedures to understand the tradeoffs between performance and UE measurement activity. The goal of these simulations is to define measurement requirements that are versatile enough to guarantee o minimum level of performance in various deployment scenarios while balancing UE power consumption and </w:t>
      </w:r>
      <w:r w:rsidR="009029DC">
        <w:rPr>
          <w:lang w:val="en-US"/>
        </w:rPr>
        <w:t>processing complexity. To understand the requirements needed for beam management</w:t>
      </w:r>
      <w:r w:rsidR="00704C03">
        <w:rPr>
          <w:lang w:val="en-US"/>
        </w:rPr>
        <w:t>,</w:t>
      </w:r>
      <w:r w:rsidR="009029DC">
        <w:rPr>
          <w:lang w:val="en-US"/>
        </w:rPr>
        <w:t xml:space="preserve"> a dynamic system simulation with beam management procedures would be needed. </w:t>
      </w:r>
    </w:p>
    <w:p w14:paraId="0F7E57A0" w14:textId="279188F3" w:rsidR="009029DC" w:rsidRPr="00DE083C" w:rsidRDefault="009029DC" w:rsidP="00011781">
      <w:pPr>
        <w:jc w:val="both"/>
        <w:rPr>
          <w:b/>
          <w:lang w:val="en-US"/>
        </w:rPr>
      </w:pPr>
      <w:r w:rsidRPr="00DE083C">
        <w:rPr>
          <w:b/>
          <w:lang w:val="en-US"/>
        </w:rPr>
        <w:t>Observation 2: A dynamic system simulation sho</w:t>
      </w:r>
      <w:r w:rsidR="00DE083C" w:rsidRPr="00DE083C">
        <w:rPr>
          <w:b/>
          <w:lang w:val="en-US"/>
        </w:rPr>
        <w:t>uld be used to determine the req</w:t>
      </w:r>
      <w:r w:rsidRPr="00DE083C">
        <w:rPr>
          <w:b/>
          <w:lang w:val="en-US"/>
        </w:rPr>
        <w:t>uirements for beam management.</w:t>
      </w:r>
    </w:p>
    <w:p w14:paraId="019F64DA" w14:textId="56F80ED4" w:rsidR="009029DC" w:rsidRDefault="009029DC" w:rsidP="00011781">
      <w:pPr>
        <w:jc w:val="both"/>
        <w:rPr>
          <w:lang w:val="en-US"/>
        </w:rPr>
      </w:pPr>
      <w:r>
        <w:rPr>
          <w:lang w:val="en-US"/>
        </w:rPr>
        <w:t xml:space="preserve">Considering the very tight timeline for development of the requirements, RAN4 should discuss and agree the high level simulation parameters as soon as possible. Implementing and running such complex simulation will take a significant amount of time. Even if </w:t>
      </w:r>
      <w:r w:rsidR="00B96322">
        <w:rPr>
          <w:lang w:val="en-US"/>
        </w:rPr>
        <w:t xml:space="preserve">RAN1/2 have not finalized the design for the beam management procedures, we believe that the RAN4 discussion on simulation setup can proceed and it could even be possible to perform some simulations for alignment using simplified procedures. </w:t>
      </w:r>
    </w:p>
    <w:p w14:paraId="055DCEDC" w14:textId="29CB5512" w:rsidR="00B96322" w:rsidRDefault="00B96322" w:rsidP="00011781">
      <w:pPr>
        <w:jc w:val="both"/>
        <w:rPr>
          <w:lang w:val="en-US"/>
        </w:rPr>
      </w:pPr>
      <w:r>
        <w:rPr>
          <w:lang w:val="en-US"/>
        </w:rPr>
        <w:t>For deployment scenarios, the scenarios captured in TR 38.802 applicable to frequency ranges 24-52GHz should be used. It should be noted that Indoor hotspot, dense urban and urban macro were also used for the NR co-existence that RAN4 performed during the NR study item.</w:t>
      </w:r>
    </w:p>
    <w:p w14:paraId="3A9D8E2A" w14:textId="77777777" w:rsidR="00EC414C" w:rsidRDefault="00EC414C" w:rsidP="00011781">
      <w:pPr>
        <w:jc w:val="both"/>
        <w:rPr>
          <w:lang w:val="en-US"/>
        </w:rPr>
      </w:pPr>
      <w:r>
        <w:rPr>
          <w:lang w:val="en-US"/>
        </w:rPr>
        <w:t>The channel models used in dynamic system simulations must be correlated with the movement of the UEs. In TR 38.900, this is referred to as spatial consistency and a model is provided in Section 7.6.3. We propose to use this models in the dynamic system simulations.</w:t>
      </w:r>
    </w:p>
    <w:p w14:paraId="3E4A4249" w14:textId="1B502505" w:rsidR="00EC414C" w:rsidRPr="00DE083C" w:rsidRDefault="00DE083C" w:rsidP="00011781">
      <w:pPr>
        <w:jc w:val="both"/>
        <w:rPr>
          <w:b/>
          <w:lang w:val="en-US"/>
        </w:rPr>
      </w:pPr>
      <w:r w:rsidRPr="00DE083C">
        <w:rPr>
          <w:b/>
          <w:lang w:val="en-US"/>
        </w:rPr>
        <w:t>Proposal 1: Dynamic system simulation should employ the deployment scenarios in TR38.802 applicable to 24-52GHz and channel models with spatial consistency as defined in TR 38.900.</w:t>
      </w:r>
    </w:p>
    <w:p w14:paraId="6CA8E138" w14:textId="72E4670F" w:rsidR="00DE083C" w:rsidRDefault="00DE083C" w:rsidP="00011781">
      <w:pPr>
        <w:jc w:val="both"/>
        <w:rPr>
          <w:lang w:val="en-US"/>
        </w:rPr>
      </w:pPr>
      <w:r>
        <w:rPr>
          <w:lang w:val="en-US"/>
        </w:rPr>
        <w:t xml:space="preserve">Beam management procedures together with beam recovery have to be emulated in the simulation. For the beam management, beam detection, measurement period, triggering and reporting delay, beam switching delay have to be </w:t>
      </w:r>
      <w:r>
        <w:rPr>
          <w:lang w:val="en-US"/>
        </w:rPr>
        <w:lastRenderedPageBreak/>
        <w:t xml:space="preserve">modeled in the simulations. The goal of the simulations is to understand how different sets of </w:t>
      </w:r>
      <w:r w:rsidR="00E34642">
        <w:rPr>
          <w:lang w:val="en-US"/>
        </w:rPr>
        <w:t xml:space="preserve">delay </w:t>
      </w:r>
      <w:r>
        <w:rPr>
          <w:lang w:val="en-US"/>
        </w:rPr>
        <w:t>parameters influence the system performance</w:t>
      </w:r>
      <w:r w:rsidR="00E34642">
        <w:rPr>
          <w:lang w:val="en-US"/>
        </w:rPr>
        <w:t xml:space="preserve"> and what the appropriate requirements to de defined.</w:t>
      </w:r>
    </w:p>
    <w:p w14:paraId="26158FC2" w14:textId="77C35D75" w:rsidR="00651155" w:rsidRDefault="00651155" w:rsidP="00011781">
      <w:pPr>
        <w:jc w:val="both"/>
        <w:rPr>
          <w:lang w:val="en-US"/>
        </w:rPr>
      </w:pPr>
      <w:r>
        <w:rPr>
          <w:lang w:val="en-US"/>
        </w:rPr>
        <w:t>Measurement accuracies will have to be accounted for in these simulations. RAN1 has not finalized the design for the reference signals to be used for measurements so the measurement accuracy is not yet known. Until these details are cla</w:t>
      </w:r>
      <w:r w:rsidR="008C2DF9">
        <w:rPr>
          <w:lang w:val="en-US"/>
        </w:rPr>
        <w:t>rified, we believe that measurement accuracies based on LTE specifications could be used in the initial phase of the simulation campaign.</w:t>
      </w:r>
    </w:p>
    <w:p w14:paraId="257C9540" w14:textId="6D2300D9" w:rsidR="00E34642" w:rsidRDefault="00E34642" w:rsidP="00011781">
      <w:pPr>
        <w:jc w:val="both"/>
        <w:rPr>
          <w:lang w:val="en-US"/>
        </w:rPr>
      </w:pPr>
      <w:r>
        <w:rPr>
          <w:lang w:val="en-US"/>
        </w:rPr>
        <w:t xml:space="preserve">The statistics to be collected should be similar to statistics previously used in mobility simulations: percentage of beam switch failures, amount of time spent in outage(UE cannot send UL/DL traffic), number of ping-pongs and time of stay on a single beam. </w:t>
      </w:r>
    </w:p>
    <w:p w14:paraId="46110AEC" w14:textId="082B72FC" w:rsidR="00A24FEA" w:rsidRDefault="00E5644C" w:rsidP="00011781">
      <w:pPr>
        <w:jc w:val="both"/>
        <w:rPr>
          <w:lang w:val="en-US"/>
        </w:rPr>
      </w:pPr>
      <w:r>
        <w:rPr>
          <w:lang w:val="en-US"/>
        </w:rPr>
        <w:t xml:space="preserve">The modeling of the UE antenna array </w:t>
      </w:r>
      <w:r w:rsidR="007648DB">
        <w:rPr>
          <w:lang w:val="en-US"/>
        </w:rPr>
        <w:t xml:space="preserve">and rotation </w:t>
      </w:r>
      <w:bookmarkStart w:id="4" w:name="_GoBack"/>
      <w:bookmarkEnd w:id="4"/>
      <w:r>
        <w:rPr>
          <w:lang w:val="en-US"/>
        </w:rPr>
        <w:t>will play a very important role in the outcome of the simulations. UEs are expected to have different array gains in different directions and the beams that they “see” will depend on this. Whether the assumptions used in the co-existence study</w:t>
      </w:r>
      <w:r w:rsidR="00A24FEA">
        <w:rPr>
          <w:lang w:val="en-US"/>
        </w:rPr>
        <w:t xml:space="preserve"> (</w:t>
      </w:r>
      <w:r>
        <w:rPr>
          <w:lang w:val="en-US"/>
        </w:rPr>
        <w:t>UE ha</w:t>
      </w:r>
      <w:r w:rsidR="00A24FEA">
        <w:rPr>
          <w:lang w:val="en-US"/>
        </w:rPr>
        <w:t>s</w:t>
      </w:r>
      <w:r>
        <w:rPr>
          <w:lang w:val="en-US"/>
        </w:rPr>
        <w:t xml:space="preserve"> 2 panels</w:t>
      </w:r>
      <w:r w:rsidR="00A24FEA">
        <w:rPr>
          <w:lang w:val="en-US"/>
        </w:rPr>
        <w:t xml:space="preserve">, each </w:t>
      </w:r>
      <w:r>
        <w:rPr>
          <w:lang w:val="en-US"/>
        </w:rPr>
        <w:t xml:space="preserve">with 4 </w:t>
      </w:r>
      <w:r w:rsidR="00A24FEA">
        <w:rPr>
          <w:lang w:val="en-US"/>
        </w:rPr>
        <w:t xml:space="preserve">elements on each polarization. Total of 16 elements) </w:t>
      </w:r>
      <w:r>
        <w:rPr>
          <w:lang w:val="en-US"/>
        </w:rPr>
        <w:t xml:space="preserve">should be re-used or a </w:t>
      </w:r>
      <w:r w:rsidR="00A24FEA">
        <w:rPr>
          <w:lang w:val="en-US"/>
        </w:rPr>
        <w:t xml:space="preserve">different model(e.g. a minimum gain that applies in any direction) should </w:t>
      </w:r>
      <w:r>
        <w:rPr>
          <w:lang w:val="en-US"/>
        </w:rPr>
        <w:t xml:space="preserve">be adopted needs further discussion. </w:t>
      </w:r>
    </w:p>
    <w:p w14:paraId="3F52AFBF" w14:textId="619DF800" w:rsidR="00E34642" w:rsidRDefault="00A24FEA" w:rsidP="00011781">
      <w:pPr>
        <w:jc w:val="both"/>
        <w:rPr>
          <w:lang w:val="en-US"/>
        </w:rPr>
      </w:pPr>
      <w:r>
        <w:rPr>
          <w:lang w:val="en-US"/>
        </w:rPr>
        <w:t>It should be noted that t</w:t>
      </w:r>
      <w:r w:rsidR="00E5644C">
        <w:rPr>
          <w:lang w:val="en-US"/>
        </w:rPr>
        <w:t xml:space="preserve">he requirements </w:t>
      </w:r>
      <w:r>
        <w:rPr>
          <w:lang w:val="en-US"/>
        </w:rPr>
        <w:t xml:space="preserve">should be </w:t>
      </w:r>
      <w:r w:rsidR="00E5644C">
        <w:rPr>
          <w:lang w:val="en-US"/>
        </w:rPr>
        <w:t xml:space="preserve">agnostic </w:t>
      </w:r>
      <w:r>
        <w:rPr>
          <w:lang w:val="en-US"/>
        </w:rPr>
        <w:t>of the UE antenna configuration (should not mandate a certain antenna implementation). This aspect should also be taken into account when discussing the antenna model and simulation assumption.</w:t>
      </w:r>
    </w:p>
    <w:p w14:paraId="269EC661" w14:textId="77777777" w:rsidR="008B4B2B" w:rsidRDefault="00724C22" w:rsidP="00011781">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4A6B03EE" w14:textId="6982EE2D" w:rsidR="00011781" w:rsidRDefault="00011781" w:rsidP="00011781">
      <w:pPr>
        <w:jc w:val="both"/>
        <w:rPr>
          <w:lang w:val="en-US"/>
        </w:rPr>
      </w:pPr>
      <w:r>
        <w:rPr>
          <w:lang w:val="en-US"/>
        </w:rPr>
        <w:t>In this paper we briefly discussed the high level framework for defining the beam management requirements. We made the following observations and proposals:</w:t>
      </w:r>
    </w:p>
    <w:p w14:paraId="56DE97C6" w14:textId="77777777" w:rsidR="00011781" w:rsidRPr="00DE083C" w:rsidRDefault="00011781" w:rsidP="00011781">
      <w:pPr>
        <w:jc w:val="both"/>
        <w:rPr>
          <w:b/>
          <w:lang w:val="en-US"/>
        </w:rPr>
      </w:pPr>
      <w:r w:rsidRPr="00DE083C">
        <w:rPr>
          <w:b/>
          <w:lang w:val="en-US"/>
        </w:rPr>
        <w:t>Observation 1: For beam management RAN4 will have to define requirements at least for beam detection, beam measurement period and number of beams that a UE should be able to monitor.</w:t>
      </w:r>
    </w:p>
    <w:p w14:paraId="7E1B65E8" w14:textId="77777777" w:rsidR="00011781" w:rsidRPr="00DE083C" w:rsidRDefault="00011781" w:rsidP="00011781">
      <w:pPr>
        <w:jc w:val="both"/>
        <w:rPr>
          <w:b/>
          <w:lang w:val="en-US"/>
        </w:rPr>
      </w:pPr>
      <w:r w:rsidRPr="00DE083C">
        <w:rPr>
          <w:b/>
          <w:lang w:val="en-US"/>
        </w:rPr>
        <w:t>Observation 2: A dynamic system simulation should be used to determine the requirements for beam management.</w:t>
      </w:r>
    </w:p>
    <w:p w14:paraId="569FB102" w14:textId="738AC4D1" w:rsidR="0007533B" w:rsidRPr="00011781" w:rsidRDefault="00011781" w:rsidP="00011781">
      <w:pPr>
        <w:jc w:val="both"/>
        <w:rPr>
          <w:b/>
          <w:lang w:val="en-US"/>
        </w:rPr>
      </w:pPr>
      <w:r w:rsidRPr="00DE083C">
        <w:rPr>
          <w:b/>
          <w:lang w:val="en-US"/>
        </w:rPr>
        <w:t>Proposal 1: Dynamic system simulation should employ the deployment scenarios in TR38.802 applicable to 24-52GHz and channel models with spatial consistency as defined in TR 38.900</w:t>
      </w:r>
      <w:bookmarkEnd w:id="0"/>
    </w:p>
    <w:sectPr w:rsidR="0007533B" w:rsidRPr="00011781"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44099" w14:textId="77777777" w:rsidR="00282F72" w:rsidRDefault="00282F72">
      <w:r>
        <w:separator/>
      </w:r>
    </w:p>
  </w:endnote>
  <w:endnote w:type="continuationSeparator" w:id="0">
    <w:p w14:paraId="3D35467A" w14:textId="77777777" w:rsidR="00282F72" w:rsidRDefault="0028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55697559"/>
      <w:docPartObj>
        <w:docPartGallery w:val="Page Numbers (Bottom of Page)"/>
        <w:docPartUnique/>
      </w:docPartObj>
    </w:sdtPr>
    <w:sdtEndPr>
      <w:rPr>
        <w:noProof/>
      </w:rPr>
    </w:sdtEndPr>
    <w:sdtContent>
      <w:p w14:paraId="52CA4F89" w14:textId="3BEBF2C8" w:rsidR="0001291A" w:rsidRDefault="0001291A">
        <w:pPr>
          <w:pStyle w:val="Footer"/>
        </w:pPr>
        <w:r>
          <w:rPr>
            <w:noProof w:val="0"/>
          </w:rPr>
          <w:fldChar w:fldCharType="begin"/>
        </w:r>
        <w:r>
          <w:instrText xml:space="preserve"> PAGE   \* MERGEFORMAT </w:instrText>
        </w:r>
        <w:r>
          <w:rPr>
            <w:noProof w:val="0"/>
          </w:rPr>
          <w:fldChar w:fldCharType="separate"/>
        </w:r>
        <w:r w:rsidR="00875817">
          <w:t>2</w:t>
        </w:r>
        <w:r>
          <w:fldChar w:fldCharType="end"/>
        </w:r>
      </w:p>
    </w:sdtContent>
  </w:sdt>
  <w:p w14:paraId="1DE43AF8" w14:textId="4D47B3D2" w:rsidR="0001291A" w:rsidRDefault="000129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C0B84" w14:textId="77777777" w:rsidR="00282F72" w:rsidRDefault="00282F72">
      <w:r>
        <w:separator/>
      </w:r>
    </w:p>
  </w:footnote>
  <w:footnote w:type="continuationSeparator" w:id="0">
    <w:p w14:paraId="36205A6E" w14:textId="77777777" w:rsidR="00282F72" w:rsidRDefault="00282F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75pt;height:15.7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5"/>
  </w:num>
  <w:num w:numId="4">
    <w:abstractNumId w:val="16"/>
  </w:num>
  <w:num w:numId="5">
    <w:abstractNumId w:val="13"/>
  </w:num>
  <w:num w:numId="6">
    <w:abstractNumId w:val="1"/>
  </w:num>
  <w:num w:numId="7">
    <w:abstractNumId w:val="5"/>
  </w:num>
  <w:num w:numId="8">
    <w:abstractNumId w:val="9"/>
  </w:num>
  <w:num w:numId="9">
    <w:abstractNumId w:val="10"/>
  </w:num>
  <w:num w:numId="10">
    <w:abstractNumId w:val="8"/>
  </w:num>
  <w:num w:numId="11">
    <w:abstractNumId w:val="7"/>
  </w:num>
  <w:num w:numId="12">
    <w:abstractNumId w:val="6"/>
  </w:num>
  <w:num w:numId="13">
    <w:abstractNumId w:val="12"/>
  </w:num>
  <w:num w:numId="14">
    <w:abstractNumId w:val="11"/>
  </w:num>
  <w:num w:numId="15">
    <w:abstractNumId w:val="14"/>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781"/>
    <w:rsid w:val="000118F6"/>
    <w:rsid w:val="00011EE0"/>
    <w:rsid w:val="000127AD"/>
    <w:rsid w:val="0001291A"/>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E7EF6"/>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2F72"/>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CD"/>
    <w:rsid w:val="002C2C81"/>
    <w:rsid w:val="002C3479"/>
    <w:rsid w:val="002C3F9C"/>
    <w:rsid w:val="002C4BB7"/>
    <w:rsid w:val="002C5758"/>
    <w:rsid w:val="002C591E"/>
    <w:rsid w:val="002C5AD8"/>
    <w:rsid w:val="002C5BCD"/>
    <w:rsid w:val="002C61E1"/>
    <w:rsid w:val="002C63B6"/>
    <w:rsid w:val="002C6820"/>
    <w:rsid w:val="002C7216"/>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EDA"/>
    <w:rsid w:val="00391BE3"/>
    <w:rsid w:val="00391C96"/>
    <w:rsid w:val="00391F60"/>
    <w:rsid w:val="003923AD"/>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05A"/>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4983"/>
    <w:rsid w:val="00444F8C"/>
    <w:rsid w:val="004453C9"/>
    <w:rsid w:val="00445A1C"/>
    <w:rsid w:val="0044674B"/>
    <w:rsid w:val="00446771"/>
    <w:rsid w:val="0044680A"/>
    <w:rsid w:val="00446AD9"/>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9C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1A86"/>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8F3"/>
    <w:rsid w:val="005A2C0F"/>
    <w:rsid w:val="005A2C83"/>
    <w:rsid w:val="005A2C9F"/>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4A"/>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155"/>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838"/>
    <w:rsid w:val="006A6996"/>
    <w:rsid w:val="006A6C31"/>
    <w:rsid w:val="006A7D56"/>
    <w:rsid w:val="006B007A"/>
    <w:rsid w:val="006B178C"/>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44FC"/>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4C03"/>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77F"/>
    <w:rsid w:val="00744523"/>
    <w:rsid w:val="00744C6D"/>
    <w:rsid w:val="007464A1"/>
    <w:rsid w:val="00746768"/>
    <w:rsid w:val="007468E1"/>
    <w:rsid w:val="00746DAC"/>
    <w:rsid w:val="00746F66"/>
    <w:rsid w:val="00747EC4"/>
    <w:rsid w:val="007503B9"/>
    <w:rsid w:val="007506E8"/>
    <w:rsid w:val="007517B6"/>
    <w:rsid w:val="00751E8D"/>
    <w:rsid w:val="0075286F"/>
    <w:rsid w:val="0075358A"/>
    <w:rsid w:val="007538D1"/>
    <w:rsid w:val="00753A02"/>
    <w:rsid w:val="0075402D"/>
    <w:rsid w:val="00754097"/>
    <w:rsid w:val="007543D9"/>
    <w:rsid w:val="0076138E"/>
    <w:rsid w:val="00761AD4"/>
    <w:rsid w:val="0076284B"/>
    <w:rsid w:val="00763A8A"/>
    <w:rsid w:val="00763EA2"/>
    <w:rsid w:val="007648DB"/>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5817"/>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681"/>
    <w:rsid w:val="008B4739"/>
    <w:rsid w:val="008B4B2B"/>
    <w:rsid w:val="008B5400"/>
    <w:rsid w:val="008B6722"/>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2DF9"/>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3336"/>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9DC"/>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3BC9"/>
    <w:rsid w:val="009E40F2"/>
    <w:rsid w:val="009E5207"/>
    <w:rsid w:val="009E65A1"/>
    <w:rsid w:val="009E66F7"/>
    <w:rsid w:val="009E6BC6"/>
    <w:rsid w:val="009E6DC2"/>
    <w:rsid w:val="009E7377"/>
    <w:rsid w:val="009E79AF"/>
    <w:rsid w:val="009F256E"/>
    <w:rsid w:val="009F458D"/>
    <w:rsid w:val="009F4F0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4FEA"/>
    <w:rsid w:val="00A2611D"/>
    <w:rsid w:val="00A2694D"/>
    <w:rsid w:val="00A2699F"/>
    <w:rsid w:val="00A26A1E"/>
    <w:rsid w:val="00A26DE2"/>
    <w:rsid w:val="00A2785C"/>
    <w:rsid w:val="00A27B3E"/>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515"/>
    <w:rsid w:val="00A44685"/>
    <w:rsid w:val="00A45996"/>
    <w:rsid w:val="00A46784"/>
    <w:rsid w:val="00A467DC"/>
    <w:rsid w:val="00A47E70"/>
    <w:rsid w:val="00A507A1"/>
    <w:rsid w:val="00A50AE5"/>
    <w:rsid w:val="00A50F57"/>
    <w:rsid w:val="00A51233"/>
    <w:rsid w:val="00A523FF"/>
    <w:rsid w:val="00A52910"/>
    <w:rsid w:val="00A52E8F"/>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367F3"/>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22"/>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33D7"/>
    <w:rsid w:val="00CB3714"/>
    <w:rsid w:val="00CB41AA"/>
    <w:rsid w:val="00CB43B9"/>
    <w:rsid w:val="00CB4B37"/>
    <w:rsid w:val="00CB4DE2"/>
    <w:rsid w:val="00CB5B31"/>
    <w:rsid w:val="00CB6DD4"/>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143E"/>
    <w:rsid w:val="00D121DE"/>
    <w:rsid w:val="00D12684"/>
    <w:rsid w:val="00D12EFF"/>
    <w:rsid w:val="00D13AF7"/>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4EA"/>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2C8"/>
    <w:rsid w:val="00D377E1"/>
    <w:rsid w:val="00D40292"/>
    <w:rsid w:val="00D4069E"/>
    <w:rsid w:val="00D40C3D"/>
    <w:rsid w:val="00D41368"/>
    <w:rsid w:val="00D413F6"/>
    <w:rsid w:val="00D414D6"/>
    <w:rsid w:val="00D41622"/>
    <w:rsid w:val="00D423F9"/>
    <w:rsid w:val="00D44893"/>
    <w:rsid w:val="00D44952"/>
    <w:rsid w:val="00D45097"/>
    <w:rsid w:val="00D47B5E"/>
    <w:rsid w:val="00D500FB"/>
    <w:rsid w:val="00D504D2"/>
    <w:rsid w:val="00D507C5"/>
    <w:rsid w:val="00D50E90"/>
    <w:rsid w:val="00D51DA3"/>
    <w:rsid w:val="00D5234E"/>
    <w:rsid w:val="00D52DEF"/>
    <w:rsid w:val="00D55157"/>
    <w:rsid w:val="00D5516B"/>
    <w:rsid w:val="00D55FF2"/>
    <w:rsid w:val="00D56017"/>
    <w:rsid w:val="00D575BD"/>
    <w:rsid w:val="00D57B7C"/>
    <w:rsid w:val="00D60117"/>
    <w:rsid w:val="00D60DA5"/>
    <w:rsid w:val="00D61CFF"/>
    <w:rsid w:val="00D61DC2"/>
    <w:rsid w:val="00D61E64"/>
    <w:rsid w:val="00D6360C"/>
    <w:rsid w:val="00D63847"/>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7C2"/>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83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42"/>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25C3"/>
    <w:rsid w:val="00E53530"/>
    <w:rsid w:val="00E539F4"/>
    <w:rsid w:val="00E54B20"/>
    <w:rsid w:val="00E54D81"/>
    <w:rsid w:val="00E5644C"/>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4C"/>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4.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5.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6.xml><?xml version="1.0" encoding="utf-8"?>
<ds:datastoreItem xmlns:ds="http://schemas.openxmlformats.org/officeDocument/2006/customXml" ds:itemID="{3FABA6B0-3B65-4FCA-873B-453E4670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Gheorghiu, Valentin</cp:lastModifiedBy>
  <cp:revision>2</cp:revision>
  <cp:lastPrinted>2009-04-22T17:01:00Z</cp:lastPrinted>
  <dcterms:created xsi:type="dcterms:W3CDTF">2017-05-05T13:27:00Z</dcterms:created>
  <dcterms:modified xsi:type="dcterms:W3CDTF">2017-05-05T13:27:00Z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