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552" w:rsidRPr="003913EE" w:rsidRDefault="00D51552" w:rsidP="00D51552">
      <w:pPr>
        <w:pStyle w:val="Header"/>
        <w:tabs>
          <w:tab w:val="right" w:pos="10440"/>
          <w:tab w:val="right" w:pos="13323"/>
        </w:tabs>
        <w:rPr>
          <w:sz w:val="24"/>
          <w:szCs w:val="24"/>
          <w:lang w:val="en-US"/>
        </w:rPr>
      </w:pPr>
      <w:r w:rsidRPr="003913EE">
        <w:rPr>
          <w:sz w:val="24"/>
          <w:szCs w:val="24"/>
          <w:lang w:val="en-US"/>
        </w:rPr>
        <w:t>3GPP TSG-RAN WG4 Meeting #</w:t>
      </w:r>
      <w:r>
        <w:rPr>
          <w:sz w:val="24"/>
          <w:szCs w:val="24"/>
          <w:lang w:val="en-US" w:eastAsia="ja-JP"/>
        </w:rPr>
        <w:t>82bis</w:t>
      </w:r>
      <w:r w:rsidRPr="003913EE">
        <w:rPr>
          <w:sz w:val="24"/>
          <w:szCs w:val="24"/>
          <w:lang w:val="en-US"/>
        </w:rPr>
        <w:t xml:space="preserve">                                     </w:t>
      </w:r>
      <w:r>
        <w:rPr>
          <w:sz w:val="24"/>
          <w:szCs w:val="24"/>
          <w:lang w:val="en-US"/>
        </w:rPr>
        <w:t xml:space="preserve">                      </w:t>
      </w:r>
      <w:r w:rsidRPr="003913EE">
        <w:rPr>
          <w:sz w:val="24"/>
          <w:szCs w:val="24"/>
          <w:lang w:val="en-US"/>
        </w:rPr>
        <w:t>R4-</w:t>
      </w:r>
      <w:r>
        <w:rPr>
          <w:sz w:val="24"/>
          <w:szCs w:val="24"/>
          <w:lang w:val="en-US"/>
        </w:rPr>
        <w:t>17</w:t>
      </w:r>
      <w:r w:rsidR="009A5D92">
        <w:rPr>
          <w:sz w:val="24"/>
          <w:szCs w:val="24"/>
          <w:lang w:val="en-US"/>
        </w:rPr>
        <w:t>03423</w:t>
      </w:r>
    </w:p>
    <w:p w:rsidR="00D51552" w:rsidRPr="00887CBB" w:rsidRDefault="00D51552" w:rsidP="00D51552">
      <w:pPr>
        <w:pStyle w:val="BodyText"/>
        <w:rPr>
          <w:rFonts w:ascii="Arial" w:hAnsi="Arial"/>
          <w:b/>
          <w:noProof/>
        </w:rPr>
      </w:pPr>
      <w:r>
        <w:rPr>
          <w:rFonts w:ascii="Arial" w:hAnsi="Arial"/>
          <w:b/>
          <w:noProof/>
        </w:rPr>
        <w:t>Spokane, USA</w:t>
      </w:r>
      <w:r w:rsidRPr="00887CBB">
        <w:rPr>
          <w:rFonts w:ascii="Arial" w:hAnsi="Arial"/>
          <w:b/>
          <w:noProof/>
        </w:rPr>
        <w:t xml:space="preserve">, </w:t>
      </w:r>
      <w:r>
        <w:rPr>
          <w:rFonts w:ascii="Arial" w:hAnsi="Arial"/>
          <w:b/>
          <w:noProof/>
        </w:rPr>
        <w:t>3rd-7th April 2017</w:t>
      </w:r>
      <w:r w:rsidRPr="00887CBB">
        <w:rPr>
          <w:rFonts w:ascii="Arial" w:hAnsi="Arial"/>
          <w:b/>
          <w:noProof/>
        </w:rPr>
        <w:t xml:space="preserve">   </w:t>
      </w:r>
    </w:p>
    <w:p w:rsidR="0033186E" w:rsidRPr="00B52D2D" w:rsidRDefault="0033186E" w:rsidP="0033186E">
      <w:pPr>
        <w:tabs>
          <w:tab w:val="left" w:pos="1985"/>
        </w:tabs>
        <w:spacing w:before="240" w:after="0"/>
        <w:jc w:val="both"/>
        <w:rPr>
          <w:bCs/>
          <w:sz w:val="22"/>
          <w:lang w:val="en-US"/>
        </w:rPr>
      </w:pPr>
      <w:r w:rsidRPr="00B52D2D">
        <w:rPr>
          <w:b/>
          <w:sz w:val="22"/>
          <w:lang w:val="en-US"/>
        </w:rPr>
        <w:t>Agenda Item:</w:t>
      </w:r>
      <w:r w:rsidRPr="00B52D2D">
        <w:rPr>
          <w:sz w:val="22"/>
          <w:lang w:val="en-US"/>
        </w:rPr>
        <w:tab/>
      </w:r>
      <w:r w:rsidR="00A9664A">
        <w:rPr>
          <w:bCs/>
          <w:sz w:val="22"/>
          <w:lang w:val="en-US"/>
        </w:rPr>
        <w:t>7.25.4</w:t>
      </w:r>
      <w:r w:rsidR="009A5D92">
        <w:rPr>
          <w:bCs/>
          <w:sz w:val="22"/>
          <w:lang w:val="en-US"/>
        </w:rPr>
        <w:t>.3</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1A4950" w:rsidRPr="001A4950">
        <w:rPr>
          <w:sz w:val="22"/>
        </w:rPr>
        <w:t>Discussion on HST CQI tests</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BF4DFF" w:rsidRDefault="00380AE4" w:rsidP="00BF4DFF">
      <w:r>
        <w:t xml:space="preserve">In RAN4#80bis, the specification of the unidirectional deployment was discussed based on a proposed WF </w:t>
      </w:r>
      <w:r w:rsidR="00747C64">
        <w:t xml:space="preserve">[1] </w:t>
      </w:r>
      <w:r>
        <w:t xml:space="preserve">from Ericsson, Vodafone, Telecom Italia and NTT Docomo. </w:t>
      </w:r>
      <w:r w:rsidR="007F40A2">
        <w:t>In the WF</w:t>
      </w:r>
      <w:r>
        <w:t xml:space="preserve"> it was discussed how to introduce a testcase where it is shown that LTE supports higher speed than </w:t>
      </w:r>
      <w:bookmarkStart w:id="0" w:name="_GoBack"/>
      <w:bookmarkEnd w:id="0"/>
      <w:r>
        <w:t xml:space="preserve">350 km/h. </w:t>
      </w:r>
    </w:p>
    <w:p w:rsidR="00380AE4" w:rsidRDefault="00380AE4" w:rsidP="00BF4DFF">
      <w:r>
        <w:t xml:space="preserve">Since bidirectional only supports speed up to 350 km/h it is proposed to introduce a testcase with unidirectional deployment for higher speed. </w:t>
      </w:r>
      <w:r w:rsidR="007F40A2">
        <w:t>However,</w:t>
      </w:r>
      <w:r>
        <w:t xml:space="preserve"> since</w:t>
      </w:r>
      <w:r w:rsidR="007F40A2">
        <w:t xml:space="preserve"> also</w:t>
      </w:r>
      <w:r>
        <w:t xml:space="preserve"> legacy UEs support</w:t>
      </w:r>
      <w:r w:rsidR="00A57F67">
        <w:t>s</w:t>
      </w:r>
      <w:r>
        <w:t xml:space="preserve"> very high speed with unidirectional deployment, </w:t>
      </w:r>
      <w:r w:rsidR="007F40A2">
        <w:t>it is not critical to test the performance of the UEs.</w:t>
      </w:r>
      <w:r>
        <w:t xml:space="preserve"> </w:t>
      </w:r>
    </w:p>
    <w:p w:rsidR="00380AE4" w:rsidRDefault="00380AE4" w:rsidP="00BF4DFF">
      <w:r>
        <w:t xml:space="preserve">Based on this it was proposed to introduce the unidirectional scenario and a testcase which can be an alternative to an existing testcase. </w:t>
      </w:r>
    </w:p>
    <w:p w:rsidR="00C35630" w:rsidRDefault="00C35630" w:rsidP="00C35630">
      <w:pPr>
        <w:pStyle w:val="Heading1"/>
        <w:tabs>
          <w:tab w:val="clear" w:pos="-538"/>
          <w:tab w:val="num" w:pos="0"/>
        </w:tabs>
        <w:ind w:left="0" w:firstLine="0"/>
      </w:pPr>
      <w:r>
        <w:t>Background</w:t>
      </w:r>
    </w:p>
    <w:p w:rsidR="00C35630" w:rsidRDefault="00C35630" w:rsidP="00C35630">
      <w:pPr>
        <w:overflowPunct w:val="0"/>
        <w:autoSpaceDE w:val="0"/>
        <w:autoSpaceDN w:val="0"/>
        <w:adjustRightInd w:val="0"/>
        <w:textAlignment w:val="baseline"/>
        <w:rPr>
          <w:rFonts w:eastAsia="SimSun"/>
          <w:lang w:val="en-US" w:eastAsia="zh-CN"/>
        </w:rPr>
      </w:pPr>
      <w:r>
        <w:t xml:space="preserve">The CQI definition is given in 36.213, section 7.2.3. </w:t>
      </w:r>
      <w:r w:rsidRPr="007F3124">
        <w:rPr>
          <w:rFonts w:eastAsia="SimSun"/>
          <w:b/>
          <w:i/>
          <w:lang w:val="en-US" w:eastAsia="zh-CN"/>
        </w:rPr>
        <w:t>”</w:t>
      </w:r>
      <w:r w:rsidRPr="007F3124">
        <w:rPr>
          <w:b/>
          <w:i/>
          <w:lang w:val="en-US"/>
        </w:rPr>
        <w:t xml:space="preserve"> Channel Quality Indicator (CQI) definition”</w:t>
      </w:r>
    </w:p>
    <w:p w:rsidR="00C35630" w:rsidRPr="00402F3B" w:rsidRDefault="00C35630" w:rsidP="00C35630">
      <w:pPr>
        <w:overflowPunct w:val="0"/>
        <w:autoSpaceDE w:val="0"/>
        <w:autoSpaceDN w:val="0"/>
        <w:adjustRightInd w:val="0"/>
        <w:textAlignment w:val="baseline"/>
        <w:rPr>
          <w:rFonts w:eastAsia="MS Mincho"/>
          <w:i/>
          <w:lang w:val="en-US" w:eastAsia="en-GB"/>
        </w:rPr>
      </w:pPr>
      <w:r>
        <w:rPr>
          <w:rFonts w:eastAsia="SimSun"/>
          <w:i/>
          <w:lang w:val="en-US" w:eastAsia="zh-CN"/>
        </w:rPr>
        <w:t>“</w:t>
      </w:r>
      <w:r w:rsidRPr="00402F3B">
        <w:rPr>
          <w:rFonts w:eastAsia="SimSun"/>
          <w:i/>
          <w:lang w:val="en-US" w:eastAsia="zh-CN"/>
        </w:rPr>
        <w:t xml:space="preserve">For a non-BL/CE UE, </w:t>
      </w:r>
      <w:r w:rsidRPr="00402F3B">
        <w:rPr>
          <w:rFonts w:eastAsia="MS Mincho"/>
          <w:i/>
          <w:lang w:val="en-US" w:eastAsia="en-GB"/>
        </w:rPr>
        <w:t xml:space="preserve">based on an unrestricted observation interval in time </w:t>
      </w:r>
      <w:r w:rsidRPr="00402F3B">
        <w:rPr>
          <w:rFonts w:eastAsia="MS Mincho"/>
          <w:i/>
          <w:lang w:eastAsia="en-GB"/>
        </w:rPr>
        <w:t>unless specified otherwise</w:t>
      </w:r>
      <w:r w:rsidRPr="00402F3B">
        <w:rPr>
          <w:rFonts w:eastAsia="MS Mincho"/>
          <w:i/>
          <w:lang w:val="en-US" w:eastAsia="en-GB"/>
        </w:rPr>
        <w:t xml:space="preserve"> in this subclause, and an unrestricted observation interval in frequency, the UE shall derive for each CQI value reported in uplink subframe n the highest CQI index between 1 and 15 in Table 7.2.3-1 or Table 7.2.3-2 which satisfies the following condition, or CQI index 0 if CQI index 1 does not satisfy the condition:</w:t>
      </w:r>
    </w:p>
    <w:p w:rsidR="00C35630" w:rsidRPr="00402F3B" w:rsidRDefault="00C35630" w:rsidP="00C35630">
      <w:pPr>
        <w:overflowPunct w:val="0"/>
        <w:autoSpaceDE w:val="0"/>
        <w:autoSpaceDN w:val="0"/>
        <w:adjustRightInd w:val="0"/>
        <w:ind w:left="568"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r>
        <w:rPr>
          <w:rFonts w:eastAsia="MS Mincho"/>
          <w:i/>
          <w:lang w:val="en-US" w:eastAsia="en-GB"/>
        </w:rPr>
        <w:t>!</w:t>
      </w:r>
    </w:p>
    <w:p w:rsidR="00C35630" w:rsidRDefault="00C35630" w:rsidP="00C35630">
      <w:pPr>
        <w:overflowPunct w:val="0"/>
        <w:autoSpaceDE w:val="0"/>
        <w:autoSpaceDN w:val="0"/>
        <w:adjustRightInd w:val="0"/>
        <w:textAlignment w:val="baseline"/>
        <w:rPr>
          <w:rFonts w:eastAsia="MS Mincho"/>
          <w:lang w:val="en-US" w:eastAsia="en-GB"/>
        </w:rPr>
      </w:pPr>
      <w:r>
        <w:rPr>
          <w:rFonts w:eastAsia="MS Mincho"/>
          <w:lang w:val="en-US" w:eastAsia="en-GB"/>
        </w:rPr>
        <w:t xml:space="preserve">Where the reference resource is defined by </w:t>
      </w:r>
    </w:p>
    <w:p w:rsidR="00C35630" w:rsidRPr="00402F3B" w:rsidRDefault="00C35630" w:rsidP="00C35630">
      <w:pPr>
        <w:overflowPunct w:val="0"/>
        <w:autoSpaceDE w:val="0"/>
        <w:autoSpaceDN w:val="0"/>
        <w:adjustRightInd w:val="0"/>
        <w:ind w:left="284" w:hanging="284"/>
        <w:textAlignment w:val="baseline"/>
        <w:rPr>
          <w:rFonts w:eastAsia="MS Mincho"/>
          <w:i/>
          <w:lang w:val="en-US" w:eastAsia="en-GB"/>
        </w:rPr>
      </w:pPr>
      <w:r>
        <w:rPr>
          <w:rFonts w:eastAsia="MS Mincho"/>
          <w:i/>
          <w:lang w:eastAsia="en-GB"/>
        </w:rPr>
        <w:t>“</w:t>
      </w:r>
      <w:r w:rsidRPr="00402F3B">
        <w:rPr>
          <w:rFonts w:eastAsia="MS Mincho"/>
          <w:i/>
          <w:lang w:eastAsia="en-GB"/>
        </w:rPr>
        <w:t xml:space="preserve">for </w:t>
      </w:r>
      <w:r w:rsidRPr="00402F3B">
        <w:rPr>
          <w:rFonts w:eastAsia="MS Mincho"/>
          <w:i/>
          <w:lang w:val="en-US" w:eastAsia="en-GB"/>
        </w:rPr>
        <w:t xml:space="preserve">a </w:t>
      </w:r>
      <w:r w:rsidRPr="00402F3B">
        <w:rPr>
          <w:i/>
          <w:lang w:eastAsia="zh-CN"/>
        </w:rPr>
        <w:t xml:space="preserve">UE </w:t>
      </w:r>
      <w:r w:rsidRPr="00402F3B">
        <w:rPr>
          <w:rFonts w:eastAsia="MS Mincho"/>
          <w:i/>
          <w:lang w:eastAsia="zh-CN"/>
        </w:rPr>
        <w:t xml:space="preserve">configured </w:t>
      </w:r>
      <w:r w:rsidRPr="00402F3B">
        <w:rPr>
          <w:i/>
          <w:lang w:eastAsia="zh-CN"/>
        </w:rPr>
        <w:t>in</w:t>
      </w:r>
      <w:r w:rsidRPr="00402F3B">
        <w:rPr>
          <w:rFonts w:eastAsia="MS Mincho"/>
          <w:i/>
          <w:lang w:val="en-US" w:eastAsia="en-GB"/>
        </w:rPr>
        <w:t xml:space="preserve"> transmission mode 1-9 or transmission mode 10 with a single configured CSI process for the serving cell, the CSI reference resource is defined </w:t>
      </w:r>
      <w:r w:rsidRPr="00B51C03">
        <w:rPr>
          <w:rFonts w:eastAsia="MS Mincho"/>
          <w:i/>
          <w:highlight w:val="yellow"/>
          <w:lang w:val="en-US" w:eastAsia="en-GB"/>
        </w:rPr>
        <w:t>by a single downlink or special subframe n-n</w:t>
      </w:r>
      <w:r w:rsidRPr="00B51C03">
        <w:rPr>
          <w:rFonts w:eastAsia="MS Mincho"/>
          <w:i/>
          <w:highlight w:val="yellow"/>
          <w:vertAlign w:val="subscript"/>
          <w:lang w:val="en-US" w:eastAsia="en-GB"/>
        </w:rPr>
        <w:t>CQI_ref</w:t>
      </w:r>
      <w:r w:rsidRPr="00402F3B">
        <w:rPr>
          <w:rFonts w:eastAsia="MS Mincho"/>
          <w:i/>
          <w:lang w:val="en-US" w:eastAsia="en-GB"/>
        </w:rPr>
        <w:t>,</w:t>
      </w:r>
    </w:p>
    <w:p w:rsidR="00C35630" w:rsidRPr="00402F3B" w:rsidRDefault="00C35630" w:rsidP="00C35630">
      <w:pPr>
        <w:overflowPunct w:val="0"/>
        <w:autoSpaceDE w:val="0"/>
        <w:autoSpaceDN w:val="0"/>
        <w:adjustRightInd w:val="0"/>
        <w:ind w:left="568"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where for periodic CSI reporting n</w:t>
      </w:r>
      <w:r w:rsidRPr="00402F3B">
        <w:rPr>
          <w:rFonts w:eastAsia="MS Mincho"/>
          <w:i/>
          <w:vertAlign w:val="subscript"/>
          <w:lang w:val="en-US" w:eastAsia="en-GB"/>
        </w:rPr>
        <w:t>CQI_ref</w:t>
      </w:r>
      <w:r w:rsidRPr="00402F3B">
        <w:rPr>
          <w:rFonts w:eastAsia="MS Mincho"/>
          <w:i/>
          <w:lang w:val="en-US" w:eastAsia="en-GB"/>
        </w:rPr>
        <w:t xml:space="preserve"> </w:t>
      </w:r>
      <w:r w:rsidRPr="00402F3B">
        <w:rPr>
          <w:i/>
          <w:lang w:val="en-US" w:eastAsia="en-GB"/>
        </w:rPr>
        <w:t xml:space="preserve"> </w:t>
      </w:r>
      <w:r w:rsidRPr="00402F3B">
        <w:rPr>
          <w:rFonts w:eastAsia="MS Mincho"/>
          <w:i/>
          <w:lang w:val="en-US" w:eastAsia="en-GB"/>
        </w:rPr>
        <w:t>is the smallest value greater than or equal to 4, such that it corresponds to a valid downlink or valid special subframe,</w:t>
      </w:r>
    </w:p>
    <w:p w:rsidR="00C35630" w:rsidRPr="00402F3B" w:rsidRDefault="00C35630" w:rsidP="00C35630">
      <w:pPr>
        <w:overflowPunct w:val="0"/>
        <w:autoSpaceDE w:val="0"/>
        <w:autoSpaceDN w:val="0"/>
        <w:adjustRightInd w:val="0"/>
        <w:ind w:left="568"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 xml:space="preserve">where for aperiodic CSI reporting, if the UE is not configured with the higher layer </w:t>
      </w:r>
      <w:r w:rsidRPr="00402F3B">
        <w:rPr>
          <w:rFonts w:eastAsia="MS Mincho"/>
          <w:i/>
          <w:lang w:eastAsia="en-GB"/>
        </w:rPr>
        <w:t>parameter csi-SubframePatternConfig-r12,.</w:t>
      </w:r>
      <w:r w:rsidRPr="00402F3B">
        <w:rPr>
          <w:rFonts w:eastAsia="MS Mincho"/>
          <w:i/>
          <w:lang w:val="en-US" w:eastAsia="en-GB"/>
        </w:rPr>
        <w:t xml:space="preserve"> </w:t>
      </w:r>
    </w:p>
    <w:p w:rsidR="00C35630" w:rsidRPr="00402F3B" w:rsidRDefault="00C35630" w:rsidP="00C35630">
      <w:pPr>
        <w:overflowPunct w:val="0"/>
        <w:autoSpaceDE w:val="0"/>
        <w:autoSpaceDN w:val="0"/>
        <w:adjustRightInd w:val="0"/>
        <w:ind w:left="851"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n</w:t>
      </w:r>
      <w:r w:rsidRPr="00402F3B">
        <w:rPr>
          <w:rFonts w:eastAsia="MS Mincho"/>
          <w:i/>
          <w:vertAlign w:val="subscript"/>
          <w:lang w:val="en-US" w:eastAsia="en-GB"/>
        </w:rPr>
        <w:t>CQI_ref</w:t>
      </w:r>
      <w:r w:rsidRPr="00402F3B">
        <w:rPr>
          <w:rFonts w:eastAsia="MS Mincho"/>
          <w:i/>
          <w:lang w:val="en-US" w:eastAsia="en-GB"/>
        </w:rPr>
        <w:t xml:space="preserve">  is such that the reference resource is in the same valid downlink or valid special subframe as the corresponding CSI request in an uplink </w:t>
      </w:r>
      <w:r w:rsidRPr="00402F3B">
        <w:rPr>
          <w:i/>
          <w:lang w:val="en-US" w:eastAsia="en-GB"/>
        </w:rPr>
        <w:t xml:space="preserve">DCI </w:t>
      </w:r>
      <w:r w:rsidRPr="00402F3B">
        <w:rPr>
          <w:rFonts w:eastAsia="MS Mincho"/>
          <w:i/>
          <w:lang w:val="en-US" w:eastAsia="en-GB"/>
        </w:rPr>
        <w:t>format.</w:t>
      </w:r>
    </w:p>
    <w:p w:rsidR="00C35630" w:rsidRPr="00402F3B" w:rsidRDefault="00C35630" w:rsidP="00C35630">
      <w:pPr>
        <w:overflowPunct w:val="0"/>
        <w:autoSpaceDE w:val="0"/>
        <w:autoSpaceDN w:val="0"/>
        <w:adjustRightInd w:val="0"/>
        <w:ind w:left="851"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 xml:space="preserve"> n</w:t>
      </w:r>
      <w:r w:rsidRPr="00402F3B">
        <w:rPr>
          <w:rFonts w:eastAsia="MS Mincho"/>
          <w:i/>
          <w:vertAlign w:val="subscript"/>
          <w:lang w:val="en-US" w:eastAsia="en-GB"/>
        </w:rPr>
        <w:t>CQI_ref</w:t>
      </w:r>
      <w:r w:rsidRPr="00402F3B">
        <w:rPr>
          <w:rFonts w:eastAsia="MS Mincho"/>
          <w:i/>
          <w:lang w:val="en-US" w:eastAsia="en-GB"/>
        </w:rPr>
        <w:t xml:space="preserve">  is equal to 4 and subframe n-n</w:t>
      </w:r>
      <w:r w:rsidRPr="00402F3B">
        <w:rPr>
          <w:rFonts w:eastAsia="MS Mincho"/>
          <w:i/>
          <w:vertAlign w:val="subscript"/>
          <w:lang w:val="en-US" w:eastAsia="en-GB"/>
        </w:rPr>
        <w:t>CQI_ref</w:t>
      </w:r>
      <w:r w:rsidRPr="00402F3B">
        <w:rPr>
          <w:rFonts w:eastAsia="MS Mincho"/>
          <w:i/>
          <w:iCs/>
          <w:lang w:val="en-US" w:eastAsia="en-GB"/>
        </w:rPr>
        <w:t xml:space="preserve"> </w:t>
      </w:r>
      <w:r w:rsidRPr="00402F3B">
        <w:rPr>
          <w:rFonts w:eastAsia="MS Mincho"/>
          <w:i/>
          <w:lang w:val="en-US" w:eastAsia="en-GB"/>
        </w:rPr>
        <w:t>corresponds to a valid downlink or valid special subframe, where subframe n-n</w:t>
      </w:r>
      <w:r w:rsidRPr="00402F3B">
        <w:rPr>
          <w:rFonts w:eastAsia="MS Mincho"/>
          <w:i/>
          <w:vertAlign w:val="subscript"/>
          <w:lang w:val="en-US" w:eastAsia="en-GB"/>
        </w:rPr>
        <w:t>CQI_ref</w:t>
      </w:r>
      <w:r w:rsidRPr="00402F3B">
        <w:rPr>
          <w:rFonts w:eastAsia="MS Mincho"/>
          <w:i/>
          <w:iCs/>
          <w:lang w:val="en-US" w:eastAsia="en-GB"/>
        </w:rPr>
        <w:t xml:space="preserve"> is</w:t>
      </w:r>
      <w:r w:rsidRPr="00402F3B">
        <w:rPr>
          <w:rFonts w:eastAsia="MS Mincho"/>
          <w:i/>
          <w:lang w:val="en-US" w:eastAsia="en-GB"/>
        </w:rPr>
        <w:t xml:space="preserve"> received after the subframe with the corresponding CSI request in a</w:t>
      </w:r>
      <w:r w:rsidRPr="00402F3B">
        <w:rPr>
          <w:i/>
          <w:lang w:val="en-US" w:eastAsia="en-GB"/>
        </w:rPr>
        <w:t xml:space="preserve"> Random Access Response Grant</w:t>
      </w:r>
      <w:r w:rsidRPr="00402F3B">
        <w:rPr>
          <w:rFonts w:eastAsia="MS Mincho"/>
          <w:i/>
          <w:lang w:val="en-US" w:eastAsia="en-GB"/>
        </w:rPr>
        <w:t>.</w:t>
      </w:r>
      <w:r>
        <w:rPr>
          <w:rFonts w:eastAsia="MS Mincho"/>
          <w:i/>
          <w:lang w:val="en-US" w:eastAsia="en-GB"/>
        </w:rPr>
        <w:t>”</w:t>
      </w:r>
    </w:p>
    <w:p w:rsidR="00C35630" w:rsidRDefault="00C35630" w:rsidP="00C35630">
      <w:pPr>
        <w:rPr>
          <w:rFonts w:eastAsia="MS Mincho"/>
          <w:lang w:val="en-US" w:eastAsia="en-GB"/>
        </w:rPr>
      </w:pPr>
      <w:r>
        <w:t xml:space="preserve">Thereby, it is clear that the CQI report at the time of subframe </w:t>
      </w:r>
      <w:r w:rsidRPr="007F3124">
        <w:rPr>
          <w:i/>
        </w:rPr>
        <w:t>n</w:t>
      </w:r>
      <w:r>
        <w:t xml:space="preserve"> shall be defined from the received quality of the subframe </w:t>
      </w:r>
      <w:r w:rsidRPr="00402F3B">
        <w:rPr>
          <w:rFonts w:eastAsia="MS Mincho"/>
          <w:i/>
          <w:lang w:val="en-US" w:eastAsia="en-GB"/>
        </w:rPr>
        <w:t>n-n</w:t>
      </w:r>
      <w:r w:rsidRPr="00402F3B">
        <w:rPr>
          <w:rFonts w:eastAsia="MS Mincho"/>
          <w:i/>
          <w:vertAlign w:val="subscript"/>
          <w:lang w:val="en-US" w:eastAsia="en-GB"/>
        </w:rPr>
        <w:t>CQI_ref</w:t>
      </w:r>
      <w:r>
        <w:rPr>
          <w:rFonts w:eastAsia="MS Mincho"/>
          <w:i/>
          <w:lang w:val="en-US" w:eastAsia="en-GB"/>
        </w:rPr>
        <w:t xml:space="preserve">. </w:t>
      </w:r>
      <w:r>
        <w:rPr>
          <w:rFonts w:eastAsia="MS Mincho"/>
          <w:lang w:val="en-US" w:eastAsia="en-GB"/>
        </w:rPr>
        <w:t xml:space="preserve">Thus, this shall be defined from the received channel quality of a specific subframe. </w:t>
      </w:r>
    </w:p>
    <w:p w:rsidR="00C35630" w:rsidRDefault="00C35630" w:rsidP="00C35630">
      <w:pPr>
        <w:rPr>
          <w:rFonts w:eastAsia="MS Mincho"/>
          <w:lang w:val="en-US" w:eastAsia="en-GB"/>
        </w:rPr>
      </w:pPr>
      <w:r>
        <w:rPr>
          <w:rFonts w:eastAsia="MS Mincho"/>
          <w:lang w:val="en-US" w:eastAsia="en-GB"/>
        </w:rPr>
        <w:t>This shall be independent of the propagation condition etc.</w:t>
      </w:r>
    </w:p>
    <w:p w:rsidR="00C35630" w:rsidRPr="00C35630" w:rsidRDefault="00C35630" w:rsidP="00C35630">
      <w:pPr>
        <w:rPr>
          <w:rFonts w:eastAsia="MS Mincho"/>
          <w:b/>
          <w:lang w:val="en-US" w:eastAsia="en-GB"/>
        </w:rPr>
      </w:pPr>
      <w:r w:rsidRPr="00C35630">
        <w:rPr>
          <w:rFonts w:eastAsia="MS Mincho"/>
          <w:b/>
          <w:lang w:val="en-US" w:eastAsia="en-GB"/>
        </w:rPr>
        <w:t>Proposal 1: The CSI reporting from UE side should be based on each subframe without applying any filtering in time according to RAN1 definition.</w:t>
      </w:r>
    </w:p>
    <w:p w:rsidR="000D0DFC" w:rsidRDefault="00F20B20" w:rsidP="00F0637E">
      <w:pPr>
        <w:pStyle w:val="Heading1"/>
        <w:tabs>
          <w:tab w:val="clear" w:pos="-538"/>
          <w:tab w:val="num" w:pos="0"/>
        </w:tabs>
        <w:ind w:left="0" w:firstLine="0"/>
      </w:pPr>
      <w:r>
        <w:lastRenderedPageBreak/>
        <w:t>Discussions</w:t>
      </w:r>
    </w:p>
    <w:p w:rsidR="00C35630" w:rsidRDefault="00C35630" w:rsidP="00C35630">
      <w:r>
        <w:t xml:space="preserve">In this case with the the HST and bidirectional deployment when the channel parameters are varying over time. In the middle between two radioheads consists of two paths, one with very high positive Doppler shift and the other with very high negative Doppler shift, so that the frequency span is 1750Hz. When the UE is close to the radio heads it is a one path line of sight channel with a high Doppler frequency shift. </w:t>
      </w:r>
    </w:p>
    <w:p w:rsidR="00C35630" w:rsidRDefault="00C35630" w:rsidP="00C35630">
      <w:pPr>
        <w:keepNext/>
      </w:pPr>
      <w:r>
        <w:rPr>
          <w:noProof/>
          <w:lang w:val="sv-SE" w:eastAsia="zh-CN"/>
        </w:rPr>
        <w:drawing>
          <wp:inline distT="0" distB="0" distL="0" distR="0" wp14:anchorId="154651AB" wp14:editId="45B7BC2D">
            <wp:extent cx="5333333" cy="4000000"/>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ported_CQI_20_dB.png"/>
                    <pic:cNvPicPr/>
                  </pic:nvPicPr>
                  <pic:blipFill>
                    <a:blip r:embed="rId8">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rsidR="00C35630" w:rsidRDefault="00C35630" w:rsidP="00C35630">
      <w:pPr>
        <w:pStyle w:val="Caption"/>
        <w:jc w:val="center"/>
      </w:pPr>
      <w:bookmarkStart w:id="1" w:name="_Ref465663292"/>
      <w:r>
        <w:t xml:space="preserve">Figure </w:t>
      </w:r>
      <w:r>
        <w:fldChar w:fldCharType="begin"/>
      </w:r>
      <w:r>
        <w:instrText xml:space="preserve"> SEQ Figure \* ARABIC </w:instrText>
      </w:r>
      <w:r>
        <w:fldChar w:fldCharType="separate"/>
      </w:r>
      <w:r>
        <w:rPr>
          <w:noProof/>
        </w:rPr>
        <w:t>1</w:t>
      </w:r>
      <w:r>
        <w:fldChar w:fldCharType="end"/>
      </w:r>
      <w:bookmarkEnd w:id="1"/>
      <w:r>
        <w:t xml:space="preserve"> Reported CQI when SNR=20 dB</w:t>
      </w:r>
    </w:p>
    <w:p w:rsidR="00C35630" w:rsidRDefault="00C35630" w:rsidP="00C35630">
      <w:r>
        <w:t xml:space="preserve">In </w:t>
      </w:r>
      <w:r>
        <w:fldChar w:fldCharType="begin"/>
      </w:r>
      <w:r>
        <w:instrText xml:space="preserve"> REF _Ref465663292 \h </w:instrText>
      </w:r>
      <w:r>
        <w:fldChar w:fldCharType="separate"/>
      </w:r>
      <w:r>
        <w:t xml:space="preserve">Figure </w:t>
      </w:r>
      <w:r>
        <w:rPr>
          <w:noProof/>
        </w:rPr>
        <w:t>1</w:t>
      </w:r>
      <w:r>
        <w:fldChar w:fldCharType="end"/>
      </w:r>
      <w:r>
        <w:t xml:space="preserve"> the reported CQI is shown when SNR is 20 dB. Here it is seen that the reported CQI is decreased close to the middle between the radioheads. Thereby there will be a distribution between a large range of reported CQI. With this large distribution of CQIs, the throughput will be improved by following the CQI. When the UE is in between of 2 RRHs it doesn’t matter about the actual SNR level but the 2 paths of very high Doppler will lower down the performance in terms of demodulation and CSI reporting. So as long as the CQI is following the demodulation there is no extra test needed to verify the advanced receiver for CSI reporting.</w:t>
      </w:r>
    </w:p>
    <w:p w:rsidR="00C35630" w:rsidRPr="00565D6E" w:rsidRDefault="00C35630" w:rsidP="00C35630">
      <w:pPr>
        <w:rPr>
          <w:b/>
        </w:rPr>
      </w:pPr>
      <w:r w:rsidRPr="00565D6E">
        <w:rPr>
          <w:b/>
        </w:rPr>
        <w:t xml:space="preserve">Proposal 2: </w:t>
      </w:r>
      <w:r w:rsidR="00565D6E" w:rsidRPr="00565D6E">
        <w:rPr>
          <w:b/>
        </w:rPr>
        <w:t>No extra CQI test is needed when the demodulation tests are already verifying the advanced receiver.</w:t>
      </w:r>
    </w:p>
    <w:p w:rsidR="00565D6E" w:rsidRDefault="009D1465" w:rsidP="00C35630">
      <w:r>
        <w:t>From [1] one concern is raised as following which we consider valid from network point of view.</w:t>
      </w:r>
    </w:p>
    <w:p w:rsidR="009D1465" w:rsidRPr="009D1465" w:rsidRDefault="009D1465" w:rsidP="009D1465">
      <w:pPr>
        <w:rPr>
          <w:i/>
        </w:rPr>
      </w:pPr>
      <w:r w:rsidRPr="009D1465">
        <w:rPr>
          <w:i/>
        </w:rPr>
        <w:t xml:space="preserve">Observation 2: To report an average of multiple CQI measurements or equivalent SNRs, to some extent, might reflect certain statistically long-term channel quality. But there is no common agreement and understanding on how to define or mandate such averaging CQI index over different time period. </w:t>
      </w:r>
    </w:p>
    <w:p w:rsidR="009D1465" w:rsidRDefault="009D1465" w:rsidP="00C35630">
      <w:r>
        <w:t xml:space="preserve">The problem is if accessive filtering </w:t>
      </w:r>
      <w:r w:rsidR="00102B2C">
        <w:t xml:space="preserve">in time domain </w:t>
      </w:r>
      <w:r>
        <w:t>is done from UE side</w:t>
      </w:r>
      <w:r w:rsidR="00102B2C">
        <w:t xml:space="preserve"> the CQI statistic may look better over short time period on certain UE using such filtering but from an overall system performance point of view as such information is not known from network side so the BS may do the same filtering in the scheduler which will certainly jerpadize the system performance in long term as overall cell throughput. So from this point of view RAN4 should consider to define a CQI test to prevent filtering in time domain, or alternatively the UE should consider reporting such filtering capability to the network so it’s transparent to the BS with such information.</w:t>
      </w:r>
    </w:p>
    <w:p w:rsidR="00102B2C" w:rsidRPr="00102B2C" w:rsidRDefault="00102B2C" w:rsidP="00C35630">
      <w:pPr>
        <w:rPr>
          <w:b/>
        </w:rPr>
      </w:pPr>
      <w:r w:rsidRPr="00102B2C">
        <w:rPr>
          <w:b/>
        </w:rPr>
        <w:lastRenderedPageBreak/>
        <w:t>Proposal 3: RAN4 should consider to define a CQI test to prevent filtering in time domain, or alternatively the UE should consider reporting such filtering capability to the network so it’s transparent to the BS with such information.</w:t>
      </w:r>
    </w:p>
    <w:p w:rsidR="00554495" w:rsidRDefault="00C90462" w:rsidP="00C90462">
      <w:pPr>
        <w:pStyle w:val="Heading1"/>
        <w:tabs>
          <w:tab w:val="clear" w:pos="-538"/>
          <w:tab w:val="num" w:pos="0"/>
        </w:tabs>
        <w:ind w:left="0" w:firstLine="0"/>
      </w:pPr>
      <w:r>
        <w:t>Conclusions</w:t>
      </w:r>
    </w:p>
    <w:p w:rsidR="00102B2C" w:rsidRDefault="00102B2C" w:rsidP="00102B2C">
      <w:r w:rsidRPr="00810ED7">
        <w:t xml:space="preserve">In </w:t>
      </w:r>
      <w:r>
        <w:t>this contribution we provide our further view on the CQI tests for bidirectional condition with proposals as following.</w:t>
      </w:r>
    </w:p>
    <w:p w:rsidR="00C35630" w:rsidRPr="00C35630" w:rsidRDefault="00C35630" w:rsidP="00C35630">
      <w:pPr>
        <w:rPr>
          <w:rFonts w:eastAsia="MS Mincho"/>
          <w:b/>
          <w:lang w:val="en-US" w:eastAsia="en-GB"/>
        </w:rPr>
      </w:pPr>
      <w:r w:rsidRPr="00C35630">
        <w:rPr>
          <w:rFonts w:eastAsia="MS Mincho"/>
          <w:b/>
          <w:lang w:val="en-US" w:eastAsia="en-GB"/>
        </w:rPr>
        <w:t>Proposal 1: The CSI reporting from UE side should be based on each subframe without applying any filtering in time according to RAN1 definition.</w:t>
      </w:r>
    </w:p>
    <w:p w:rsidR="00565D6E" w:rsidRPr="00565D6E" w:rsidRDefault="00565D6E" w:rsidP="00565D6E">
      <w:pPr>
        <w:rPr>
          <w:b/>
        </w:rPr>
      </w:pPr>
      <w:r w:rsidRPr="00565D6E">
        <w:rPr>
          <w:b/>
        </w:rPr>
        <w:t xml:space="preserve">Proposal 2: No extra CQI test is needed </w:t>
      </w:r>
      <w:r w:rsidR="00E72C94">
        <w:rPr>
          <w:b/>
        </w:rPr>
        <w:t xml:space="preserve">for the advanced receiver </w:t>
      </w:r>
      <w:r w:rsidRPr="00565D6E">
        <w:rPr>
          <w:b/>
        </w:rPr>
        <w:t xml:space="preserve">when the demodulation tests are already verifying </w:t>
      </w:r>
      <w:r w:rsidR="00E72C94">
        <w:rPr>
          <w:b/>
        </w:rPr>
        <w:t>it</w:t>
      </w:r>
      <w:r w:rsidRPr="00565D6E">
        <w:rPr>
          <w:b/>
        </w:rPr>
        <w:t>.</w:t>
      </w:r>
    </w:p>
    <w:p w:rsidR="00102B2C" w:rsidRPr="00102B2C" w:rsidRDefault="00102B2C" w:rsidP="00102B2C">
      <w:pPr>
        <w:rPr>
          <w:b/>
        </w:rPr>
      </w:pPr>
      <w:r w:rsidRPr="00102B2C">
        <w:rPr>
          <w:b/>
        </w:rPr>
        <w:t>Proposal 3: RAN4 should consider to define a CQI test to prevent filtering in time domain, or alternatively the UE should consider reporting such filtering capability to the network so it’s transparent to the BS with such information.</w:t>
      </w:r>
    </w:p>
    <w:p w:rsidR="00747C64" w:rsidRDefault="00747C64" w:rsidP="00747C64">
      <w:pPr>
        <w:pStyle w:val="Heading1"/>
        <w:tabs>
          <w:tab w:val="clear" w:pos="-538"/>
          <w:tab w:val="num" w:pos="0"/>
        </w:tabs>
        <w:ind w:left="0" w:firstLine="0"/>
      </w:pPr>
      <w:r>
        <w:t>References</w:t>
      </w:r>
    </w:p>
    <w:p w:rsidR="00747C64" w:rsidRPr="00747C64" w:rsidRDefault="00E72C94" w:rsidP="00747C64">
      <w:pPr>
        <w:rPr>
          <w:lang w:val="en-US"/>
        </w:rPr>
      </w:pPr>
      <w:r>
        <w:rPr>
          <w:lang w:val="en-US"/>
        </w:rPr>
        <w:t>[1]</w:t>
      </w:r>
      <w:r w:rsidR="009D1465">
        <w:rPr>
          <w:lang w:val="en-US"/>
        </w:rPr>
        <w:t xml:space="preserve"> </w:t>
      </w:r>
      <w:r w:rsidR="009D1465" w:rsidRPr="009D1465">
        <w:rPr>
          <w:lang w:val="en-US"/>
        </w:rPr>
        <w:t>R4-1700596</w:t>
      </w:r>
      <w:r w:rsidR="009D1465">
        <w:rPr>
          <w:lang w:val="en-US"/>
        </w:rPr>
        <w:t>, “</w:t>
      </w:r>
      <w:r w:rsidR="009D1465" w:rsidRPr="009D1465">
        <w:rPr>
          <w:lang w:val="en-US"/>
        </w:rPr>
        <w:t>Discussion on HST CQI reporting test</w:t>
      </w:r>
      <w:r w:rsidR="009D1465">
        <w:rPr>
          <w:lang w:val="en-US"/>
        </w:rPr>
        <w:t>”, Intel</w:t>
      </w:r>
    </w:p>
    <w:sectPr w:rsidR="00747C64" w:rsidRPr="00747C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4DD" w:rsidRDefault="007214DD">
      <w:r>
        <w:separator/>
      </w:r>
    </w:p>
  </w:endnote>
  <w:endnote w:type="continuationSeparator" w:id="0">
    <w:p w:rsidR="007214DD" w:rsidRDefault="0072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4DD" w:rsidRDefault="007214DD">
      <w:r>
        <w:separator/>
      </w:r>
    </w:p>
  </w:footnote>
  <w:footnote w:type="continuationSeparator" w:id="0">
    <w:p w:rsidR="007214DD" w:rsidRDefault="00721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A4649"/>
    <w:multiLevelType w:val="hybridMultilevel"/>
    <w:tmpl w:val="75FE333A"/>
    <w:lvl w:ilvl="0" w:tplc="EFBA4FF8">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D1D5F84"/>
    <w:multiLevelType w:val="hybridMultilevel"/>
    <w:tmpl w:val="E6E0C44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4"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A54B2D"/>
    <w:multiLevelType w:val="hybridMultilevel"/>
    <w:tmpl w:val="A738A4D8"/>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924983"/>
    <w:multiLevelType w:val="hybridMultilevel"/>
    <w:tmpl w:val="F7483990"/>
    <w:lvl w:ilvl="0" w:tplc="D1A8A65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30"/>
        </w:tabs>
        <w:ind w:left="2581" w:hanging="1304"/>
      </w:pPr>
      <w:rPr>
        <w:rFonts w:hint="default"/>
        <w:color w:val="000000"/>
        <w:u w:val="none"/>
      </w:rPr>
    </w:lvl>
    <w:lvl w:ilvl="2">
      <w:start w:val="1"/>
      <w:numFmt w:val="decimal"/>
      <w:pStyle w:val="Heading3"/>
      <w:lvlText w:val="%1.%2.%3"/>
      <w:lvlJc w:val="left"/>
      <w:pPr>
        <w:tabs>
          <w:tab w:val="num" w:pos="4281"/>
        </w:tabs>
        <w:ind w:left="6832"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5"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63C3D"/>
    <w:multiLevelType w:val="hybridMultilevel"/>
    <w:tmpl w:val="7E261984"/>
    <w:lvl w:ilvl="0" w:tplc="1EBC9DFA">
      <w:start w:val="1"/>
      <w:numFmt w:val="bullet"/>
      <w:lvlText w:val="–"/>
      <w:lvlJc w:val="left"/>
      <w:pPr>
        <w:tabs>
          <w:tab w:val="num" w:pos="720"/>
        </w:tabs>
        <w:ind w:left="720" w:hanging="360"/>
      </w:pPr>
      <w:rPr>
        <w:rFonts w:ascii="Arial" w:hAnsi="Arial" w:hint="default"/>
      </w:rPr>
    </w:lvl>
    <w:lvl w:ilvl="1" w:tplc="085E60C8">
      <w:start w:val="1"/>
      <w:numFmt w:val="bullet"/>
      <w:lvlText w:val="–"/>
      <w:lvlJc w:val="left"/>
      <w:pPr>
        <w:tabs>
          <w:tab w:val="num" w:pos="1440"/>
        </w:tabs>
        <w:ind w:left="1440" w:hanging="360"/>
      </w:pPr>
      <w:rPr>
        <w:rFonts w:ascii="Arial" w:hAnsi="Arial" w:hint="default"/>
      </w:rPr>
    </w:lvl>
    <w:lvl w:ilvl="2" w:tplc="431E29AA">
      <w:numFmt w:val="bullet"/>
      <w:lvlText w:val="•"/>
      <w:lvlJc w:val="left"/>
      <w:pPr>
        <w:tabs>
          <w:tab w:val="num" w:pos="2160"/>
        </w:tabs>
        <w:ind w:left="2160" w:hanging="360"/>
      </w:pPr>
      <w:rPr>
        <w:rFonts w:ascii="Arial" w:hAnsi="Arial" w:hint="default"/>
      </w:rPr>
    </w:lvl>
    <w:lvl w:ilvl="3" w:tplc="C0F617DC" w:tentative="1">
      <w:start w:val="1"/>
      <w:numFmt w:val="bullet"/>
      <w:lvlText w:val="–"/>
      <w:lvlJc w:val="left"/>
      <w:pPr>
        <w:tabs>
          <w:tab w:val="num" w:pos="2880"/>
        </w:tabs>
        <w:ind w:left="2880" w:hanging="360"/>
      </w:pPr>
      <w:rPr>
        <w:rFonts w:ascii="Arial" w:hAnsi="Arial" w:hint="default"/>
      </w:rPr>
    </w:lvl>
    <w:lvl w:ilvl="4" w:tplc="C8C0126A" w:tentative="1">
      <w:start w:val="1"/>
      <w:numFmt w:val="bullet"/>
      <w:lvlText w:val="–"/>
      <w:lvlJc w:val="left"/>
      <w:pPr>
        <w:tabs>
          <w:tab w:val="num" w:pos="3600"/>
        </w:tabs>
        <w:ind w:left="3600" w:hanging="360"/>
      </w:pPr>
      <w:rPr>
        <w:rFonts w:ascii="Arial" w:hAnsi="Arial" w:hint="default"/>
      </w:rPr>
    </w:lvl>
    <w:lvl w:ilvl="5" w:tplc="EA1824C0" w:tentative="1">
      <w:start w:val="1"/>
      <w:numFmt w:val="bullet"/>
      <w:lvlText w:val="–"/>
      <w:lvlJc w:val="left"/>
      <w:pPr>
        <w:tabs>
          <w:tab w:val="num" w:pos="4320"/>
        </w:tabs>
        <w:ind w:left="4320" w:hanging="360"/>
      </w:pPr>
      <w:rPr>
        <w:rFonts w:ascii="Arial" w:hAnsi="Arial" w:hint="default"/>
      </w:rPr>
    </w:lvl>
    <w:lvl w:ilvl="6" w:tplc="2C0E83AA" w:tentative="1">
      <w:start w:val="1"/>
      <w:numFmt w:val="bullet"/>
      <w:lvlText w:val="–"/>
      <w:lvlJc w:val="left"/>
      <w:pPr>
        <w:tabs>
          <w:tab w:val="num" w:pos="5040"/>
        </w:tabs>
        <w:ind w:left="5040" w:hanging="360"/>
      </w:pPr>
      <w:rPr>
        <w:rFonts w:ascii="Arial" w:hAnsi="Arial" w:hint="default"/>
      </w:rPr>
    </w:lvl>
    <w:lvl w:ilvl="7" w:tplc="B9DE1D7E" w:tentative="1">
      <w:start w:val="1"/>
      <w:numFmt w:val="bullet"/>
      <w:lvlText w:val="–"/>
      <w:lvlJc w:val="left"/>
      <w:pPr>
        <w:tabs>
          <w:tab w:val="num" w:pos="5760"/>
        </w:tabs>
        <w:ind w:left="5760" w:hanging="360"/>
      </w:pPr>
      <w:rPr>
        <w:rFonts w:ascii="Arial" w:hAnsi="Arial" w:hint="default"/>
      </w:rPr>
    </w:lvl>
    <w:lvl w:ilvl="8" w:tplc="C88ADB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8"/>
  </w:num>
  <w:num w:numId="3">
    <w:abstractNumId w:val="24"/>
  </w:num>
  <w:num w:numId="4">
    <w:abstractNumId w:val="1"/>
  </w:num>
  <w:num w:numId="5">
    <w:abstractNumId w:val="15"/>
  </w:num>
  <w:num w:numId="6">
    <w:abstractNumId w:val="12"/>
  </w:num>
  <w:num w:numId="7">
    <w:abstractNumId w:val="19"/>
  </w:num>
  <w:num w:numId="8">
    <w:abstractNumId w:val="0"/>
  </w:num>
  <w:num w:numId="9">
    <w:abstractNumId w:val="13"/>
  </w:num>
  <w:num w:numId="10">
    <w:abstractNumId w:val="3"/>
  </w:num>
  <w:num w:numId="11">
    <w:abstractNumId w:val="18"/>
  </w:num>
  <w:num w:numId="12">
    <w:abstractNumId w:val="8"/>
  </w:num>
  <w:num w:numId="13">
    <w:abstractNumId w:val="4"/>
  </w:num>
  <w:num w:numId="14">
    <w:abstractNumId w:val="16"/>
  </w:num>
  <w:num w:numId="15">
    <w:abstractNumId w:val="6"/>
  </w:num>
  <w:num w:numId="16">
    <w:abstractNumId w:val="14"/>
  </w:num>
  <w:num w:numId="17">
    <w:abstractNumId w:val="24"/>
  </w:num>
  <w:num w:numId="18">
    <w:abstractNumId w:val="17"/>
  </w:num>
  <w:num w:numId="19">
    <w:abstractNumId w:val="7"/>
  </w:num>
  <w:num w:numId="20">
    <w:abstractNumId w:val="7"/>
  </w:num>
  <w:num w:numId="21">
    <w:abstractNumId w:val="27"/>
  </w:num>
  <w:num w:numId="22">
    <w:abstractNumId w:val="25"/>
  </w:num>
  <w:num w:numId="23">
    <w:abstractNumId w:val="24"/>
  </w:num>
  <w:num w:numId="24">
    <w:abstractNumId w:val="2"/>
  </w:num>
  <w:num w:numId="25">
    <w:abstractNumId w:val="5"/>
  </w:num>
  <w:num w:numId="26">
    <w:abstractNumId w:val="24"/>
  </w:num>
  <w:num w:numId="27">
    <w:abstractNumId w:val="9"/>
  </w:num>
  <w:num w:numId="28">
    <w:abstractNumId w:val="22"/>
  </w:num>
  <w:num w:numId="29">
    <w:abstractNumId w:val="24"/>
  </w:num>
  <w:num w:numId="30">
    <w:abstractNumId w:val="24"/>
  </w:num>
  <w:num w:numId="31">
    <w:abstractNumId w:val="24"/>
  </w:num>
  <w:num w:numId="32">
    <w:abstractNumId w:val="23"/>
  </w:num>
  <w:num w:numId="33">
    <w:abstractNumId w:val="26"/>
  </w:num>
  <w:num w:numId="34">
    <w:abstractNumId w:val="10"/>
  </w:num>
  <w:num w:numId="35">
    <w:abstractNumId w:val="20"/>
  </w:num>
  <w:num w:numId="36">
    <w:abstractNumId w:val="11"/>
  </w:num>
  <w:num w:numId="3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316"/>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65F"/>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1918"/>
    <w:rsid w:val="000922E9"/>
    <w:rsid w:val="00092416"/>
    <w:rsid w:val="00095619"/>
    <w:rsid w:val="00096225"/>
    <w:rsid w:val="000A0F55"/>
    <w:rsid w:val="000A2FF0"/>
    <w:rsid w:val="000A44CD"/>
    <w:rsid w:val="000A57E0"/>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4F2D"/>
    <w:rsid w:val="000F59CB"/>
    <w:rsid w:val="000F5FEB"/>
    <w:rsid w:val="000F6877"/>
    <w:rsid w:val="000F7B38"/>
    <w:rsid w:val="000F7BA7"/>
    <w:rsid w:val="001002EB"/>
    <w:rsid w:val="00101D9E"/>
    <w:rsid w:val="00102507"/>
    <w:rsid w:val="001026EB"/>
    <w:rsid w:val="0010273F"/>
    <w:rsid w:val="00102B2C"/>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31ED"/>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0A33"/>
    <w:rsid w:val="001810FA"/>
    <w:rsid w:val="00181669"/>
    <w:rsid w:val="001817B0"/>
    <w:rsid w:val="001829EB"/>
    <w:rsid w:val="00183A8D"/>
    <w:rsid w:val="001869BD"/>
    <w:rsid w:val="001945FA"/>
    <w:rsid w:val="001A41FD"/>
    <w:rsid w:val="001A4950"/>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775"/>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45DE4"/>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085A"/>
    <w:rsid w:val="00271927"/>
    <w:rsid w:val="002749B6"/>
    <w:rsid w:val="00275D12"/>
    <w:rsid w:val="002762F3"/>
    <w:rsid w:val="00277301"/>
    <w:rsid w:val="002801CF"/>
    <w:rsid w:val="00281CBF"/>
    <w:rsid w:val="0028280D"/>
    <w:rsid w:val="00283507"/>
    <w:rsid w:val="0028371D"/>
    <w:rsid w:val="0028515B"/>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29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4D31"/>
    <w:rsid w:val="002E6105"/>
    <w:rsid w:val="002E658A"/>
    <w:rsid w:val="002E6768"/>
    <w:rsid w:val="002F25A7"/>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340"/>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0AE4"/>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E7BD9"/>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3AA"/>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4F94"/>
    <w:rsid w:val="004B55E0"/>
    <w:rsid w:val="004B5634"/>
    <w:rsid w:val="004B5718"/>
    <w:rsid w:val="004B666B"/>
    <w:rsid w:val="004B6E0A"/>
    <w:rsid w:val="004B7121"/>
    <w:rsid w:val="004C1438"/>
    <w:rsid w:val="004C25DC"/>
    <w:rsid w:val="004C2980"/>
    <w:rsid w:val="004C3426"/>
    <w:rsid w:val="004C6016"/>
    <w:rsid w:val="004C65F0"/>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724"/>
    <w:rsid w:val="005138D0"/>
    <w:rsid w:val="0051424E"/>
    <w:rsid w:val="00514C6A"/>
    <w:rsid w:val="00516086"/>
    <w:rsid w:val="00517262"/>
    <w:rsid w:val="005229A8"/>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D6E"/>
    <w:rsid w:val="00565EF2"/>
    <w:rsid w:val="005708B4"/>
    <w:rsid w:val="00572975"/>
    <w:rsid w:val="00572C79"/>
    <w:rsid w:val="005739DC"/>
    <w:rsid w:val="00575C6D"/>
    <w:rsid w:val="00576290"/>
    <w:rsid w:val="00580112"/>
    <w:rsid w:val="0058127F"/>
    <w:rsid w:val="00581383"/>
    <w:rsid w:val="00581A0F"/>
    <w:rsid w:val="00583952"/>
    <w:rsid w:val="00584770"/>
    <w:rsid w:val="00585F2A"/>
    <w:rsid w:val="00587A51"/>
    <w:rsid w:val="005901B5"/>
    <w:rsid w:val="00591226"/>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C7D97"/>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0851"/>
    <w:rsid w:val="006315AF"/>
    <w:rsid w:val="0063227B"/>
    <w:rsid w:val="0063329B"/>
    <w:rsid w:val="006343F3"/>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0B0"/>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489C"/>
    <w:rsid w:val="00697F18"/>
    <w:rsid w:val="006A1488"/>
    <w:rsid w:val="006A28DA"/>
    <w:rsid w:val="006A4F90"/>
    <w:rsid w:val="006A511A"/>
    <w:rsid w:val="006A5D7B"/>
    <w:rsid w:val="006A66CB"/>
    <w:rsid w:val="006A722A"/>
    <w:rsid w:val="006A7259"/>
    <w:rsid w:val="006A7A60"/>
    <w:rsid w:val="006B0649"/>
    <w:rsid w:val="006B06C4"/>
    <w:rsid w:val="006B2B79"/>
    <w:rsid w:val="006B355D"/>
    <w:rsid w:val="006B57C5"/>
    <w:rsid w:val="006B65BA"/>
    <w:rsid w:val="006B7A80"/>
    <w:rsid w:val="006C05A5"/>
    <w:rsid w:val="006C1082"/>
    <w:rsid w:val="006C10DA"/>
    <w:rsid w:val="006C1A4B"/>
    <w:rsid w:val="006C1D47"/>
    <w:rsid w:val="006C1FB9"/>
    <w:rsid w:val="006C58D4"/>
    <w:rsid w:val="006C7B6C"/>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03B5E"/>
    <w:rsid w:val="00705DDB"/>
    <w:rsid w:val="00710540"/>
    <w:rsid w:val="00710FC7"/>
    <w:rsid w:val="00711DBD"/>
    <w:rsid w:val="00712C22"/>
    <w:rsid w:val="007135CD"/>
    <w:rsid w:val="007150F0"/>
    <w:rsid w:val="007156A6"/>
    <w:rsid w:val="00716404"/>
    <w:rsid w:val="00716A89"/>
    <w:rsid w:val="00717361"/>
    <w:rsid w:val="00717B82"/>
    <w:rsid w:val="007214DD"/>
    <w:rsid w:val="007253B0"/>
    <w:rsid w:val="00726052"/>
    <w:rsid w:val="00727058"/>
    <w:rsid w:val="00727B0C"/>
    <w:rsid w:val="00730FBC"/>
    <w:rsid w:val="007343A7"/>
    <w:rsid w:val="00734D92"/>
    <w:rsid w:val="00736DDE"/>
    <w:rsid w:val="00740F3D"/>
    <w:rsid w:val="007465C3"/>
    <w:rsid w:val="00746FDC"/>
    <w:rsid w:val="0074707F"/>
    <w:rsid w:val="0074732E"/>
    <w:rsid w:val="00747C64"/>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62A"/>
    <w:rsid w:val="007727F9"/>
    <w:rsid w:val="0077366D"/>
    <w:rsid w:val="00774875"/>
    <w:rsid w:val="00774C8B"/>
    <w:rsid w:val="00775714"/>
    <w:rsid w:val="00775C04"/>
    <w:rsid w:val="0077671B"/>
    <w:rsid w:val="00780927"/>
    <w:rsid w:val="00781201"/>
    <w:rsid w:val="007815AD"/>
    <w:rsid w:val="00784E80"/>
    <w:rsid w:val="00787035"/>
    <w:rsid w:val="00787D32"/>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17D2"/>
    <w:rsid w:val="007B3929"/>
    <w:rsid w:val="007B4120"/>
    <w:rsid w:val="007B512A"/>
    <w:rsid w:val="007B537A"/>
    <w:rsid w:val="007B55D3"/>
    <w:rsid w:val="007B590C"/>
    <w:rsid w:val="007B5CCE"/>
    <w:rsid w:val="007B6F8F"/>
    <w:rsid w:val="007C0FF9"/>
    <w:rsid w:val="007C17EF"/>
    <w:rsid w:val="007C38CC"/>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0A2"/>
    <w:rsid w:val="007F4A87"/>
    <w:rsid w:val="007F5776"/>
    <w:rsid w:val="007F5FF4"/>
    <w:rsid w:val="007F726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27C2"/>
    <w:rsid w:val="008249C4"/>
    <w:rsid w:val="00825B11"/>
    <w:rsid w:val="00826D77"/>
    <w:rsid w:val="00827873"/>
    <w:rsid w:val="00830F12"/>
    <w:rsid w:val="00831804"/>
    <w:rsid w:val="00831C84"/>
    <w:rsid w:val="00833B56"/>
    <w:rsid w:val="00833E2E"/>
    <w:rsid w:val="00834319"/>
    <w:rsid w:val="00835C6A"/>
    <w:rsid w:val="00840BC2"/>
    <w:rsid w:val="00841B5C"/>
    <w:rsid w:val="00843ACF"/>
    <w:rsid w:val="00844DC3"/>
    <w:rsid w:val="00846F38"/>
    <w:rsid w:val="00847E27"/>
    <w:rsid w:val="00850665"/>
    <w:rsid w:val="00852FE7"/>
    <w:rsid w:val="00857932"/>
    <w:rsid w:val="00857C7D"/>
    <w:rsid w:val="008602EE"/>
    <w:rsid w:val="00860672"/>
    <w:rsid w:val="0086383B"/>
    <w:rsid w:val="00863B70"/>
    <w:rsid w:val="00864A18"/>
    <w:rsid w:val="00864CED"/>
    <w:rsid w:val="00865E4D"/>
    <w:rsid w:val="00865F2C"/>
    <w:rsid w:val="0086670D"/>
    <w:rsid w:val="00866E4F"/>
    <w:rsid w:val="008676BF"/>
    <w:rsid w:val="00867F70"/>
    <w:rsid w:val="008705CF"/>
    <w:rsid w:val="008718A6"/>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1D8D"/>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864DD"/>
    <w:rsid w:val="00987D48"/>
    <w:rsid w:val="009904B0"/>
    <w:rsid w:val="00993051"/>
    <w:rsid w:val="00994A2F"/>
    <w:rsid w:val="0099588B"/>
    <w:rsid w:val="00995B3E"/>
    <w:rsid w:val="00995F6E"/>
    <w:rsid w:val="00996D32"/>
    <w:rsid w:val="009A0234"/>
    <w:rsid w:val="009A1607"/>
    <w:rsid w:val="009A2B14"/>
    <w:rsid w:val="009A40F9"/>
    <w:rsid w:val="009A413C"/>
    <w:rsid w:val="009A5D92"/>
    <w:rsid w:val="009B01D1"/>
    <w:rsid w:val="009B14DE"/>
    <w:rsid w:val="009B1EB9"/>
    <w:rsid w:val="009B29D5"/>
    <w:rsid w:val="009B424F"/>
    <w:rsid w:val="009B72F9"/>
    <w:rsid w:val="009C091F"/>
    <w:rsid w:val="009C169A"/>
    <w:rsid w:val="009C266F"/>
    <w:rsid w:val="009C347A"/>
    <w:rsid w:val="009C4A98"/>
    <w:rsid w:val="009C6612"/>
    <w:rsid w:val="009D1465"/>
    <w:rsid w:val="009D1EAC"/>
    <w:rsid w:val="009D21E9"/>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57F67"/>
    <w:rsid w:val="00A60410"/>
    <w:rsid w:val="00A65681"/>
    <w:rsid w:val="00A67914"/>
    <w:rsid w:val="00A70954"/>
    <w:rsid w:val="00A71708"/>
    <w:rsid w:val="00A7252D"/>
    <w:rsid w:val="00A762CF"/>
    <w:rsid w:val="00A76AC9"/>
    <w:rsid w:val="00A80A5D"/>
    <w:rsid w:val="00A81D88"/>
    <w:rsid w:val="00A81DA7"/>
    <w:rsid w:val="00A82088"/>
    <w:rsid w:val="00A82F9D"/>
    <w:rsid w:val="00A855E9"/>
    <w:rsid w:val="00A85CBC"/>
    <w:rsid w:val="00A85D50"/>
    <w:rsid w:val="00A85DAB"/>
    <w:rsid w:val="00A86F6F"/>
    <w:rsid w:val="00A916B8"/>
    <w:rsid w:val="00A91C39"/>
    <w:rsid w:val="00A93D61"/>
    <w:rsid w:val="00A949CE"/>
    <w:rsid w:val="00A95D03"/>
    <w:rsid w:val="00A9664A"/>
    <w:rsid w:val="00A9792B"/>
    <w:rsid w:val="00A97E57"/>
    <w:rsid w:val="00AA0E05"/>
    <w:rsid w:val="00AA2258"/>
    <w:rsid w:val="00AA3292"/>
    <w:rsid w:val="00AA522F"/>
    <w:rsid w:val="00AA53AD"/>
    <w:rsid w:val="00AA6BB4"/>
    <w:rsid w:val="00AA7C35"/>
    <w:rsid w:val="00AA7DD1"/>
    <w:rsid w:val="00AA7ED5"/>
    <w:rsid w:val="00AB15A9"/>
    <w:rsid w:val="00AB292E"/>
    <w:rsid w:val="00AB2E0C"/>
    <w:rsid w:val="00AB2E13"/>
    <w:rsid w:val="00AB3913"/>
    <w:rsid w:val="00AB48A0"/>
    <w:rsid w:val="00AB4DE6"/>
    <w:rsid w:val="00AB5029"/>
    <w:rsid w:val="00AB68F3"/>
    <w:rsid w:val="00AB6B75"/>
    <w:rsid w:val="00AC090D"/>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CB7"/>
    <w:rsid w:val="00B35E73"/>
    <w:rsid w:val="00B378EF"/>
    <w:rsid w:val="00B37C5C"/>
    <w:rsid w:val="00B401B3"/>
    <w:rsid w:val="00B40C67"/>
    <w:rsid w:val="00B43CC6"/>
    <w:rsid w:val="00B46CCB"/>
    <w:rsid w:val="00B523D6"/>
    <w:rsid w:val="00B52D2D"/>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025E"/>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0E0"/>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DFF"/>
    <w:rsid w:val="00BF4EAA"/>
    <w:rsid w:val="00BF5757"/>
    <w:rsid w:val="00BF6510"/>
    <w:rsid w:val="00BF709F"/>
    <w:rsid w:val="00BF70B5"/>
    <w:rsid w:val="00C02297"/>
    <w:rsid w:val="00C03950"/>
    <w:rsid w:val="00C05BE7"/>
    <w:rsid w:val="00C06259"/>
    <w:rsid w:val="00C062BF"/>
    <w:rsid w:val="00C07066"/>
    <w:rsid w:val="00C07354"/>
    <w:rsid w:val="00C10FE5"/>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5630"/>
    <w:rsid w:val="00C36964"/>
    <w:rsid w:val="00C37474"/>
    <w:rsid w:val="00C40FA0"/>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4678"/>
    <w:rsid w:val="00C75E8C"/>
    <w:rsid w:val="00C81053"/>
    <w:rsid w:val="00C812C9"/>
    <w:rsid w:val="00C84B90"/>
    <w:rsid w:val="00C8500F"/>
    <w:rsid w:val="00C853F8"/>
    <w:rsid w:val="00C8741D"/>
    <w:rsid w:val="00C87F19"/>
    <w:rsid w:val="00C90462"/>
    <w:rsid w:val="00C90A4E"/>
    <w:rsid w:val="00C938BB"/>
    <w:rsid w:val="00C9425B"/>
    <w:rsid w:val="00C95985"/>
    <w:rsid w:val="00C96E06"/>
    <w:rsid w:val="00C96E3F"/>
    <w:rsid w:val="00C97877"/>
    <w:rsid w:val="00CA1229"/>
    <w:rsid w:val="00CA398E"/>
    <w:rsid w:val="00CA3FC4"/>
    <w:rsid w:val="00CA42E3"/>
    <w:rsid w:val="00CA52D7"/>
    <w:rsid w:val="00CA53DB"/>
    <w:rsid w:val="00CA561B"/>
    <w:rsid w:val="00CA638D"/>
    <w:rsid w:val="00CA742A"/>
    <w:rsid w:val="00CA7765"/>
    <w:rsid w:val="00CB0BBE"/>
    <w:rsid w:val="00CB427D"/>
    <w:rsid w:val="00CB6718"/>
    <w:rsid w:val="00CB7F2F"/>
    <w:rsid w:val="00CC2759"/>
    <w:rsid w:val="00CC2DDB"/>
    <w:rsid w:val="00CC3660"/>
    <w:rsid w:val="00CC4769"/>
    <w:rsid w:val="00CC5026"/>
    <w:rsid w:val="00CC64FF"/>
    <w:rsid w:val="00CD15B9"/>
    <w:rsid w:val="00CD19F7"/>
    <w:rsid w:val="00CD3464"/>
    <w:rsid w:val="00CD3518"/>
    <w:rsid w:val="00CD48A7"/>
    <w:rsid w:val="00CD6056"/>
    <w:rsid w:val="00CD6215"/>
    <w:rsid w:val="00CD67BD"/>
    <w:rsid w:val="00CE0655"/>
    <w:rsid w:val="00CE0EA8"/>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07419"/>
    <w:rsid w:val="00D10247"/>
    <w:rsid w:val="00D1226B"/>
    <w:rsid w:val="00D127E5"/>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0D67"/>
    <w:rsid w:val="00D51552"/>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DEB"/>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86C64"/>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D0D38"/>
    <w:rsid w:val="00DD1A8F"/>
    <w:rsid w:val="00DD1EA9"/>
    <w:rsid w:val="00DD5031"/>
    <w:rsid w:val="00DD5E2A"/>
    <w:rsid w:val="00DE24DF"/>
    <w:rsid w:val="00DE24E5"/>
    <w:rsid w:val="00DE40E6"/>
    <w:rsid w:val="00DE55E9"/>
    <w:rsid w:val="00DE6C58"/>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1F6"/>
    <w:rsid w:val="00E442B1"/>
    <w:rsid w:val="00E445C1"/>
    <w:rsid w:val="00E4568A"/>
    <w:rsid w:val="00E461E1"/>
    <w:rsid w:val="00E479A9"/>
    <w:rsid w:val="00E506B8"/>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C94"/>
    <w:rsid w:val="00E72F6B"/>
    <w:rsid w:val="00E731FB"/>
    <w:rsid w:val="00E7564A"/>
    <w:rsid w:val="00E778D6"/>
    <w:rsid w:val="00E82089"/>
    <w:rsid w:val="00E831FA"/>
    <w:rsid w:val="00E834DC"/>
    <w:rsid w:val="00E8402D"/>
    <w:rsid w:val="00E85530"/>
    <w:rsid w:val="00E8624B"/>
    <w:rsid w:val="00E86895"/>
    <w:rsid w:val="00E902E8"/>
    <w:rsid w:val="00E910B5"/>
    <w:rsid w:val="00E92F9C"/>
    <w:rsid w:val="00E962E6"/>
    <w:rsid w:val="00E97245"/>
    <w:rsid w:val="00EA0234"/>
    <w:rsid w:val="00EA16F4"/>
    <w:rsid w:val="00EA3E37"/>
    <w:rsid w:val="00EA7C4F"/>
    <w:rsid w:val="00EB001C"/>
    <w:rsid w:val="00EB2273"/>
    <w:rsid w:val="00EB3FD7"/>
    <w:rsid w:val="00EB4B28"/>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19C3"/>
    <w:rsid w:val="00EE2172"/>
    <w:rsid w:val="00EE313C"/>
    <w:rsid w:val="00EE3E63"/>
    <w:rsid w:val="00EE63B4"/>
    <w:rsid w:val="00EE7FE5"/>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0B20"/>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97FE0"/>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B73BC"/>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81E6D"/>
  <w15:docId w15:val="{8A781427-86A9-48F0-8C95-C17EEF31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65F0"/>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 w:type="character" w:customStyle="1" w:styleId="TALCar">
    <w:name w:val="TAL Car"/>
    <w:basedOn w:val="DefaultParagraphFont"/>
    <w:link w:val="TAL"/>
    <w:locked/>
    <w:rsid w:val="00D67DE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50306683">
      <w:bodyDiv w:val="1"/>
      <w:marLeft w:val="0"/>
      <w:marRight w:val="0"/>
      <w:marTop w:val="0"/>
      <w:marBottom w:val="0"/>
      <w:divBdr>
        <w:top w:val="none" w:sz="0" w:space="0" w:color="auto"/>
        <w:left w:val="none" w:sz="0" w:space="0" w:color="auto"/>
        <w:bottom w:val="none" w:sz="0" w:space="0" w:color="auto"/>
        <w:right w:val="none" w:sz="0" w:space="0" w:color="auto"/>
      </w:divBdr>
      <w:divsChild>
        <w:div w:id="1369837263">
          <w:marLeft w:val="1166"/>
          <w:marRight w:val="0"/>
          <w:marTop w:val="134"/>
          <w:marBottom w:val="0"/>
          <w:divBdr>
            <w:top w:val="none" w:sz="0" w:space="0" w:color="auto"/>
            <w:left w:val="none" w:sz="0" w:space="0" w:color="auto"/>
            <w:bottom w:val="none" w:sz="0" w:space="0" w:color="auto"/>
            <w:right w:val="none" w:sz="0" w:space="0" w:color="auto"/>
          </w:divBdr>
        </w:div>
        <w:div w:id="696470426">
          <w:marLeft w:val="1800"/>
          <w:marRight w:val="0"/>
          <w:marTop w:val="115"/>
          <w:marBottom w:val="0"/>
          <w:divBdr>
            <w:top w:val="none" w:sz="0" w:space="0" w:color="auto"/>
            <w:left w:val="none" w:sz="0" w:space="0" w:color="auto"/>
            <w:bottom w:val="none" w:sz="0" w:space="0" w:color="auto"/>
            <w:right w:val="none" w:sz="0" w:space="0" w:color="auto"/>
          </w:divBdr>
        </w:div>
        <w:div w:id="1861158267">
          <w:marLeft w:val="1800"/>
          <w:marRight w:val="0"/>
          <w:marTop w:val="115"/>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39900707">
      <w:bodyDiv w:val="1"/>
      <w:marLeft w:val="0"/>
      <w:marRight w:val="0"/>
      <w:marTop w:val="0"/>
      <w:marBottom w:val="0"/>
      <w:divBdr>
        <w:top w:val="none" w:sz="0" w:space="0" w:color="auto"/>
        <w:left w:val="none" w:sz="0" w:space="0" w:color="auto"/>
        <w:bottom w:val="none" w:sz="0" w:space="0" w:color="auto"/>
        <w:right w:val="none" w:sz="0" w:space="0" w:color="auto"/>
      </w:divBdr>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11766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198C4-5523-43D4-895E-7FAA86BE0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1027</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dc:description/>
  <cp:lastModifiedBy>Maomao Chen</cp:lastModifiedBy>
  <cp:revision>3</cp:revision>
  <cp:lastPrinted>2016-01-13T10:28:00Z</cp:lastPrinted>
  <dcterms:created xsi:type="dcterms:W3CDTF">2017-03-24T12:26:00Z</dcterms:created>
  <dcterms:modified xsi:type="dcterms:W3CDTF">2017-03-24T12:26:00Z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