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3168086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EF7DC8" w:rsidRPr="00434471">
        <w:rPr>
          <w:rFonts w:cs="Arial"/>
          <w:bCs/>
          <w:noProof w:val="0"/>
          <w:sz w:val="24"/>
        </w:rPr>
        <w:t>01812</w:t>
      </w:r>
      <w:bookmarkStart w:id="1" w:name="_GoBack"/>
      <w:bookmarkEnd w:id="1"/>
    </w:p>
    <w:p w14:paraId="7FE3607D" w14:textId="69D65E21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6FF24306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1988">
        <w:rPr>
          <w:rFonts w:ascii="Arial" w:hAnsi="Arial" w:cs="Arial"/>
          <w:b/>
          <w:bCs/>
          <w:sz w:val="24"/>
        </w:rPr>
        <w:t>Names and d</w:t>
      </w:r>
      <w:r w:rsidR="00E94E9C">
        <w:rPr>
          <w:rFonts w:ascii="Arial" w:hAnsi="Arial" w:cs="Arial"/>
          <w:b/>
          <w:bCs/>
          <w:sz w:val="24"/>
        </w:rPr>
        <w:t>efinition</w:t>
      </w:r>
      <w:r w:rsidR="00673172">
        <w:rPr>
          <w:rFonts w:ascii="Arial" w:hAnsi="Arial" w:cs="Arial"/>
          <w:b/>
          <w:bCs/>
          <w:sz w:val="24"/>
        </w:rPr>
        <w:t>s</w:t>
      </w:r>
      <w:r w:rsidR="00E94E9C">
        <w:rPr>
          <w:rFonts w:ascii="Arial" w:hAnsi="Arial" w:cs="Arial"/>
          <w:b/>
          <w:bCs/>
          <w:sz w:val="24"/>
        </w:rPr>
        <w:t xml:space="preserve"> for </w:t>
      </w:r>
      <w:r w:rsidR="008E1988">
        <w:rPr>
          <w:rFonts w:ascii="Arial" w:hAnsi="Arial" w:cs="Arial"/>
          <w:b/>
          <w:bCs/>
          <w:sz w:val="24"/>
        </w:rPr>
        <w:t>OTA requirement compliance range</w:t>
      </w:r>
    </w:p>
    <w:p w14:paraId="28325425" w14:textId="7F57161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4AA9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5F4AA9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.</w:t>
      </w:r>
      <w:r w:rsidR="005F4AA9">
        <w:rPr>
          <w:rFonts w:cs="Arial"/>
          <w:b/>
          <w:bCs/>
          <w:sz w:val="24"/>
        </w:rPr>
        <w:t>7</w:t>
      </w:r>
    </w:p>
    <w:p w14:paraId="62346435" w14:textId="3C0241C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B05AE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2F61D9F" w14:textId="42DDE64F" w:rsidR="000A362E" w:rsidRDefault="00D30966" w:rsidP="00171463">
      <w:pPr>
        <w:spacing w:after="0"/>
        <w:rPr>
          <w:bCs/>
        </w:rPr>
      </w:pPr>
      <w:r>
        <w:rPr>
          <w:bCs/>
        </w:rPr>
        <w:t>D</w:t>
      </w:r>
      <w:r w:rsidR="002A027F">
        <w:rPr>
          <w:bCs/>
        </w:rPr>
        <w:t>uring</w:t>
      </w:r>
      <w:r w:rsidR="00AD1C92">
        <w:rPr>
          <w:bCs/>
        </w:rPr>
        <w:t xml:space="preserve"> the</w:t>
      </w:r>
      <w:r>
        <w:rPr>
          <w:bCs/>
        </w:rPr>
        <w:t xml:space="preserve"> </w:t>
      </w:r>
      <w:r w:rsidR="000E1AC9">
        <w:rPr>
          <w:bCs/>
        </w:rPr>
        <w:t xml:space="preserve">last meeting </w:t>
      </w:r>
      <w:r>
        <w:rPr>
          <w:bCs/>
        </w:rPr>
        <w:t>R</w:t>
      </w:r>
      <w:r w:rsidR="000E1AC9">
        <w:rPr>
          <w:bCs/>
        </w:rPr>
        <w:t>AN4#81</w:t>
      </w:r>
      <w:r w:rsidR="00F04D86">
        <w:rPr>
          <w:bCs/>
        </w:rPr>
        <w:t xml:space="preserve"> a</w:t>
      </w:r>
      <w:r>
        <w:rPr>
          <w:bCs/>
        </w:rPr>
        <w:t xml:space="preserve"> WF on OTA requirement compliance range</w:t>
      </w:r>
      <w:r w:rsidR="00C16CDA">
        <w:rPr>
          <w:bCs/>
        </w:rPr>
        <w:t xml:space="preserve"> [1] was approved</w:t>
      </w:r>
      <w:r w:rsidR="000A362E">
        <w:rPr>
          <w:bCs/>
        </w:rPr>
        <w:t xml:space="preserve">. </w:t>
      </w:r>
      <w:r w:rsidR="008E1988">
        <w:rPr>
          <w:bCs/>
        </w:rPr>
        <w:t xml:space="preserve">One </w:t>
      </w:r>
      <w:r w:rsidR="000E1AC9">
        <w:rPr>
          <w:bCs/>
        </w:rPr>
        <w:t>of the o</w:t>
      </w:r>
      <w:r w:rsidR="008E1988">
        <w:rPr>
          <w:bCs/>
        </w:rPr>
        <w:t xml:space="preserve">pen issues captured in [1] is </w:t>
      </w:r>
      <w:r w:rsidR="00F04D86">
        <w:rPr>
          <w:bCs/>
        </w:rPr>
        <w:t>that</w:t>
      </w:r>
      <w:r w:rsidR="008E1988">
        <w:rPr>
          <w:bCs/>
        </w:rPr>
        <w:t xml:space="preserve"> the definition</w:t>
      </w:r>
      <w:r w:rsidR="00F04D86">
        <w:rPr>
          <w:bCs/>
        </w:rPr>
        <w:t>s</w:t>
      </w:r>
      <w:r w:rsidR="008E1988">
        <w:rPr>
          <w:bCs/>
        </w:rPr>
        <w:t xml:space="preserve"> and name</w:t>
      </w:r>
      <w:r w:rsidR="00F04D86">
        <w:rPr>
          <w:bCs/>
        </w:rPr>
        <w:t>s</w:t>
      </w:r>
      <w:r w:rsidR="008E1988">
        <w:rPr>
          <w:bCs/>
        </w:rPr>
        <w:t xml:space="preserve"> of “OTA compliance peak directions set” and “OTA compliance coverage”</w:t>
      </w:r>
      <w:r w:rsidR="00F04D86">
        <w:rPr>
          <w:bCs/>
        </w:rPr>
        <w:t xml:space="preserve"> need to be agreed</w:t>
      </w:r>
      <w:r w:rsidR="008E1988">
        <w:rPr>
          <w:bCs/>
        </w:rPr>
        <w:t xml:space="preserve">. </w:t>
      </w:r>
      <w:r w:rsidR="000E1AC9">
        <w:rPr>
          <w:bCs/>
        </w:rPr>
        <w:t xml:space="preserve"> </w:t>
      </w:r>
      <w:r w:rsidR="000A362E">
        <w:rPr>
          <w:bCs/>
        </w:rPr>
        <w:t xml:space="preserve"> </w:t>
      </w:r>
    </w:p>
    <w:p w14:paraId="115CE418" w14:textId="7DCE7FE8" w:rsidR="00565530" w:rsidRDefault="00565530" w:rsidP="00171463">
      <w:pPr>
        <w:spacing w:after="0"/>
        <w:rPr>
          <w:bCs/>
        </w:rPr>
      </w:pPr>
    </w:p>
    <w:p w14:paraId="00CA94CB" w14:textId="46192B05" w:rsidR="00D7766E" w:rsidRPr="003E24CA" w:rsidRDefault="00F04D86" w:rsidP="00171463">
      <w:pPr>
        <w:spacing w:after="0"/>
        <w:rPr>
          <w:bCs/>
        </w:rPr>
      </w:pPr>
      <w:r>
        <w:rPr>
          <w:bCs/>
        </w:rPr>
        <w:t>In t</w:t>
      </w:r>
      <w:r w:rsidR="00653361">
        <w:rPr>
          <w:bCs/>
        </w:rPr>
        <w:t>his document</w:t>
      </w:r>
      <w:r>
        <w:rPr>
          <w:bCs/>
        </w:rPr>
        <w:t>, we present</w:t>
      </w:r>
      <w:r w:rsidR="00653361">
        <w:rPr>
          <w:bCs/>
        </w:rPr>
        <w:t xml:space="preserve"> our proposed definitions and alternative names for the aforementioned two terms. </w:t>
      </w:r>
      <w:r w:rsidR="00D7766E">
        <w:rPr>
          <w:bCs/>
        </w:rPr>
        <w:t xml:space="preserve"> </w:t>
      </w:r>
    </w:p>
    <w:p w14:paraId="16A9DD05" w14:textId="04946D1B" w:rsidR="00831B65" w:rsidRDefault="00C608C8" w:rsidP="00FA5286">
      <w:pPr>
        <w:pStyle w:val="Heading1"/>
      </w:pPr>
      <w:r>
        <w:t>2</w:t>
      </w:r>
      <w:r>
        <w:tab/>
        <w:t>Discussion</w:t>
      </w:r>
    </w:p>
    <w:p w14:paraId="4D2A6758" w14:textId="20083D31" w:rsidR="00581941" w:rsidRDefault="00751CA3" w:rsidP="00D904BD">
      <w:r>
        <w:t>T</w:t>
      </w:r>
      <w:r w:rsidR="00C16CDA">
        <w:t>he following a</w:t>
      </w:r>
      <w:r>
        <w:t>greements are captured in [1]:</w:t>
      </w:r>
    </w:p>
    <w:p w14:paraId="18BC64A2" w14:textId="1E8119B5" w:rsidR="009A2AEF" w:rsidRPr="00CC40FA" w:rsidRDefault="001B2983" w:rsidP="00D904B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CC40FA">
        <w:rPr>
          <w:sz w:val="20"/>
          <w:szCs w:val="20"/>
          <w:lang w:val="en-GB"/>
        </w:rPr>
        <w:t xml:space="preserve">As mandatory, </w:t>
      </w:r>
      <w:r w:rsidR="00050924" w:rsidRPr="00CC40FA">
        <w:rPr>
          <w:sz w:val="20"/>
          <w:szCs w:val="20"/>
          <w:lang w:val="en-GB"/>
        </w:rPr>
        <w:t xml:space="preserve">manufacturers need to declared a common peak directions set(s) (hereafter called </w:t>
      </w:r>
      <w:r w:rsidR="00276CB3">
        <w:rPr>
          <w:sz w:val="20"/>
          <w:szCs w:val="20"/>
          <w:lang w:val="en-GB"/>
        </w:rPr>
        <w:t>“</w:t>
      </w:r>
      <w:r w:rsidR="00050924" w:rsidRPr="00CC40FA">
        <w:rPr>
          <w:sz w:val="20"/>
          <w:szCs w:val="20"/>
          <w:lang w:val="en-GB"/>
        </w:rPr>
        <w:t xml:space="preserve">OTA compliance peak directions set” in this WF. Final naming is FFS). Any requirement specified at the peak direction is met in </w:t>
      </w:r>
      <w:r w:rsidR="00276CB3">
        <w:rPr>
          <w:sz w:val="20"/>
          <w:szCs w:val="20"/>
          <w:lang w:val="en-GB"/>
        </w:rPr>
        <w:t>“</w:t>
      </w:r>
      <w:r w:rsidR="00050924" w:rsidRPr="00CC40FA">
        <w:rPr>
          <w:sz w:val="20"/>
          <w:szCs w:val="20"/>
          <w:lang w:val="en-GB"/>
        </w:rPr>
        <w:t xml:space="preserve">OTA compliance peak directions set”. </w:t>
      </w:r>
    </w:p>
    <w:p w14:paraId="17ADF0F7" w14:textId="77777777" w:rsidR="00AD0C4D" w:rsidRPr="00CC40FA" w:rsidRDefault="00AD0C4D" w:rsidP="00D904BD">
      <w:pPr>
        <w:pStyle w:val="ListParagraph"/>
        <w:rPr>
          <w:sz w:val="20"/>
          <w:szCs w:val="20"/>
          <w:lang w:val="en-GB"/>
        </w:rPr>
      </w:pPr>
    </w:p>
    <w:p w14:paraId="66267E62" w14:textId="59C3E84E" w:rsidR="00050924" w:rsidRPr="00CC40FA" w:rsidRDefault="00AD0C4D" w:rsidP="00D904B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CC40FA">
        <w:rPr>
          <w:sz w:val="20"/>
          <w:szCs w:val="20"/>
          <w:lang w:val="en-GB"/>
        </w:rPr>
        <w:t xml:space="preserve">As mandatory, manufacturers need to declare a common direction ranges set(s) (hereafter called </w:t>
      </w:r>
      <w:r w:rsidR="00276CB3">
        <w:rPr>
          <w:sz w:val="20"/>
          <w:szCs w:val="20"/>
          <w:lang w:val="en-GB"/>
        </w:rPr>
        <w:t>“</w:t>
      </w:r>
      <w:r w:rsidRPr="00CC40FA">
        <w:rPr>
          <w:sz w:val="20"/>
          <w:szCs w:val="20"/>
          <w:lang w:val="en-GB"/>
        </w:rPr>
        <w:t>OTA compliance coverage” in this WF. Final naming is FFS).</w:t>
      </w:r>
    </w:p>
    <w:p w14:paraId="2DB1661A" w14:textId="77777777" w:rsidR="00AD0C4D" w:rsidRPr="00CC40FA" w:rsidRDefault="00AD0C4D" w:rsidP="00D904BD">
      <w:pPr>
        <w:pStyle w:val="ListParagraph"/>
        <w:rPr>
          <w:sz w:val="20"/>
          <w:szCs w:val="20"/>
          <w:lang w:val="en-GB"/>
        </w:rPr>
      </w:pPr>
    </w:p>
    <w:p w14:paraId="362B142A" w14:textId="4BB3D0FA" w:rsidR="00AD0C4D" w:rsidRPr="00CC40FA" w:rsidRDefault="00AD0C4D" w:rsidP="00D904B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CC40FA">
        <w:rPr>
          <w:sz w:val="20"/>
          <w:szCs w:val="20"/>
          <w:lang w:val="en-GB"/>
        </w:rPr>
        <w:t xml:space="preserve">All OTA requirements must be met in the </w:t>
      </w:r>
      <w:r w:rsidR="00276CB3">
        <w:rPr>
          <w:sz w:val="20"/>
          <w:szCs w:val="20"/>
          <w:lang w:val="en-GB"/>
        </w:rPr>
        <w:t>“</w:t>
      </w:r>
      <w:r w:rsidRPr="00CC40FA">
        <w:rPr>
          <w:sz w:val="20"/>
          <w:szCs w:val="20"/>
          <w:lang w:val="en-GB"/>
        </w:rPr>
        <w:t>OTA compliance coverage” (under the corresponding inherent conditions required for each requirement) with excepti</w:t>
      </w:r>
      <w:r w:rsidR="00A64C40" w:rsidRPr="00CC40FA">
        <w:rPr>
          <w:sz w:val="20"/>
          <w:szCs w:val="20"/>
          <w:lang w:val="en-GB"/>
        </w:rPr>
        <w:t>on to the requirements that are specified at the peak direction as a TRP.</w:t>
      </w:r>
    </w:p>
    <w:p w14:paraId="66805188" w14:textId="77777777" w:rsidR="00A64C40" w:rsidRPr="00CC40FA" w:rsidRDefault="00A64C40" w:rsidP="00D904BD">
      <w:pPr>
        <w:pStyle w:val="ListParagraph"/>
        <w:rPr>
          <w:sz w:val="20"/>
          <w:szCs w:val="20"/>
          <w:lang w:val="en-GB"/>
        </w:rPr>
      </w:pPr>
    </w:p>
    <w:p w14:paraId="4F00A32A" w14:textId="37934359" w:rsidR="00A64C40" w:rsidRPr="00CC40FA" w:rsidRDefault="00A64C40" w:rsidP="00D904B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CC40FA">
        <w:rPr>
          <w:sz w:val="20"/>
          <w:szCs w:val="20"/>
          <w:lang w:val="en-GB"/>
        </w:rPr>
        <w:t xml:space="preserve">In case a requirement that is not specified as peak direction or TRP but has a condition of a peak direction apply to it, then the peak direction must be within the OTA compliance peak direction set”. </w:t>
      </w:r>
    </w:p>
    <w:p w14:paraId="2DB3C155" w14:textId="77777777" w:rsidR="00A64C40" w:rsidRPr="00CC40FA" w:rsidRDefault="00A64C40" w:rsidP="00D904BD">
      <w:pPr>
        <w:pStyle w:val="ListParagraph"/>
        <w:rPr>
          <w:sz w:val="20"/>
          <w:szCs w:val="20"/>
          <w:lang w:val="en-GB"/>
        </w:rPr>
      </w:pPr>
    </w:p>
    <w:p w14:paraId="589B21BF" w14:textId="6A2474CB" w:rsidR="000B677B" w:rsidRPr="00CC40FA" w:rsidRDefault="00276CB3" w:rsidP="00D904BD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sz w:val="20"/>
          <w:szCs w:val="20"/>
          <w:lang w:val="en-GB"/>
        </w:rPr>
        <w:t>“</w:t>
      </w:r>
      <w:r w:rsidR="00B03101" w:rsidRPr="00CC40FA">
        <w:rPr>
          <w:sz w:val="20"/>
          <w:szCs w:val="20"/>
          <w:lang w:val="en-GB"/>
        </w:rPr>
        <w:t xml:space="preserve">OTA compliance peak directions set” is a subset of </w:t>
      </w:r>
      <w:r w:rsidR="00A74817">
        <w:rPr>
          <w:sz w:val="20"/>
          <w:szCs w:val="20"/>
          <w:lang w:val="en-GB"/>
        </w:rPr>
        <w:t>“</w:t>
      </w:r>
      <w:r w:rsidR="00B03101" w:rsidRPr="00CC40FA">
        <w:rPr>
          <w:sz w:val="20"/>
          <w:szCs w:val="20"/>
          <w:lang w:val="en-GB"/>
        </w:rPr>
        <w:t xml:space="preserve">OTA compliance coverage”. </w:t>
      </w:r>
    </w:p>
    <w:p w14:paraId="18228806" w14:textId="295C65D9" w:rsidR="00BE031A" w:rsidRDefault="00BE031A" w:rsidP="00745D68">
      <w:pPr>
        <w:spacing w:after="0"/>
      </w:pPr>
    </w:p>
    <w:p w14:paraId="58BBFB11" w14:textId="7BFE0FE9" w:rsidR="00F94B2E" w:rsidRDefault="00B455BE" w:rsidP="00745D68">
      <w:pPr>
        <w:spacing w:after="0"/>
      </w:pPr>
      <w:r>
        <w:t>Based on the aforementioned agreements and discussion during the meeting, we propose the following definitions:</w:t>
      </w:r>
    </w:p>
    <w:p w14:paraId="5CB551A2" w14:textId="77777777" w:rsidR="00B455BE" w:rsidRDefault="00B455BE" w:rsidP="00745D68">
      <w:pPr>
        <w:spacing w:after="0"/>
      </w:pPr>
    </w:p>
    <w:p w14:paraId="5ADBAEB1" w14:textId="3855E47B" w:rsidR="007442BE" w:rsidRDefault="00444753" w:rsidP="00013BAB">
      <w:r w:rsidRPr="00D904BD">
        <w:rPr>
          <w:b/>
        </w:rPr>
        <w:t>OTA compliance peak directions set</w:t>
      </w:r>
      <w:r>
        <w:t>:</w:t>
      </w:r>
      <w:r w:rsidR="00DF3953">
        <w:t xml:space="preserve"> </w:t>
      </w:r>
      <w:r w:rsidR="009244B2">
        <w:t xml:space="preserve">manufacturers declare </w:t>
      </w:r>
      <w:r w:rsidR="007442BE">
        <w:t xml:space="preserve">a set of peak </w:t>
      </w:r>
      <w:r w:rsidR="00FD59F2">
        <w:t xml:space="preserve">spatial </w:t>
      </w:r>
      <w:r w:rsidR="007442BE">
        <w:t xml:space="preserve">directions </w:t>
      </w:r>
      <w:r w:rsidR="009244B2">
        <w:t>within</w:t>
      </w:r>
      <w:r w:rsidR="007442BE">
        <w:t xml:space="preserve"> which certain OTA requirements </w:t>
      </w:r>
      <w:r w:rsidR="003822DE">
        <w:t>shall be</w:t>
      </w:r>
      <w:r w:rsidR="007442BE">
        <w:t xml:space="preserve"> met during conformance testing.</w:t>
      </w:r>
      <w:r w:rsidR="008F7F02">
        <w:t xml:space="preserve"> </w:t>
      </w:r>
      <w:r w:rsidR="00745D68">
        <w:t>It is a subset of OTA compliance coverage.</w:t>
      </w:r>
    </w:p>
    <w:p w14:paraId="7E7C7E03" w14:textId="1B33E33A" w:rsidR="008E7EF2" w:rsidRDefault="007442BE" w:rsidP="001A450B">
      <w:pPr>
        <w:ind w:left="284"/>
      </w:pPr>
      <w:r>
        <w:t xml:space="preserve">NOTE: In case an OTA requirement is not specified in the peak direction or </w:t>
      </w:r>
      <w:r w:rsidR="00E553FE">
        <w:t xml:space="preserve">as </w:t>
      </w:r>
      <w:r>
        <w:t>TRP but it has a condition of a peak direction appl</w:t>
      </w:r>
      <w:r w:rsidR="00A1022E">
        <w:t>ied</w:t>
      </w:r>
      <w:r>
        <w:t xml:space="preserve"> to it, then the peak direction must be within the “OTA compliance peak directions set”.   </w:t>
      </w:r>
      <w:r w:rsidR="00745D68">
        <w:t xml:space="preserve"> </w:t>
      </w:r>
    </w:p>
    <w:p w14:paraId="66AC842E" w14:textId="6EC5AA7E" w:rsidR="007D6C48" w:rsidRDefault="007D6C48" w:rsidP="00FA5286">
      <w:r>
        <w:t>As the term “peak direction” is not current</w:t>
      </w:r>
      <w:r w:rsidR="00A82CA1">
        <w:t>ly</w:t>
      </w:r>
      <w:r>
        <w:t xml:space="preserve"> defined</w:t>
      </w:r>
      <w:r w:rsidR="00A82CA1">
        <w:t xml:space="preserve"> in 3GPP documents</w:t>
      </w:r>
      <w:r>
        <w:t xml:space="preserve">, we </w:t>
      </w:r>
      <w:r w:rsidR="004354E3">
        <w:t xml:space="preserve">also </w:t>
      </w:r>
      <w:r>
        <w:t>provide our definition as:</w:t>
      </w:r>
    </w:p>
    <w:p w14:paraId="7E5069C3" w14:textId="385BF989" w:rsidR="007D6C48" w:rsidRDefault="007D6C48" w:rsidP="00FA5286">
      <w:r w:rsidRPr="001D79AB">
        <w:rPr>
          <w:b/>
        </w:rPr>
        <w:t>Peak direction</w:t>
      </w:r>
      <w:r>
        <w:t xml:space="preserve">: </w:t>
      </w:r>
      <w:r w:rsidR="00A82CA1">
        <w:t>the direction</w:t>
      </w:r>
      <w:r w:rsidR="00013BAB">
        <w:t xml:space="preserve"> </w:t>
      </w:r>
      <w:r w:rsidR="00A82CA1">
        <w:t>where a maximum (e.g., a</w:t>
      </w:r>
      <w:r w:rsidR="00CE1A97">
        <w:t>n</w:t>
      </w:r>
      <w:r w:rsidR="00A82CA1">
        <w:t xml:space="preserve"> absolute value or ra</w:t>
      </w:r>
      <w:r w:rsidR="000E23EF">
        <w:t>tio</w:t>
      </w:r>
      <w:r w:rsidR="00A82CA1">
        <w:t>) of a physical quantity is located</w:t>
      </w:r>
      <w:r w:rsidR="00F75ECE">
        <w:t xml:space="preserve"> in the three-dimensional space</w:t>
      </w:r>
      <w:r w:rsidR="0057654B">
        <w:t>.</w:t>
      </w:r>
      <w:r w:rsidR="00A82CA1">
        <w:t xml:space="preserve"> </w:t>
      </w:r>
    </w:p>
    <w:p w14:paraId="27B6529B" w14:textId="21E6FB4F" w:rsidR="001E0EA8" w:rsidRDefault="00DF7931" w:rsidP="00FA5286">
      <w:r w:rsidRPr="00D904BD">
        <w:rPr>
          <w:b/>
        </w:rPr>
        <w:t>OTA compliance coverage</w:t>
      </w:r>
      <w:r>
        <w:t xml:space="preserve">: </w:t>
      </w:r>
      <w:r w:rsidR="005D1255">
        <w:t xml:space="preserve">manufacturers declare a </w:t>
      </w:r>
      <w:r w:rsidR="00AE06B0">
        <w:t>common</w:t>
      </w:r>
      <w:r w:rsidR="005D1255">
        <w:t xml:space="preserve"> </w:t>
      </w:r>
      <w:r w:rsidR="009244B2">
        <w:t>range</w:t>
      </w:r>
      <w:r w:rsidR="008F7F02">
        <w:t xml:space="preserve"> of </w:t>
      </w:r>
      <w:r w:rsidR="00D56101">
        <w:t xml:space="preserve">spatial </w:t>
      </w:r>
      <w:r w:rsidR="008F7F02">
        <w:t>directions</w:t>
      </w:r>
      <w:r w:rsidR="005D1255">
        <w:t xml:space="preserve"> </w:t>
      </w:r>
      <w:r w:rsidR="009244B2">
        <w:t>within</w:t>
      </w:r>
      <w:r w:rsidR="00D24D09">
        <w:t xml:space="preserve"> which all OTA requirements sh</w:t>
      </w:r>
      <w:r w:rsidR="00E553FE">
        <w:t>all</w:t>
      </w:r>
      <w:r w:rsidR="00D24D09">
        <w:t xml:space="preserve"> be met during conformance testing </w:t>
      </w:r>
      <w:r w:rsidR="00F75ECE">
        <w:t>except for</w:t>
      </w:r>
      <w:r w:rsidR="00895370">
        <w:t xml:space="preserve"> t</w:t>
      </w:r>
      <w:r w:rsidR="00D24D09">
        <w:t xml:space="preserve">hose requirements that are explicitly </w:t>
      </w:r>
      <w:r w:rsidR="00DF3953">
        <w:t>specified at the peak direction or</w:t>
      </w:r>
      <w:r w:rsidR="000A5CE6">
        <w:t xml:space="preserve"> </w:t>
      </w:r>
      <w:r w:rsidR="00DF3953">
        <w:t xml:space="preserve">as </w:t>
      </w:r>
      <w:r w:rsidR="000A5CE6">
        <w:t>TRP</w:t>
      </w:r>
      <w:r w:rsidR="00D24D09">
        <w:t xml:space="preserve">. </w:t>
      </w:r>
    </w:p>
    <w:p w14:paraId="4A876399" w14:textId="1371905D" w:rsidR="009245B7" w:rsidRDefault="0058787F" w:rsidP="006A28E7">
      <w:pPr>
        <w:spacing w:after="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As f</w:t>
      </w:r>
      <w:r w:rsidR="009245B7">
        <w:t>or the name of the two terms, t</w:t>
      </w:r>
      <w:r w:rsidR="00765BD6">
        <w:t>h</w:t>
      </w:r>
      <w:r w:rsidR="008D6DA9">
        <w:t xml:space="preserve">e current name </w:t>
      </w:r>
      <w:r w:rsidR="009245B7">
        <w:t>for both terms</w:t>
      </w:r>
      <w:r w:rsidR="008D6DA9">
        <w:t xml:space="preserve"> is </w:t>
      </w:r>
      <w:r w:rsidR="00745D68">
        <w:t xml:space="preserve">not ambiguous. </w:t>
      </w:r>
      <w:r w:rsidR="008D6DA9">
        <w:t xml:space="preserve"> </w:t>
      </w:r>
      <w:r w:rsidR="00745D68">
        <w:t>However, the name for the term</w:t>
      </w:r>
      <w:r w:rsidR="00AB4970">
        <w:t xml:space="preserve">, i.e., OTA compliance coverage, </w:t>
      </w:r>
      <w:r w:rsidR="00745D68">
        <w:t>can be more informati</w:t>
      </w:r>
      <w:r w:rsidR="00AE1969">
        <w:t xml:space="preserve">ve. </w:t>
      </w:r>
      <w:r w:rsidR="00FF0957">
        <w:t>One possible suggestion is</w:t>
      </w:r>
      <w:r w:rsidR="00AE1969">
        <w:t xml:space="preserve"> </w:t>
      </w:r>
      <w:r w:rsidR="00745D68" w:rsidRPr="001D79AB">
        <w:rPr>
          <w:b/>
        </w:rPr>
        <w:t xml:space="preserve">OTA </w:t>
      </w:r>
      <w:r w:rsidR="00811608" w:rsidRPr="001D79AB">
        <w:rPr>
          <w:b/>
        </w:rPr>
        <w:t>compliance</w:t>
      </w:r>
      <w:r w:rsidR="00745D68" w:rsidRPr="001D79AB">
        <w:rPr>
          <w:b/>
        </w:rPr>
        <w:t xml:space="preserve"> </w:t>
      </w:r>
      <w:r w:rsidR="00592EE9">
        <w:rPr>
          <w:b/>
        </w:rPr>
        <w:t>global</w:t>
      </w:r>
      <w:r w:rsidR="00822ADD">
        <w:rPr>
          <w:b/>
        </w:rPr>
        <w:t xml:space="preserve"> </w:t>
      </w:r>
      <w:r w:rsidR="00745D68" w:rsidRPr="001D79AB">
        <w:rPr>
          <w:b/>
        </w:rPr>
        <w:t>directions set</w:t>
      </w:r>
      <w:r w:rsidR="00745D68">
        <w:t xml:space="preserve">. </w:t>
      </w:r>
    </w:p>
    <w:p w14:paraId="51B6A08F" w14:textId="77777777" w:rsidR="008B7A6D" w:rsidRPr="00BC4D65" w:rsidRDefault="008B7A6D" w:rsidP="00745D68">
      <w:pPr>
        <w:spacing w:after="0"/>
        <w:rPr>
          <w:b/>
          <w:sz w:val="18"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7EF1693" w14:textId="7CEA81E5" w:rsidR="00A570AB" w:rsidRDefault="001E0B3F" w:rsidP="00EA50F9">
      <w:pPr>
        <w:spacing w:after="0"/>
      </w:pPr>
      <w:r>
        <w:t xml:space="preserve">In this document, </w:t>
      </w:r>
      <w:r w:rsidR="000D39C1">
        <w:t>we have proposed definitions for the following two terms:</w:t>
      </w:r>
    </w:p>
    <w:p w14:paraId="1D1B13D1" w14:textId="77777777" w:rsidR="00A570AB" w:rsidRDefault="00A570AB" w:rsidP="00EA50F9">
      <w:pPr>
        <w:spacing w:after="0"/>
      </w:pPr>
    </w:p>
    <w:p w14:paraId="748D6FC8" w14:textId="6A055320" w:rsidR="00A570AB" w:rsidRDefault="00A570AB" w:rsidP="00A570AB">
      <w:r w:rsidRPr="00D904BD">
        <w:rPr>
          <w:b/>
        </w:rPr>
        <w:t>OTA compliance peak directions set</w:t>
      </w:r>
      <w:r>
        <w:t>:</w:t>
      </w:r>
      <w:r w:rsidR="00633917">
        <w:t xml:space="preserve"> </w:t>
      </w:r>
      <w:r w:rsidR="00AE06B0">
        <w:t xml:space="preserve">manufacturers declare </w:t>
      </w:r>
      <w:r w:rsidR="00633917">
        <w:t xml:space="preserve">a set of peak directions </w:t>
      </w:r>
      <w:r w:rsidR="00AE06B0">
        <w:t>within</w:t>
      </w:r>
      <w:r w:rsidR="00633917">
        <w:t xml:space="preserve"> which certain OTA requirements </w:t>
      </w:r>
      <w:r w:rsidR="003822DE">
        <w:t xml:space="preserve">shall be </w:t>
      </w:r>
      <w:r w:rsidR="00633917">
        <w:t>met during conformance testing. It is a subset of OTA compliance coverage.</w:t>
      </w:r>
      <w:r>
        <w:t xml:space="preserve"> </w:t>
      </w:r>
    </w:p>
    <w:p w14:paraId="07776376" w14:textId="23C70253" w:rsidR="001A450B" w:rsidRDefault="001A450B" w:rsidP="006F2761">
      <w:pPr>
        <w:ind w:left="1136" w:hanging="852"/>
      </w:pPr>
      <w:r>
        <w:t>NOTE:</w:t>
      </w:r>
      <w:r w:rsidR="006F2761">
        <w:tab/>
      </w:r>
      <w:r>
        <w:t xml:space="preserve"> In case an OTA requirement is not specified in the peak </w:t>
      </w:r>
      <w:r w:rsidR="003E1112">
        <w:t xml:space="preserve">spatial </w:t>
      </w:r>
      <w:r>
        <w:t xml:space="preserve">direction or </w:t>
      </w:r>
      <w:r w:rsidR="00E553FE">
        <w:t xml:space="preserve">as </w:t>
      </w:r>
      <w:r>
        <w:t>TRP but it has a condition of a peak direction appl</w:t>
      </w:r>
      <w:r w:rsidR="00A1022E">
        <w:t>ied</w:t>
      </w:r>
      <w:r>
        <w:t xml:space="preserve"> to it, then the peak direction must be within the “OTA compliance peak directions set”.    </w:t>
      </w:r>
    </w:p>
    <w:p w14:paraId="71064DF4" w14:textId="77777777" w:rsidR="00A570AB" w:rsidRDefault="00A570AB" w:rsidP="00A570AB">
      <w:r>
        <w:t>As the term “peak direction” is not currently defined in 3GPP documents, we provide our definition as:</w:t>
      </w:r>
    </w:p>
    <w:p w14:paraId="19E9850D" w14:textId="41175750" w:rsidR="00A570AB" w:rsidRDefault="00A570AB" w:rsidP="00A570AB">
      <w:r w:rsidRPr="001D79AB">
        <w:rPr>
          <w:b/>
        </w:rPr>
        <w:t>Peak direction</w:t>
      </w:r>
      <w:r>
        <w:t xml:space="preserve">: </w:t>
      </w:r>
      <w:r w:rsidR="005546B2">
        <w:t xml:space="preserve">the direction where a maximum (e.g., an absolute value or ratio) of a physical quantity is located in the three-dimensional space. </w:t>
      </w:r>
    </w:p>
    <w:p w14:paraId="2EA1FD7E" w14:textId="466B7381" w:rsidR="00A570AB" w:rsidRDefault="00A570AB" w:rsidP="00A570AB">
      <w:r w:rsidRPr="00D904BD">
        <w:rPr>
          <w:b/>
        </w:rPr>
        <w:t>OTA compliance coverage</w:t>
      </w:r>
      <w:r>
        <w:t>:</w:t>
      </w:r>
      <w:r w:rsidR="005546B2">
        <w:t xml:space="preserve"> manufacturers declare a common </w:t>
      </w:r>
      <w:r w:rsidR="00AE06B0">
        <w:t>range</w:t>
      </w:r>
      <w:r w:rsidR="005546B2">
        <w:t xml:space="preserve"> of spatial directions </w:t>
      </w:r>
      <w:r w:rsidR="00AE06B0">
        <w:t>within</w:t>
      </w:r>
      <w:r w:rsidR="005546B2">
        <w:t xml:space="preserve"> which all OTA requirements sh</w:t>
      </w:r>
      <w:r w:rsidR="00E553FE">
        <w:t>all</w:t>
      </w:r>
      <w:r w:rsidR="005546B2">
        <w:t xml:space="preserve"> be met during conformance testing except for those requirements that are explicitly specified at the peak direction or as TRP. </w:t>
      </w:r>
    </w:p>
    <w:p w14:paraId="715C97CB" w14:textId="37CB96AC" w:rsidR="00E25F61" w:rsidRDefault="00E25F61" w:rsidP="00E25F61">
      <w:pPr>
        <w:spacing w:after="0"/>
      </w:pPr>
      <w:r>
        <w:t>As for the name of the two terms, the current name for both terms is not ambiguous.  However, the name for the term</w:t>
      </w:r>
      <w:r w:rsidR="00C359C9">
        <w:t>, i.e., OTA compliance coverage,</w:t>
      </w:r>
      <w:r>
        <w:t xml:space="preserve"> can be more informative. </w:t>
      </w:r>
      <w:r w:rsidR="00730C14">
        <w:t>One possible suggestion is</w:t>
      </w:r>
      <w:r>
        <w:t xml:space="preserve"> </w:t>
      </w:r>
      <w:r w:rsidRPr="001D79AB">
        <w:rPr>
          <w:b/>
        </w:rPr>
        <w:t xml:space="preserve">OTA compliance </w:t>
      </w:r>
      <w:r w:rsidR="003A2749">
        <w:rPr>
          <w:b/>
        </w:rPr>
        <w:t xml:space="preserve">global </w:t>
      </w:r>
      <w:r w:rsidRPr="001D79AB">
        <w:rPr>
          <w:b/>
        </w:rPr>
        <w:t>directions set</w:t>
      </w:r>
      <w:r>
        <w:t xml:space="preserve">. </w:t>
      </w:r>
    </w:p>
    <w:p w14:paraId="0D3595A2" w14:textId="77777777" w:rsidR="00E25F61" w:rsidRDefault="00E25F61" w:rsidP="00A570AB"/>
    <w:p w14:paraId="46582194" w14:textId="32C6802D" w:rsidR="00080512" w:rsidRDefault="00CD4C7B" w:rsidP="00D904BD">
      <w:pPr>
        <w:pStyle w:val="Heading1"/>
        <w:rPr>
          <w:lang w:eastAsia="zh-CN"/>
        </w:rPr>
      </w:pPr>
      <w:r w:rsidRPr="006E13D1">
        <w:t>References</w:t>
      </w:r>
    </w:p>
    <w:p w14:paraId="6150CA5B" w14:textId="2BE1FF22" w:rsidR="005022F1" w:rsidRPr="0005277E" w:rsidRDefault="0056553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R4-1610800, Way forward on OTA requirement compliance range, NTT DoCoMo</w:t>
      </w:r>
    </w:p>
    <w:sectPr w:rsidR="005022F1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EA502" w14:textId="77777777" w:rsidR="00AD17D5" w:rsidRDefault="00AD17D5">
      <w:r>
        <w:separator/>
      </w:r>
    </w:p>
  </w:endnote>
  <w:endnote w:type="continuationSeparator" w:id="0">
    <w:p w14:paraId="0DD65734" w14:textId="77777777" w:rsidR="00AD17D5" w:rsidRDefault="00AD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4F9F" w14:textId="77777777" w:rsidR="00AD17D5" w:rsidRDefault="00AD17D5">
      <w:r>
        <w:separator/>
      </w:r>
    </w:p>
  </w:footnote>
  <w:footnote w:type="continuationSeparator" w:id="0">
    <w:p w14:paraId="6049644E" w14:textId="77777777" w:rsidR="00AD17D5" w:rsidRDefault="00AD1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7"/>
  </w:num>
  <w:num w:numId="13">
    <w:abstractNumId w:val="22"/>
  </w:num>
  <w:num w:numId="14">
    <w:abstractNumId w:val="28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5"/>
  </w:num>
  <w:num w:numId="24">
    <w:abstractNumId w:val="26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300D0"/>
    <w:rsid w:val="000305C8"/>
    <w:rsid w:val="0003068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277E"/>
    <w:rsid w:val="000545C7"/>
    <w:rsid w:val="00054AC3"/>
    <w:rsid w:val="00060A8D"/>
    <w:rsid w:val="0006320C"/>
    <w:rsid w:val="000649E7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41C"/>
    <w:rsid w:val="000D58AB"/>
    <w:rsid w:val="000D64D4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236E"/>
    <w:rsid w:val="00135E4A"/>
    <w:rsid w:val="00136A5D"/>
    <w:rsid w:val="00143DD8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54C3"/>
    <w:rsid w:val="0016633B"/>
    <w:rsid w:val="001707E4"/>
    <w:rsid w:val="00171463"/>
    <w:rsid w:val="001715FF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1334"/>
    <w:rsid w:val="00191D5A"/>
    <w:rsid w:val="00194CD0"/>
    <w:rsid w:val="00194E93"/>
    <w:rsid w:val="001A2A06"/>
    <w:rsid w:val="001A450B"/>
    <w:rsid w:val="001B02D3"/>
    <w:rsid w:val="001B1912"/>
    <w:rsid w:val="001B1B2E"/>
    <w:rsid w:val="001B2983"/>
    <w:rsid w:val="001B49C9"/>
    <w:rsid w:val="001B58C1"/>
    <w:rsid w:val="001B7DA9"/>
    <w:rsid w:val="001C3A2E"/>
    <w:rsid w:val="001C4920"/>
    <w:rsid w:val="001C5CCF"/>
    <w:rsid w:val="001C5E32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7D9"/>
    <w:rsid w:val="0026634C"/>
    <w:rsid w:val="00270173"/>
    <w:rsid w:val="002710CA"/>
    <w:rsid w:val="0027171E"/>
    <w:rsid w:val="0027345D"/>
    <w:rsid w:val="00273F5D"/>
    <w:rsid w:val="002747EC"/>
    <w:rsid w:val="00276CB3"/>
    <w:rsid w:val="00277E5B"/>
    <w:rsid w:val="002801D0"/>
    <w:rsid w:val="00280910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442"/>
    <w:rsid w:val="00330940"/>
    <w:rsid w:val="00333470"/>
    <w:rsid w:val="00334CA9"/>
    <w:rsid w:val="003371D2"/>
    <w:rsid w:val="003375FE"/>
    <w:rsid w:val="0034350D"/>
    <w:rsid w:val="00345218"/>
    <w:rsid w:val="00345B21"/>
    <w:rsid w:val="0035116B"/>
    <w:rsid w:val="0035285D"/>
    <w:rsid w:val="00352D97"/>
    <w:rsid w:val="0035462D"/>
    <w:rsid w:val="00354A86"/>
    <w:rsid w:val="0035791B"/>
    <w:rsid w:val="00357A08"/>
    <w:rsid w:val="00363749"/>
    <w:rsid w:val="00367759"/>
    <w:rsid w:val="00370277"/>
    <w:rsid w:val="003726F0"/>
    <w:rsid w:val="00375351"/>
    <w:rsid w:val="003753DF"/>
    <w:rsid w:val="003810FF"/>
    <w:rsid w:val="003822DE"/>
    <w:rsid w:val="00384421"/>
    <w:rsid w:val="003876D8"/>
    <w:rsid w:val="00392600"/>
    <w:rsid w:val="00394576"/>
    <w:rsid w:val="00394707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648B"/>
    <w:rsid w:val="003E70F7"/>
    <w:rsid w:val="003F02B3"/>
    <w:rsid w:val="003F28D0"/>
    <w:rsid w:val="003F30E7"/>
    <w:rsid w:val="00401855"/>
    <w:rsid w:val="00403917"/>
    <w:rsid w:val="0040447E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471"/>
    <w:rsid w:val="00434DB7"/>
    <w:rsid w:val="004354E3"/>
    <w:rsid w:val="00441DE8"/>
    <w:rsid w:val="00442797"/>
    <w:rsid w:val="00444753"/>
    <w:rsid w:val="00445AB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7795A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D0D73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3E6C"/>
    <w:rsid w:val="00545E22"/>
    <w:rsid w:val="00545EAB"/>
    <w:rsid w:val="00546DC4"/>
    <w:rsid w:val="00546DCA"/>
    <w:rsid w:val="00547A4C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7654B"/>
    <w:rsid w:val="00580B11"/>
    <w:rsid w:val="00581941"/>
    <w:rsid w:val="00581AFF"/>
    <w:rsid w:val="00582C72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4AA9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917"/>
    <w:rsid w:val="00633D79"/>
    <w:rsid w:val="006428E0"/>
    <w:rsid w:val="00642BD2"/>
    <w:rsid w:val="0064349F"/>
    <w:rsid w:val="00646D99"/>
    <w:rsid w:val="0064721B"/>
    <w:rsid w:val="006475B9"/>
    <w:rsid w:val="006516F9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7186"/>
    <w:rsid w:val="006A0B35"/>
    <w:rsid w:val="006A28E7"/>
    <w:rsid w:val="006B19D5"/>
    <w:rsid w:val="006B1A23"/>
    <w:rsid w:val="006B1C18"/>
    <w:rsid w:val="006B51AB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24A0"/>
    <w:rsid w:val="006F2761"/>
    <w:rsid w:val="006F3924"/>
    <w:rsid w:val="006F6A2C"/>
    <w:rsid w:val="00700604"/>
    <w:rsid w:val="00702306"/>
    <w:rsid w:val="007054E8"/>
    <w:rsid w:val="007110A7"/>
    <w:rsid w:val="00712B4B"/>
    <w:rsid w:val="00714643"/>
    <w:rsid w:val="00715F84"/>
    <w:rsid w:val="007176DB"/>
    <w:rsid w:val="007201A8"/>
    <w:rsid w:val="007202FD"/>
    <w:rsid w:val="007233DA"/>
    <w:rsid w:val="00726ECF"/>
    <w:rsid w:val="00730C14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727C"/>
    <w:rsid w:val="00794703"/>
    <w:rsid w:val="007A0BE6"/>
    <w:rsid w:val="007A0D95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D4B8E"/>
    <w:rsid w:val="007D6C48"/>
    <w:rsid w:val="007E0D24"/>
    <w:rsid w:val="007E0E7C"/>
    <w:rsid w:val="007E3F64"/>
    <w:rsid w:val="007E5ACF"/>
    <w:rsid w:val="007F3BC4"/>
    <w:rsid w:val="007F5A11"/>
    <w:rsid w:val="008028A4"/>
    <w:rsid w:val="008031D2"/>
    <w:rsid w:val="00803572"/>
    <w:rsid w:val="00805D37"/>
    <w:rsid w:val="008068B6"/>
    <w:rsid w:val="0080787A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0535"/>
    <w:rsid w:val="008D146B"/>
    <w:rsid w:val="008D4234"/>
    <w:rsid w:val="008D46A3"/>
    <w:rsid w:val="008D6DA9"/>
    <w:rsid w:val="008D7B95"/>
    <w:rsid w:val="008D7E62"/>
    <w:rsid w:val="008E1988"/>
    <w:rsid w:val="008E1DEF"/>
    <w:rsid w:val="008E3509"/>
    <w:rsid w:val="008E361B"/>
    <w:rsid w:val="008E4342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0839"/>
    <w:rsid w:val="009E444F"/>
    <w:rsid w:val="009E6120"/>
    <w:rsid w:val="009E71C1"/>
    <w:rsid w:val="009E7A4D"/>
    <w:rsid w:val="009F0F95"/>
    <w:rsid w:val="009F1CA2"/>
    <w:rsid w:val="009F2A03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B2B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82346"/>
    <w:rsid w:val="00A82CA1"/>
    <w:rsid w:val="00A83D72"/>
    <w:rsid w:val="00A8485E"/>
    <w:rsid w:val="00A92A9A"/>
    <w:rsid w:val="00A96290"/>
    <w:rsid w:val="00A9671C"/>
    <w:rsid w:val="00A973D8"/>
    <w:rsid w:val="00AA13E2"/>
    <w:rsid w:val="00AA31D3"/>
    <w:rsid w:val="00AA3483"/>
    <w:rsid w:val="00AA5E39"/>
    <w:rsid w:val="00AB21D9"/>
    <w:rsid w:val="00AB31B6"/>
    <w:rsid w:val="00AB4970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7D5"/>
    <w:rsid w:val="00AD1C92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81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247D"/>
    <w:rsid w:val="00BA66B7"/>
    <w:rsid w:val="00BA6CA4"/>
    <w:rsid w:val="00BB0FC7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359C9"/>
    <w:rsid w:val="00C422BA"/>
    <w:rsid w:val="00C43548"/>
    <w:rsid w:val="00C437CD"/>
    <w:rsid w:val="00C47421"/>
    <w:rsid w:val="00C50588"/>
    <w:rsid w:val="00C505FD"/>
    <w:rsid w:val="00C522DE"/>
    <w:rsid w:val="00C523F4"/>
    <w:rsid w:val="00C57DCA"/>
    <w:rsid w:val="00C608C8"/>
    <w:rsid w:val="00C60C7F"/>
    <w:rsid w:val="00C60F8F"/>
    <w:rsid w:val="00C659DA"/>
    <w:rsid w:val="00C67C94"/>
    <w:rsid w:val="00C70261"/>
    <w:rsid w:val="00C720DE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FB2"/>
    <w:rsid w:val="00CB5563"/>
    <w:rsid w:val="00CB69BA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510"/>
    <w:rsid w:val="00CE0A31"/>
    <w:rsid w:val="00CE1A97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550D"/>
    <w:rsid w:val="00DD650B"/>
    <w:rsid w:val="00DD6FA8"/>
    <w:rsid w:val="00DE0672"/>
    <w:rsid w:val="00DE7607"/>
    <w:rsid w:val="00DF2A8F"/>
    <w:rsid w:val="00DF3953"/>
    <w:rsid w:val="00DF416E"/>
    <w:rsid w:val="00DF59E1"/>
    <w:rsid w:val="00DF6A0F"/>
    <w:rsid w:val="00DF739E"/>
    <w:rsid w:val="00DF7931"/>
    <w:rsid w:val="00E001D3"/>
    <w:rsid w:val="00E023FD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23B2"/>
    <w:rsid w:val="00E245FD"/>
    <w:rsid w:val="00E24856"/>
    <w:rsid w:val="00E25F61"/>
    <w:rsid w:val="00E275A4"/>
    <w:rsid w:val="00E33458"/>
    <w:rsid w:val="00E341EC"/>
    <w:rsid w:val="00E4045F"/>
    <w:rsid w:val="00E453DE"/>
    <w:rsid w:val="00E454C7"/>
    <w:rsid w:val="00E45722"/>
    <w:rsid w:val="00E45832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7834"/>
    <w:rsid w:val="00E67F5F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A05AE"/>
    <w:rsid w:val="00EA07EA"/>
    <w:rsid w:val="00EA399D"/>
    <w:rsid w:val="00EA4600"/>
    <w:rsid w:val="00EA46D9"/>
    <w:rsid w:val="00EA50F9"/>
    <w:rsid w:val="00EB2691"/>
    <w:rsid w:val="00EB2948"/>
    <w:rsid w:val="00EB70F9"/>
    <w:rsid w:val="00EC4A25"/>
    <w:rsid w:val="00ED3A6A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F1848"/>
    <w:rsid w:val="00EF2D5F"/>
    <w:rsid w:val="00EF42B4"/>
    <w:rsid w:val="00EF53BF"/>
    <w:rsid w:val="00EF6B50"/>
    <w:rsid w:val="00EF7393"/>
    <w:rsid w:val="00EF7DC8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9F2"/>
    <w:rsid w:val="00FD5DB4"/>
    <w:rsid w:val="00FE3361"/>
    <w:rsid w:val="00FE4131"/>
    <w:rsid w:val="00FE59EF"/>
    <w:rsid w:val="00FF08F3"/>
    <w:rsid w:val="00FF0952"/>
    <w:rsid w:val="00FF0957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50174-07C9-43DB-B53B-C40F65D7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1891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4265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346</cp:revision>
  <dcterms:created xsi:type="dcterms:W3CDTF">2016-12-14T10:39:00Z</dcterms:created>
  <dcterms:modified xsi:type="dcterms:W3CDTF">2017-02-03T18:34:00Z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