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185" w:rsidRDefault="00FB6769" w:rsidP="00FB6769">
      <w:pPr>
        <w:tabs>
          <w:tab w:val="right" w:pos="10632"/>
        </w:tabs>
        <w:spacing w:after="0"/>
        <w:rPr>
          <w:rFonts w:ascii="Arial" w:eastAsia="MS Mincho" w:hAnsi="Arial" w:cs="Arial"/>
          <w:b/>
          <w:sz w:val="24"/>
          <w:szCs w:val="24"/>
          <w:lang w:eastAsia="zh-CN"/>
        </w:rPr>
      </w:pPr>
      <w:bookmarkStart w:id="0" w:name="_Toc120549591"/>
      <w:r>
        <w:rPr>
          <w:rFonts w:ascii="Arial" w:hAnsi="Arial" w:cs="Arial"/>
          <w:b/>
          <w:sz w:val="24"/>
          <w:szCs w:val="24"/>
        </w:rPr>
        <w:t>3GPP</w:t>
      </w:r>
      <w:r>
        <w:rPr>
          <w:rFonts w:ascii="Arial" w:hAnsi="Arial" w:cs="Arial" w:hint="eastAsia"/>
          <w:b/>
          <w:sz w:val="24"/>
          <w:szCs w:val="24"/>
          <w:lang w:eastAsia="zh-CN"/>
        </w:rPr>
        <w:t xml:space="preserve"> </w:t>
      </w:r>
      <w:r w:rsidR="002A2185">
        <w:rPr>
          <w:rFonts w:ascii="Arial" w:hAnsi="Arial" w:cs="Arial"/>
          <w:b/>
          <w:sz w:val="24"/>
          <w:szCs w:val="24"/>
        </w:rPr>
        <w:t>TSG-RAN WG4 Meeting #</w:t>
      </w:r>
      <w:r w:rsidR="002A2185">
        <w:rPr>
          <w:rFonts w:ascii="Arial" w:eastAsia="MS Mincho" w:hAnsi="Arial" w:cs="Arial"/>
          <w:b/>
          <w:sz w:val="24"/>
          <w:szCs w:val="24"/>
        </w:rPr>
        <w:t>8</w:t>
      </w:r>
      <w:r w:rsidR="002A2185">
        <w:rPr>
          <w:rFonts w:ascii="Arial" w:hAnsi="Arial" w:cs="Arial"/>
          <w:b/>
          <w:sz w:val="24"/>
          <w:szCs w:val="24"/>
          <w:lang w:eastAsia="zh-CN"/>
        </w:rPr>
        <w:t>1</w:t>
      </w:r>
      <w:r w:rsidR="002A2185">
        <w:rPr>
          <w:rFonts w:ascii="Arial" w:hAnsi="Arial" w:cs="Arial" w:hint="eastAsia"/>
          <w:sz w:val="24"/>
          <w:szCs w:val="24"/>
          <w:lang w:val="de-DE" w:eastAsia="zh-CN"/>
        </w:rPr>
        <w:t xml:space="preserve">             </w:t>
      </w:r>
      <w:r>
        <w:rPr>
          <w:rFonts w:ascii="Arial" w:hAnsi="Arial" w:cs="Arial" w:hint="eastAsia"/>
          <w:sz w:val="24"/>
          <w:szCs w:val="24"/>
          <w:lang w:val="de-DE" w:eastAsia="zh-CN"/>
        </w:rPr>
        <w:t xml:space="preserve">                              </w:t>
      </w:r>
      <w:bookmarkStart w:id="1" w:name="_GoBack"/>
      <w:bookmarkEnd w:id="1"/>
      <w:r w:rsidR="002A2185">
        <w:rPr>
          <w:rFonts w:ascii="Arial" w:hAnsi="Arial" w:cs="Arial"/>
          <w:b/>
          <w:sz w:val="24"/>
          <w:szCs w:val="24"/>
        </w:rPr>
        <w:t>R4-16</w:t>
      </w:r>
      <w:r w:rsidR="002A2185">
        <w:rPr>
          <w:rFonts w:ascii="Arial" w:hAnsi="Arial" w:cs="Arial"/>
          <w:b/>
          <w:sz w:val="24"/>
          <w:szCs w:val="24"/>
          <w:lang w:eastAsia="zh-CN"/>
        </w:rPr>
        <w:t>09347</w:t>
      </w:r>
    </w:p>
    <w:p w:rsidR="002A2185" w:rsidRPr="002A2185" w:rsidRDefault="002A2185" w:rsidP="002A2185">
      <w:pPr>
        <w:spacing w:after="120"/>
        <w:ind w:leftChars="-1" w:left="-2" w:rightChars="21" w:right="42"/>
        <w:rPr>
          <w:rFonts w:ascii="Arial" w:eastAsiaTheme="minorEastAsia" w:hAnsi="Arial" w:cs="Arial"/>
          <w:b/>
          <w:noProof/>
          <w:sz w:val="24"/>
          <w:lang w:eastAsia="zh-CN"/>
        </w:rPr>
      </w:pPr>
      <w:r>
        <w:rPr>
          <w:rFonts w:ascii="Arial" w:hAnsi="Arial" w:cs="Arial"/>
          <w:b/>
          <w:noProof/>
          <w:sz w:val="24"/>
          <w:lang w:eastAsia="zh-CN"/>
        </w:rPr>
        <w:t>Reno</w:t>
      </w:r>
      <w:r>
        <w:rPr>
          <w:rFonts w:ascii="Arial" w:eastAsia="MS Mincho" w:hAnsi="Arial" w:cs="Arial"/>
          <w:b/>
          <w:noProof/>
          <w:sz w:val="24"/>
        </w:rPr>
        <w:t xml:space="preserve">, </w:t>
      </w:r>
      <w:r>
        <w:rPr>
          <w:rFonts w:ascii="Arial" w:hAnsi="Arial" w:cs="Arial"/>
          <w:b/>
          <w:noProof/>
          <w:sz w:val="24"/>
          <w:lang w:eastAsia="zh-CN"/>
        </w:rPr>
        <w:t>Nevada</w:t>
      </w:r>
      <w:r>
        <w:rPr>
          <w:rFonts w:ascii="Arial" w:eastAsia="MS Mincho" w:hAnsi="Arial" w:cs="Arial"/>
          <w:b/>
          <w:noProof/>
          <w:sz w:val="24"/>
        </w:rPr>
        <w:t>, 1</w:t>
      </w:r>
      <w:r>
        <w:rPr>
          <w:rFonts w:ascii="Arial" w:hAnsi="Arial" w:cs="Arial"/>
          <w:b/>
          <w:noProof/>
          <w:sz w:val="24"/>
          <w:lang w:eastAsia="zh-CN"/>
        </w:rPr>
        <w:t>4</w:t>
      </w:r>
      <w:r>
        <w:rPr>
          <w:rFonts w:ascii="Arial" w:eastAsia="MS Mincho" w:hAnsi="Arial" w:cs="Arial"/>
          <w:b/>
          <w:noProof/>
          <w:sz w:val="24"/>
        </w:rPr>
        <w:t xml:space="preserve"> – 1</w:t>
      </w:r>
      <w:r>
        <w:rPr>
          <w:rFonts w:ascii="Arial" w:hAnsi="Arial" w:cs="Arial"/>
          <w:b/>
          <w:noProof/>
          <w:sz w:val="24"/>
          <w:lang w:eastAsia="zh-CN"/>
        </w:rPr>
        <w:t>8</w:t>
      </w:r>
      <w:r>
        <w:rPr>
          <w:rFonts w:ascii="Arial" w:eastAsia="MS Mincho" w:hAnsi="Arial" w:cs="Arial"/>
          <w:b/>
          <w:noProof/>
          <w:sz w:val="24"/>
        </w:rPr>
        <w:t xml:space="preserve"> </w:t>
      </w:r>
      <w:r>
        <w:rPr>
          <w:rFonts w:ascii="Arial" w:hAnsi="Arial" w:cs="Arial"/>
          <w:b/>
          <w:noProof/>
          <w:sz w:val="24"/>
          <w:lang w:eastAsia="zh-CN"/>
        </w:rPr>
        <w:t>November</w:t>
      </w:r>
      <w:r>
        <w:rPr>
          <w:rFonts w:ascii="Arial" w:eastAsia="MS Mincho" w:hAnsi="Arial" w:cs="Arial"/>
          <w:b/>
          <w:noProof/>
          <w:sz w:val="24"/>
        </w:rPr>
        <w:t>, 2016</w:t>
      </w:r>
    </w:p>
    <w:p w:rsidR="002A2185" w:rsidRDefault="002A2185" w:rsidP="002A2185">
      <w:pPr>
        <w:tabs>
          <w:tab w:val="left" w:pos="1985"/>
        </w:tabs>
        <w:jc w:val="both"/>
        <w:rPr>
          <w:rFonts w:ascii="Arial" w:eastAsia="MS Mincho" w:hAnsi="Arial"/>
          <w:sz w:val="24"/>
          <w:lang w:val="en-US" w:eastAsia="zh-CN"/>
        </w:rPr>
      </w:pPr>
      <w:r>
        <w:rPr>
          <w:rFonts w:ascii="Arial" w:hAnsi="Arial"/>
          <w:b/>
          <w:sz w:val="24"/>
          <w:lang w:val="en-US"/>
        </w:rPr>
        <w:t>Agenda item:</w:t>
      </w:r>
      <w:r>
        <w:rPr>
          <w:rFonts w:ascii="Arial" w:hAnsi="Arial"/>
          <w:sz w:val="24"/>
          <w:lang w:val="en-US"/>
        </w:rPr>
        <w:tab/>
      </w:r>
      <w:bookmarkStart w:id="2" w:name="Source"/>
      <w:bookmarkEnd w:id="2"/>
      <w:r>
        <w:rPr>
          <w:rFonts w:ascii="Arial" w:eastAsia="MS Mincho" w:hAnsi="Arial"/>
          <w:sz w:val="24"/>
          <w:lang w:val="en-US"/>
        </w:rPr>
        <w:tab/>
        <w:t>8.</w:t>
      </w:r>
      <w:r>
        <w:rPr>
          <w:rFonts w:ascii="Arial" w:hAnsi="Arial"/>
          <w:sz w:val="24"/>
          <w:lang w:val="en-US" w:eastAsia="zh-CN"/>
        </w:rPr>
        <w:t>16</w:t>
      </w:r>
      <w:r>
        <w:rPr>
          <w:rFonts w:ascii="Arial" w:eastAsia="MS Mincho" w:hAnsi="Arial"/>
          <w:sz w:val="24"/>
          <w:lang w:val="en-US"/>
        </w:rPr>
        <w:t>.2</w:t>
      </w:r>
    </w:p>
    <w:p w:rsidR="002A2185" w:rsidRDefault="002A2185" w:rsidP="002A2185">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eastAsia="zh-CN"/>
        </w:rPr>
        <w:t>Samsung</w:t>
      </w:r>
    </w:p>
    <w:p w:rsidR="002A2185" w:rsidRDefault="002A2185" w:rsidP="002A2185">
      <w:pPr>
        <w:jc w:val="both"/>
        <w:rPr>
          <w:rFonts w:ascii="Arial" w:eastAsia="MS Mincho"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2"/>
          <w:lang w:val="en-US" w:eastAsia="zh-CN"/>
        </w:rPr>
        <w:t>Consideration for HPUE in B28 for European DTV protection</w:t>
      </w:r>
    </w:p>
    <w:p w:rsidR="002A2185" w:rsidRDefault="002A2185" w:rsidP="002A2185">
      <w:pPr>
        <w:tabs>
          <w:tab w:val="left" w:pos="1985"/>
        </w:tabs>
        <w:ind w:right="-441"/>
        <w:jc w:val="both"/>
        <w:rPr>
          <w:rFonts w:ascii="Arial" w:hAnsi="Arial"/>
          <w:sz w:val="24"/>
          <w:lang w:eastAsia="zh-CN"/>
        </w:rPr>
      </w:pPr>
      <w:r>
        <w:rPr>
          <w:rFonts w:ascii="Arial" w:hAnsi="Arial"/>
          <w:b/>
          <w:sz w:val="24"/>
          <w:lang w:val="de-DE"/>
        </w:rPr>
        <w:t>Documen</w:t>
      </w:r>
      <w:r>
        <w:rPr>
          <w:rFonts w:ascii="Arial" w:hAnsi="Arial"/>
          <w:b/>
          <w:sz w:val="24"/>
        </w:rPr>
        <w:t>t for:</w:t>
      </w:r>
      <w:r>
        <w:rPr>
          <w:rFonts w:ascii="Arial" w:hAnsi="Arial"/>
          <w:sz w:val="24"/>
        </w:rPr>
        <w:tab/>
      </w:r>
      <w:bookmarkStart w:id="3" w:name="DocumentFor"/>
      <w:bookmarkEnd w:id="3"/>
      <w:r>
        <w:rPr>
          <w:rFonts w:ascii="Arial" w:hAnsi="Arial"/>
          <w:sz w:val="24"/>
          <w:lang w:eastAsia="zh-CN"/>
        </w:rPr>
        <w:t>Discussion</w:t>
      </w:r>
    </w:p>
    <w:p w:rsidR="002A2185" w:rsidRDefault="002A2185" w:rsidP="002A2185">
      <w:pPr>
        <w:pStyle w:val="1"/>
        <w:ind w:left="0" w:firstLine="0"/>
        <w:jc w:val="both"/>
      </w:pPr>
      <w:r>
        <w:t>1. Introduction</w:t>
      </w:r>
    </w:p>
    <w:p w:rsidR="002A2185" w:rsidRDefault="002A2185" w:rsidP="002A2185">
      <w:pPr>
        <w:spacing w:after="240"/>
        <w:jc w:val="both"/>
        <w:rPr>
          <w:lang w:eastAsia="zh-CN"/>
        </w:rPr>
      </w:pPr>
      <w:r>
        <w:rPr>
          <w:lang w:eastAsia="zh-CN"/>
        </w:rPr>
        <w:t xml:space="preserve">HPUE issues in B3/20/28 was firstly discussed last meeting, and a concern was indicated on the B28 European DTV </w:t>
      </w:r>
      <w:proofErr w:type="gramStart"/>
      <w:r>
        <w:rPr>
          <w:lang w:eastAsia="zh-CN"/>
        </w:rPr>
        <w:t>protection[</w:t>
      </w:r>
      <w:proofErr w:type="gramEnd"/>
      <w:r>
        <w:rPr>
          <w:lang w:eastAsia="zh-CN"/>
        </w:rPr>
        <w:t xml:space="preserve">1]. This concern is focus on how to introduce the requirements if need A-MPR in terms of HPUE in B28, reusing the exiting NS value. European DTV protection for B28 was proposed in 2014 requested from CEPT CPG PTD, and at that time Band 28 was a legacy band which was completed in 2012 for Rel-11. The discussion on how to introduce the European DTV requirement should take into account the fact that PS UE is expected not to be used in roaming scenarios. In this contribution, we would like to revisit the history of this issue and share our view on it. </w:t>
      </w:r>
    </w:p>
    <w:bookmarkEnd w:id="0"/>
    <w:p w:rsidR="002A2185" w:rsidRDefault="002A2185" w:rsidP="002A2185">
      <w:pPr>
        <w:pStyle w:val="1"/>
        <w:ind w:left="0" w:firstLine="0"/>
        <w:jc w:val="both"/>
        <w:rPr>
          <w:rFonts w:eastAsia="MS Mincho"/>
        </w:rPr>
      </w:pPr>
      <w:r>
        <w:rPr>
          <w:rFonts w:eastAsia="MS Mincho"/>
        </w:rPr>
        <w:t>2. Discussion</w:t>
      </w:r>
    </w:p>
    <w:p w:rsidR="002A2185" w:rsidRDefault="002A2185" w:rsidP="002A2185">
      <w:pPr>
        <w:spacing w:after="240"/>
        <w:jc w:val="both"/>
        <w:rPr>
          <w:b/>
          <w:u w:val="single"/>
          <w:lang w:eastAsia="zh-CN"/>
        </w:rPr>
      </w:pPr>
      <w:r>
        <w:rPr>
          <w:b/>
          <w:u w:val="single"/>
          <w:lang w:eastAsia="zh-CN"/>
        </w:rPr>
        <w:t>Brief overview for introducing European DTV emission for B28 with PC3</w:t>
      </w:r>
    </w:p>
    <w:p w:rsidR="002A2185" w:rsidRDefault="002A2185" w:rsidP="002A2185">
      <w:pPr>
        <w:spacing w:after="240"/>
        <w:jc w:val="both"/>
        <w:rPr>
          <w:lang w:eastAsia="zh-CN"/>
        </w:rPr>
      </w:pPr>
      <w:r>
        <w:rPr>
          <w:lang w:eastAsia="zh-CN"/>
        </w:rPr>
        <w:t xml:space="preserve">In RAN4#72, RAN4 received a LS from CEPT CPG PTD informing about their conclusions of 700MHz studies as </w:t>
      </w:r>
      <w:proofErr w:type="gramStart"/>
      <w:r>
        <w:rPr>
          <w:lang w:eastAsia="zh-CN"/>
        </w:rPr>
        <w:t>following</w:t>
      </w:r>
      <w:r>
        <w:rPr>
          <w:vertAlign w:val="superscript"/>
          <w:lang w:eastAsia="zh-CN"/>
        </w:rPr>
        <w:t>[</w:t>
      </w:r>
      <w:proofErr w:type="gramEnd"/>
      <w:r>
        <w:rPr>
          <w:vertAlign w:val="superscript"/>
          <w:lang w:eastAsia="zh-CN"/>
        </w:rPr>
        <w:t>1]</w:t>
      </w:r>
      <w:r>
        <w:rPr>
          <w:lang w:eastAsia="zh-CN"/>
        </w:rPr>
        <w:t>.</w:t>
      </w:r>
    </w:p>
    <w:p w:rsidR="002A2185" w:rsidRDefault="002A2185" w:rsidP="002A2185">
      <w:pPr>
        <w:numPr>
          <w:ilvl w:val="0"/>
          <w:numId w:val="1"/>
        </w:numPr>
        <w:spacing w:after="240"/>
        <w:ind w:left="0" w:firstLine="0"/>
        <w:jc w:val="both"/>
        <w:rPr>
          <w:lang w:eastAsia="zh-CN"/>
        </w:rPr>
      </w:pPr>
      <w:r>
        <w:rPr>
          <w:lang w:eastAsia="zh-CN"/>
        </w:rPr>
        <w:t>The preferred channelling arrangement for CEPT contains 2x30 MHz block aligned with 3GPP band 28: (uplink 703-733 MHz and downlink 758-788 MHz)</w:t>
      </w:r>
    </w:p>
    <w:p w:rsidR="002A2185" w:rsidRDefault="002A2185" w:rsidP="002A2185">
      <w:pPr>
        <w:numPr>
          <w:ilvl w:val="0"/>
          <w:numId w:val="1"/>
        </w:numPr>
        <w:spacing w:after="240"/>
        <w:ind w:left="0" w:firstLine="0"/>
        <w:jc w:val="both"/>
        <w:rPr>
          <w:lang w:eastAsia="zh-CN"/>
        </w:rPr>
      </w:pPr>
      <w:r>
        <w:rPr>
          <w:lang w:eastAsia="zh-CN"/>
        </w:rPr>
        <w:t>The mobile terminal out of band emission limit into the 470-694 MHz band is −42dBm</w:t>
      </w:r>
      <w:proofErr w:type="gramStart"/>
      <w:r>
        <w:rPr>
          <w:lang w:eastAsia="zh-CN"/>
        </w:rPr>
        <w:t>/(</w:t>
      </w:r>
      <w:proofErr w:type="gramEnd"/>
      <w:r>
        <w:rPr>
          <w:lang w:eastAsia="zh-CN"/>
        </w:rPr>
        <w:t>8 MHz) for 10 MHz LTE bandwidth.</w:t>
      </w:r>
    </w:p>
    <w:p w:rsidR="002A2185" w:rsidRDefault="002A2185" w:rsidP="002A2185">
      <w:pPr>
        <w:spacing w:after="240"/>
        <w:jc w:val="both"/>
        <w:rPr>
          <w:lang w:eastAsia="zh-CN"/>
        </w:rPr>
      </w:pPr>
      <w:r>
        <w:rPr>
          <w:lang w:eastAsia="zh-CN"/>
        </w:rPr>
        <w:t>The objection is to provide harmonization of 700MHz in Europe with lower B28 on a global scale. However at that moment, B28 was legacy band which was completed two years ago, June 2012, for Rel-11. There is a general established principle in 3GPP that specifications defined, especially in a closed release, should not be adjusted unless it is for the purpose of an essential correction to an error discovered in the specification. In order to protect exiting or in-progress designs as well as to preserve the stability of the specification, new NS value (NS_24) was proposed and agreed firstly in RAN4#71 to introduce the European DTV requirements from Rel-12</w:t>
      </w:r>
      <w:r>
        <w:rPr>
          <w:vertAlign w:val="superscript"/>
          <w:lang w:eastAsia="zh-CN"/>
        </w:rPr>
        <w:t>[2]</w:t>
      </w:r>
      <w:r>
        <w:rPr>
          <w:lang w:eastAsia="zh-CN"/>
        </w:rPr>
        <w:t xml:space="preserve"> with AMPR of 0dB relying on current filter attenuation, and no agreement on how to introduce it into Rel-11. The reason is that if also introduce into Rel-11 with NS_24 as well as Rel-12, then impact the in-developing devices for B28. Therefore, solution was proposed that remove NS_24 from Rel-12 and just reflect -42dBm/8MHz into “6.6.3.2 </w:t>
      </w:r>
      <w:proofErr w:type="gramStart"/>
      <w:r>
        <w:rPr>
          <w:lang w:eastAsia="zh-CN"/>
        </w:rPr>
        <w:t>Spurious</w:t>
      </w:r>
      <w:proofErr w:type="gramEnd"/>
      <w:r>
        <w:rPr>
          <w:lang w:eastAsia="zh-CN"/>
        </w:rPr>
        <w:t xml:space="preserve"> emission band UE co-existence” in TS 36.101 from Rel-11</w:t>
      </w:r>
      <w:r>
        <w:rPr>
          <w:vertAlign w:val="superscript"/>
          <w:lang w:eastAsia="zh-CN"/>
        </w:rPr>
        <w:t>[3]</w:t>
      </w:r>
      <w:r>
        <w:rPr>
          <w:lang w:eastAsia="zh-CN"/>
        </w:rPr>
        <w:t>. This solution is the simplest solution which minimizes the impact to legacy devices which is already underway for B28, since common agreement in RAN4 that B28 PA and filters technology with PC3 at that time already could meet the requirements without any trade-</w:t>
      </w:r>
      <w:proofErr w:type="gramStart"/>
      <w:r>
        <w:rPr>
          <w:lang w:eastAsia="zh-CN"/>
        </w:rPr>
        <w:t>off</w:t>
      </w:r>
      <w:r>
        <w:rPr>
          <w:vertAlign w:val="superscript"/>
          <w:lang w:eastAsia="zh-CN"/>
        </w:rPr>
        <w:t>[</w:t>
      </w:r>
      <w:proofErr w:type="gramEnd"/>
      <w:r>
        <w:rPr>
          <w:vertAlign w:val="superscript"/>
          <w:lang w:eastAsia="zh-CN"/>
        </w:rPr>
        <w:t>3,4]</w:t>
      </w:r>
      <w:r>
        <w:rPr>
          <w:lang w:eastAsia="zh-CN"/>
        </w:rPr>
        <w:t xml:space="preserve">. Finally the latter solution was captured into TS36.101 without NS values. </w:t>
      </w:r>
    </w:p>
    <w:p w:rsidR="002A2185" w:rsidRDefault="002A2185" w:rsidP="002A2185">
      <w:pPr>
        <w:spacing w:after="240"/>
        <w:jc w:val="both"/>
        <w:rPr>
          <w:b/>
          <w:u w:val="single"/>
          <w:lang w:eastAsia="zh-CN"/>
        </w:rPr>
      </w:pPr>
      <w:r>
        <w:rPr>
          <w:b/>
          <w:u w:val="single"/>
          <w:lang w:eastAsia="zh-CN"/>
        </w:rPr>
        <w:t>Potential issue for European DTV protection due to PC1 UE in B28</w:t>
      </w:r>
    </w:p>
    <w:p w:rsidR="002A2185" w:rsidRDefault="002A2185" w:rsidP="002A2185">
      <w:pPr>
        <w:spacing w:after="240"/>
        <w:jc w:val="both"/>
        <w:rPr>
          <w:lang w:eastAsia="zh-CN"/>
        </w:rPr>
      </w:pPr>
      <w:r>
        <w:rPr>
          <w:lang w:eastAsia="zh-CN"/>
        </w:rPr>
        <w:lastRenderedPageBreak/>
        <w:t>Request from Australia in terms of Telstra’ LTE Advanced Network for Emergency service will proved broadband services to PS agencies in B28, and need to introduce RF requirements for PC1 UE in B28 in TS36.101. Different from PC1 UE WI in B14, B28 is global band. And Europe also exits PS service so the co-existence between PC1 UE in B28 with European DTV requirements should be also taken into account. And A-MPR</w:t>
      </w:r>
      <w:r>
        <w:rPr>
          <w:rFonts w:ascii="宋体" w:hAnsi="宋体" w:hint="eastAsia"/>
          <w:lang w:eastAsia="zh-CN"/>
        </w:rPr>
        <w:t>≠</w:t>
      </w:r>
      <w:r>
        <w:rPr>
          <w:lang w:eastAsia="zh-CN"/>
        </w:rPr>
        <w:t>0dB may be needed due to new PA and filter used for PC1 UE with 8dB more transmitting power compared to PC3 UE. If A-MPR=0dB, then remain the European DTV requirements in spurious emission table for co-existence as well as existing specification. If A-MPR</w:t>
      </w:r>
      <w:r>
        <w:rPr>
          <w:rFonts w:ascii="宋体" w:hAnsi="宋体" w:hint="eastAsia"/>
          <w:lang w:eastAsia="zh-CN"/>
        </w:rPr>
        <w:t>≠</w:t>
      </w:r>
      <w:r>
        <w:rPr>
          <w:lang w:eastAsia="zh-CN"/>
        </w:rPr>
        <w:t xml:space="preserve">0dB, then how to capture these requirements if needed is need further study. </w:t>
      </w:r>
    </w:p>
    <w:p w:rsidR="002A2185" w:rsidRDefault="002A2185" w:rsidP="002A2185">
      <w:pPr>
        <w:numPr>
          <w:ilvl w:val="0"/>
          <w:numId w:val="2"/>
        </w:numPr>
        <w:spacing w:after="240"/>
        <w:ind w:left="0" w:firstLine="0"/>
        <w:jc w:val="both"/>
        <w:rPr>
          <w:u w:val="single"/>
          <w:lang w:eastAsia="zh-CN"/>
        </w:rPr>
      </w:pPr>
      <w:r>
        <w:rPr>
          <w:u w:val="single"/>
          <w:lang w:eastAsia="zh-CN"/>
        </w:rPr>
        <w:t>Propose new NS value for European DTV protection</w:t>
      </w:r>
    </w:p>
    <w:p w:rsidR="002A2185" w:rsidRDefault="002A2185" w:rsidP="002A2185">
      <w:pPr>
        <w:spacing w:after="240"/>
        <w:jc w:val="both"/>
        <w:rPr>
          <w:lang w:eastAsia="zh-CN"/>
        </w:rPr>
      </w:pPr>
      <w:r>
        <w:rPr>
          <w:lang w:eastAsia="zh-CN"/>
        </w:rPr>
        <w:t xml:space="preserve">Operators concern that PC1 UEs may enter the commercial NW and experience </w:t>
      </w:r>
      <w:proofErr w:type="spellStart"/>
      <w:r>
        <w:rPr>
          <w:lang w:eastAsia="zh-CN"/>
        </w:rPr>
        <w:t>fallback</w:t>
      </w:r>
      <w:proofErr w:type="spellEnd"/>
      <w:r>
        <w:rPr>
          <w:lang w:eastAsia="zh-CN"/>
        </w:rPr>
        <w:t xml:space="preserve"> mode to apply the requirements of PC3 supported by commercial NW. However, PC1 UEs are only applied for PS service, and are expected not to use in roaming scenarios as mentioned in </w:t>
      </w:r>
      <w:proofErr w:type="gramStart"/>
      <w:r>
        <w:rPr>
          <w:lang w:eastAsia="zh-CN"/>
        </w:rPr>
        <w:t>WID</w:t>
      </w:r>
      <w:r>
        <w:rPr>
          <w:vertAlign w:val="superscript"/>
          <w:lang w:eastAsia="zh-CN"/>
        </w:rPr>
        <w:t>[</w:t>
      </w:r>
      <w:proofErr w:type="gramEnd"/>
      <w:r>
        <w:rPr>
          <w:vertAlign w:val="superscript"/>
          <w:lang w:eastAsia="zh-CN"/>
        </w:rPr>
        <w:t>5]</w:t>
      </w:r>
      <w:r>
        <w:rPr>
          <w:lang w:eastAsia="zh-CN"/>
        </w:rPr>
        <w:t xml:space="preserve">. Hence, if A-MPR is needed in order to maintain the European DTV protection for HPUE in B28, and a new NS value could be used to introduce this A-MPR for HPUE. The Europe PS NW broadcast the multiple NS values and PC1 UE understand new NS value for B28 and follow the A-MPR with new NS value, whereas the commercial NW broadcast may also broadcast the multiple NS values, PC1 UE will be barred to enter commercial NW and legacy PC3 only understand the original NS values for B28 and follow the corresponding requirements. </w:t>
      </w:r>
    </w:p>
    <w:p w:rsidR="002A2185" w:rsidRDefault="002A2185" w:rsidP="002A2185">
      <w:pPr>
        <w:spacing w:after="240"/>
        <w:jc w:val="center"/>
        <w:rPr>
          <w:rFonts w:ascii="Arial" w:hAnsi="Arial" w:cs="Arial"/>
          <w:b/>
          <w:sz w:val="18"/>
          <w:szCs w:val="18"/>
          <w:lang w:eastAsia="zh-CN"/>
        </w:rPr>
      </w:pPr>
      <w:r>
        <w:rPr>
          <w:rFonts w:ascii="Arial" w:hAnsi="Arial" w:cs="Arial"/>
          <w:b/>
          <w:sz w:val="18"/>
          <w:szCs w:val="18"/>
          <w:lang w:eastAsia="zh-CN"/>
        </w:rPr>
        <w:t>Table 1 European DTV protection with new NS value</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A2185" w:rsidTr="002A2185">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rsidR="002A2185" w:rsidRDefault="002A2185" w:rsidP="002A2185">
            <w:pPr>
              <w:pStyle w:val="TAH"/>
              <w:rPr>
                <w:szCs w:val="18"/>
              </w:rPr>
            </w:pPr>
            <w:r>
              <w:rPr>
                <w:szCs w:val="18"/>
              </w:rPr>
              <w:t>Frequency band</w:t>
            </w:r>
          </w:p>
          <w:p w:rsidR="002A2185" w:rsidRDefault="002A2185" w:rsidP="002A2185">
            <w:pPr>
              <w:pStyle w:val="TAH"/>
              <w:rPr>
                <w:szCs w:val="18"/>
              </w:rPr>
            </w:pPr>
            <w:r>
              <w:rPr>
                <w:szCs w:val="18"/>
              </w:rPr>
              <w:t>(MHz)</w:t>
            </w:r>
          </w:p>
        </w:tc>
        <w:tc>
          <w:tcPr>
            <w:tcW w:w="2967"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H"/>
              <w:rPr>
                <w:szCs w:val="18"/>
              </w:rPr>
            </w:pPr>
            <w:r>
              <w:rPr>
                <w:szCs w:val="18"/>
              </w:rPr>
              <w:t>Channel bandwidth / Spectrum emission limit (</w:t>
            </w:r>
            <w:proofErr w:type="spellStart"/>
            <w:r>
              <w:rPr>
                <w:szCs w:val="18"/>
              </w:rPr>
              <w:t>dBm</w:t>
            </w:r>
            <w:proofErr w:type="spellEnd"/>
            <w:r>
              <w:rPr>
                <w:szCs w:val="18"/>
              </w:rPr>
              <w:t>)</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A2185" w:rsidRDefault="002A2185" w:rsidP="002A2185">
            <w:pPr>
              <w:pStyle w:val="TAH"/>
              <w:rPr>
                <w:szCs w:val="18"/>
              </w:rPr>
            </w:pPr>
            <w:r>
              <w:rPr>
                <w:szCs w:val="18"/>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rsidR="002A2185" w:rsidRDefault="002A2185" w:rsidP="002A2185">
            <w:pPr>
              <w:pStyle w:val="TAH"/>
              <w:rPr>
                <w:szCs w:val="18"/>
              </w:rPr>
            </w:pPr>
            <w:r>
              <w:rPr>
                <w:szCs w:val="18"/>
              </w:rPr>
              <w:t>NOTE</w:t>
            </w:r>
          </w:p>
        </w:tc>
      </w:tr>
      <w:tr w:rsidR="002A2185" w:rsidTr="002A2185">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2185" w:rsidRDefault="002A2185" w:rsidP="002A2185">
            <w:pPr>
              <w:overflowPunct/>
              <w:autoSpaceDE/>
              <w:autoSpaceDN/>
              <w:adjustRightInd/>
              <w:spacing w:after="0"/>
              <w:rPr>
                <w:rFonts w:ascii="Arial" w:hAnsi="Arial" w:cs="Arial"/>
                <w:b/>
                <w:sz w:val="18"/>
                <w:szCs w:val="18"/>
                <w:lang w:eastAsia="x-none"/>
              </w:rPr>
            </w:pPr>
          </w:p>
        </w:tc>
        <w:tc>
          <w:tcPr>
            <w:tcW w:w="2967"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H"/>
              <w:rPr>
                <w:szCs w:val="18"/>
              </w:rPr>
            </w:pPr>
            <w:r>
              <w:rPr>
                <w:szCs w:val="18"/>
              </w:rPr>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185" w:rsidRDefault="002A2185" w:rsidP="002A2185">
            <w:pPr>
              <w:overflowPunct/>
              <w:autoSpaceDE/>
              <w:autoSpaceDN/>
              <w:adjustRightInd/>
              <w:spacing w:after="0"/>
              <w:rPr>
                <w:rFonts w:ascii="Arial" w:hAnsi="Arial" w:cs="Arial"/>
                <w:b/>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185" w:rsidRDefault="002A2185" w:rsidP="002A2185">
            <w:pPr>
              <w:overflowPunct/>
              <w:autoSpaceDE/>
              <w:autoSpaceDN/>
              <w:adjustRightInd/>
              <w:spacing w:after="0"/>
              <w:rPr>
                <w:rFonts w:ascii="Arial" w:hAnsi="Arial" w:cs="Arial"/>
                <w:b/>
                <w:sz w:val="18"/>
                <w:szCs w:val="18"/>
                <w:lang w:eastAsia="x-none"/>
              </w:rPr>
            </w:pPr>
          </w:p>
        </w:tc>
      </w:tr>
      <w:tr w:rsidR="002A2185" w:rsidTr="002A2185">
        <w:trPr>
          <w:jc w:val="center"/>
        </w:trPr>
        <w:tc>
          <w:tcPr>
            <w:tcW w:w="1526"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C"/>
              <w:rPr>
                <w:szCs w:val="18"/>
              </w:rPr>
            </w:pPr>
            <w:r>
              <w:rPr>
                <w:szCs w:val="18"/>
              </w:rPr>
              <w:t>470 ≤ f ≤ 694</w:t>
            </w:r>
          </w:p>
        </w:tc>
        <w:tc>
          <w:tcPr>
            <w:tcW w:w="2967"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C"/>
              <w:rPr>
                <w:szCs w:val="18"/>
                <w:lang w:val="fi-FI"/>
              </w:rPr>
            </w:pPr>
            <w:r>
              <w:rPr>
                <w:szCs w:val="18"/>
                <w:lang w:val="fi-FI"/>
              </w:rPr>
              <w:t>-42</w:t>
            </w:r>
          </w:p>
        </w:tc>
        <w:tc>
          <w:tcPr>
            <w:tcW w:w="1870"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C"/>
              <w:rPr>
                <w:szCs w:val="18"/>
                <w:lang w:val="fi-FI"/>
              </w:rPr>
            </w:pPr>
            <w:r>
              <w:rPr>
                <w:szCs w:val="18"/>
                <w:lang w:val="fi-FI"/>
              </w:rPr>
              <w:t>8 MHz</w:t>
            </w:r>
          </w:p>
        </w:tc>
        <w:tc>
          <w:tcPr>
            <w:tcW w:w="832" w:type="dxa"/>
            <w:tcBorders>
              <w:top w:val="single" w:sz="4" w:space="0" w:color="auto"/>
              <w:left w:val="single" w:sz="4" w:space="0" w:color="auto"/>
              <w:bottom w:val="single" w:sz="4" w:space="0" w:color="auto"/>
              <w:right w:val="single" w:sz="4" w:space="0" w:color="auto"/>
            </w:tcBorders>
            <w:hideMark/>
          </w:tcPr>
          <w:p w:rsidR="002A2185" w:rsidRDefault="002A2185" w:rsidP="002A2185">
            <w:pPr>
              <w:pStyle w:val="TAC"/>
              <w:rPr>
                <w:szCs w:val="18"/>
                <w:lang w:val="fi-FI" w:eastAsia="zh-CN"/>
              </w:rPr>
            </w:pPr>
            <w:r>
              <w:rPr>
                <w:szCs w:val="18"/>
                <w:lang w:val="fi-FI" w:eastAsia="zh-CN"/>
              </w:rPr>
              <w:t>1</w:t>
            </w:r>
          </w:p>
        </w:tc>
      </w:tr>
      <w:tr w:rsidR="002A2185" w:rsidTr="002A2185">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rsidR="002A2185" w:rsidRDefault="002A2185" w:rsidP="002A2185">
            <w:pPr>
              <w:pStyle w:val="TAC"/>
              <w:jc w:val="left"/>
              <w:rPr>
                <w:szCs w:val="18"/>
              </w:rPr>
            </w:pPr>
            <w:r>
              <w:rPr>
                <w:szCs w:val="18"/>
              </w:rPr>
              <w:t xml:space="preserve">NOTE </w:t>
            </w:r>
            <w:r>
              <w:rPr>
                <w:szCs w:val="18"/>
                <w:lang w:eastAsia="zh-CN"/>
              </w:rPr>
              <w:t>1</w:t>
            </w:r>
            <w:r>
              <w:rPr>
                <w:szCs w:val="18"/>
              </w:rPr>
              <w:t>: Applicable when the assigned E-UTRA carrier is confined within 703 MHz and 7</w:t>
            </w:r>
            <w:r>
              <w:rPr>
                <w:szCs w:val="18"/>
                <w:lang w:val="en-US" w:eastAsia="zh-CN"/>
              </w:rPr>
              <w:t>33</w:t>
            </w:r>
            <w:r>
              <w:rPr>
                <w:szCs w:val="18"/>
              </w:rPr>
              <w:t xml:space="preserve"> </w:t>
            </w:r>
            <w:proofErr w:type="spellStart"/>
            <w:r>
              <w:rPr>
                <w:szCs w:val="18"/>
              </w:rPr>
              <w:t>MHz.</w:t>
            </w:r>
            <w:proofErr w:type="spellEnd"/>
          </w:p>
        </w:tc>
      </w:tr>
    </w:tbl>
    <w:p w:rsidR="002A2185" w:rsidRDefault="002A2185" w:rsidP="002A2185">
      <w:pPr>
        <w:spacing w:after="240"/>
        <w:jc w:val="both"/>
        <w:rPr>
          <w:lang w:eastAsia="zh-CN"/>
        </w:rPr>
      </w:pPr>
    </w:p>
    <w:p w:rsidR="002A2185" w:rsidRDefault="002A2185" w:rsidP="002A2185">
      <w:pPr>
        <w:spacing w:after="240"/>
        <w:jc w:val="both"/>
        <w:rPr>
          <w:b/>
          <w:lang w:eastAsia="zh-CN"/>
        </w:rPr>
      </w:pPr>
      <w:r>
        <w:rPr>
          <w:b/>
          <w:lang w:eastAsia="zh-CN"/>
        </w:rPr>
        <w:t>Observation: New NS value is more reasonable solution for introducing European DTV requirements for PC1 UE in B28 if A-MPR is needed, in terms of clearly distinguishing the additional requirements for PC1 UE which can only be applied for PS service only.</w:t>
      </w:r>
    </w:p>
    <w:p w:rsidR="002A2185" w:rsidRDefault="002A2185" w:rsidP="002A2185">
      <w:pPr>
        <w:pStyle w:val="1"/>
        <w:ind w:left="0" w:firstLine="0"/>
        <w:jc w:val="both"/>
        <w:rPr>
          <w:rFonts w:eastAsia="MS Mincho"/>
        </w:rPr>
      </w:pPr>
      <w:r>
        <w:rPr>
          <w:rFonts w:eastAsia="MS Mincho"/>
        </w:rPr>
        <w:t>3</w:t>
      </w:r>
      <w:r>
        <w:t>. Conclusion</w:t>
      </w:r>
    </w:p>
    <w:p w:rsidR="002A2185" w:rsidRDefault="002A2185" w:rsidP="002A2185">
      <w:pPr>
        <w:jc w:val="both"/>
        <w:rPr>
          <w:lang w:val="en-US" w:eastAsia="zh-CN"/>
        </w:rPr>
      </w:pPr>
      <w:r>
        <w:rPr>
          <w:lang w:val="en-US" w:eastAsia="zh-CN"/>
        </w:rPr>
        <w:t>In this contribution, we revisit the history for European DTV requirements for B28 in RAN4 and analyze the new NS value solution to introduce PC1 UE in B28 applied for PS service if need A-MPR due to European DTV requirements.</w:t>
      </w:r>
    </w:p>
    <w:p w:rsidR="002A2185" w:rsidRDefault="002A2185" w:rsidP="002A2185">
      <w:pPr>
        <w:spacing w:after="240"/>
        <w:jc w:val="both"/>
        <w:rPr>
          <w:b/>
          <w:lang w:eastAsia="zh-CN"/>
        </w:rPr>
      </w:pPr>
      <w:r>
        <w:rPr>
          <w:b/>
          <w:lang w:eastAsia="zh-CN"/>
        </w:rPr>
        <w:t>Observation: New NS value is more reasonable solution for introducing European DTV requirements for PC1 UE in B28 if A-MPR is needed, in terms of clearly distinguishing the additional requirements for PC1 UE which can only be applied for PS service only.</w:t>
      </w:r>
    </w:p>
    <w:p w:rsidR="002A2185" w:rsidRDefault="002A2185" w:rsidP="002A2185">
      <w:pPr>
        <w:pStyle w:val="1"/>
        <w:tabs>
          <w:tab w:val="num" w:pos="432"/>
        </w:tabs>
        <w:ind w:left="0" w:firstLine="0"/>
        <w:rPr>
          <w:lang w:val="en-US"/>
        </w:rPr>
      </w:pPr>
      <w:r>
        <w:rPr>
          <w:lang w:val="en-US"/>
        </w:rPr>
        <w:t>References</w:t>
      </w:r>
    </w:p>
    <w:p w:rsidR="002A2185" w:rsidRDefault="002A2185" w:rsidP="002A2185">
      <w:pPr>
        <w:numPr>
          <w:ilvl w:val="0"/>
          <w:numId w:val="3"/>
        </w:numPr>
        <w:ind w:left="0" w:firstLine="0"/>
      </w:pPr>
      <w:r>
        <w:rPr>
          <w:lang w:eastAsia="zh-CN"/>
        </w:rPr>
        <w:t>R4-143812, “3GPP band 28 out of band emission limit”, CPG-PTD</w:t>
      </w:r>
    </w:p>
    <w:p w:rsidR="002A2185" w:rsidRDefault="002A2185" w:rsidP="002A2185">
      <w:pPr>
        <w:numPr>
          <w:ilvl w:val="0"/>
          <w:numId w:val="3"/>
        </w:numPr>
        <w:ind w:left="0" w:firstLine="0"/>
      </w:pPr>
      <w:r>
        <w:rPr>
          <w:lang w:eastAsia="zh-CN"/>
        </w:rPr>
        <w:lastRenderedPageBreak/>
        <w:t>R4-144040, “Inclusion of the out of band emission limit concluded in CEPT into band 28”, NTT DOCOMO, INC.</w:t>
      </w:r>
    </w:p>
    <w:p w:rsidR="002A2185" w:rsidRDefault="002A2185" w:rsidP="002A2185">
      <w:pPr>
        <w:numPr>
          <w:ilvl w:val="0"/>
          <w:numId w:val="3"/>
        </w:numPr>
        <w:ind w:left="0" w:firstLine="0"/>
      </w:pPr>
      <w:r>
        <w:rPr>
          <w:rFonts w:eastAsia="MS Mincho"/>
        </w:rPr>
        <w:t>R4-</w:t>
      </w:r>
      <w:r>
        <w:rPr>
          <w:lang w:eastAsia="zh-CN"/>
        </w:rPr>
        <w:t>145980, “Handling of emission requirement for Band 28 for Rel-11”, NTT DOCOMO, INC. et al.</w:t>
      </w:r>
    </w:p>
    <w:p w:rsidR="002A2185" w:rsidRDefault="002A2185" w:rsidP="002A2185">
      <w:pPr>
        <w:numPr>
          <w:ilvl w:val="0"/>
          <w:numId w:val="3"/>
        </w:numPr>
        <w:ind w:left="0" w:firstLine="0"/>
      </w:pPr>
      <w:r>
        <w:rPr>
          <w:lang w:eastAsia="zh-CN"/>
        </w:rPr>
        <w:t xml:space="preserve">R4-143333, “ Band 28 new emission requirement study” Nokia </w:t>
      </w:r>
      <w:proofErr w:type="spellStart"/>
      <w:r>
        <w:rPr>
          <w:lang w:eastAsia="zh-CN"/>
        </w:rPr>
        <w:t>Coporation</w:t>
      </w:r>
      <w:proofErr w:type="spellEnd"/>
    </w:p>
    <w:p w:rsidR="002A2185" w:rsidRDefault="002A2185" w:rsidP="002A2185">
      <w:pPr>
        <w:numPr>
          <w:ilvl w:val="0"/>
          <w:numId w:val="3"/>
        </w:numPr>
        <w:ind w:left="0" w:firstLine="0"/>
      </w:pPr>
      <w:r>
        <w:rPr>
          <w:lang w:eastAsia="zh-CN"/>
        </w:rPr>
        <w:t>RP-161871, “Add Power Class 1 UE to B3/B20/B28 for LTE”, Motorola Solutions, Home Office, BT, Telstra</w:t>
      </w:r>
    </w:p>
    <w:p w:rsidR="002A2185" w:rsidRDefault="002A2185" w:rsidP="002A2185">
      <w:pPr>
        <w:numPr>
          <w:ilvl w:val="0"/>
          <w:numId w:val="3"/>
        </w:numPr>
        <w:ind w:left="0" w:firstLine="0"/>
      </w:pPr>
      <w:r>
        <w:rPr>
          <w:lang w:eastAsia="zh-CN"/>
        </w:rPr>
        <w:t>R4-168256, “Expected specification changes due to introduction of HPUE to bands 3, 20 and 28”, Nokia, Alcatel-Lucent Shanghai Bell</w:t>
      </w:r>
    </w:p>
    <w:p w:rsidR="00586590" w:rsidRDefault="00586590"/>
    <w:sectPr w:rsidR="00586590" w:rsidSect="00FB6769">
      <w:pgSz w:w="11906" w:h="16838"/>
      <w:pgMar w:top="1440" w:right="707" w:bottom="1440"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4E9" w:rsidRDefault="003814E9" w:rsidP="002A2185">
      <w:pPr>
        <w:spacing w:after="0"/>
      </w:pPr>
      <w:r>
        <w:separator/>
      </w:r>
    </w:p>
  </w:endnote>
  <w:endnote w:type="continuationSeparator" w:id="0">
    <w:p w:rsidR="003814E9" w:rsidRDefault="003814E9" w:rsidP="002A2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4E9" w:rsidRDefault="003814E9" w:rsidP="002A2185">
      <w:pPr>
        <w:spacing w:after="0"/>
      </w:pPr>
      <w:r>
        <w:separator/>
      </w:r>
    </w:p>
  </w:footnote>
  <w:footnote w:type="continuationSeparator" w:id="0">
    <w:p w:rsidR="003814E9" w:rsidRDefault="003814E9" w:rsidP="002A21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91FBA"/>
    <w:multiLevelType w:val="hybridMultilevel"/>
    <w:tmpl w:val="427AAD1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68F70DCE"/>
    <w:multiLevelType w:val="hybridMultilevel"/>
    <w:tmpl w:val="B59497E2"/>
    <w:lvl w:ilvl="0" w:tplc="EB04A24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6CA372B9"/>
    <w:multiLevelType w:val="hybridMultilevel"/>
    <w:tmpl w:val="E9FABC6E"/>
    <w:lvl w:ilvl="0" w:tplc="EB04A24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3EE"/>
    <w:rsid w:val="002A2185"/>
    <w:rsid w:val="003814E9"/>
    <w:rsid w:val="004237AA"/>
    <w:rsid w:val="00586590"/>
    <w:rsid w:val="00A603EE"/>
    <w:rsid w:val="00FB6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85"/>
    <w:pPr>
      <w:overflowPunct w:val="0"/>
      <w:autoSpaceDE w:val="0"/>
      <w:autoSpaceDN w:val="0"/>
      <w:adjustRightInd w:val="0"/>
      <w:spacing w:after="180"/>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2A2185"/>
    <w:pPr>
      <w:keepNext/>
      <w:keepLines/>
      <w:pBdr>
        <w:top w:val="single" w:sz="12" w:space="3" w:color="auto"/>
      </w:pBdr>
      <w:overflowPunct w:val="0"/>
      <w:autoSpaceDE w:val="0"/>
      <w:autoSpaceDN w:val="0"/>
      <w:adjustRightInd w:val="0"/>
      <w:spacing w:before="240" w:after="180"/>
      <w:ind w:left="1134" w:hanging="1134"/>
      <w:outlineLvl w:val="0"/>
    </w:pPr>
    <w:rPr>
      <w:rFonts w:ascii="Arial" w:eastAsia="宋体"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rsid w:val="002A2185"/>
    <w:rPr>
      <w:rFonts w:ascii="Arial" w:eastAsia="宋体" w:hAnsi="Arial" w:cs="Times New Roman"/>
      <w:kern w:val="0"/>
      <w:sz w:val="36"/>
      <w:szCs w:val="2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2A2185"/>
    <w:rPr>
      <w:rFonts w:ascii="Arial" w:hAnsi="Arial" w:cs="Arial"/>
      <w:b/>
      <w:noProof/>
      <w:sz w:val="18"/>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2A2185"/>
    <w:pPr>
      <w:widowControl w:val="0"/>
      <w:overflowPunct w:val="0"/>
      <w:autoSpaceDE w:val="0"/>
      <w:autoSpaceDN w:val="0"/>
      <w:adjustRightInd w:val="0"/>
    </w:pPr>
    <w:rPr>
      <w:rFonts w:ascii="Arial" w:hAnsi="Arial" w:cs="Arial"/>
      <w:b/>
      <w:noProof/>
      <w:sz w:val="18"/>
      <w:lang w:eastAsia="ja-JP"/>
    </w:rPr>
  </w:style>
  <w:style w:type="character" w:customStyle="1" w:styleId="Char1">
    <w:name w:val="页眉 Char1"/>
    <w:basedOn w:val="a0"/>
    <w:uiPriority w:val="99"/>
    <w:semiHidden/>
    <w:rsid w:val="002A2185"/>
    <w:rPr>
      <w:rFonts w:ascii="Times New Roman" w:eastAsia="宋体" w:hAnsi="Times New Roman" w:cs="Times New Roman"/>
      <w:kern w:val="0"/>
      <w:sz w:val="18"/>
      <w:szCs w:val="18"/>
      <w:lang w:val="en-GB" w:eastAsia="ja-JP"/>
    </w:rPr>
  </w:style>
  <w:style w:type="character" w:customStyle="1" w:styleId="TACChar">
    <w:name w:val="TAC Char"/>
    <w:link w:val="TAC"/>
    <w:locked/>
    <w:rsid w:val="002A2185"/>
    <w:rPr>
      <w:rFonts w:ascii="Arial" w:hAnsi="Arial" w:cs="Arial"/>
      <w:sz w:val="18"/>
      <w:lang w:val="en-GB" w:eastAsia="ja-JP"/>
    </w:rPr>
  </w:style>
  <w:style w:type="paragraph" w:customStyle="1" w:styleId="TAC">
    <w:name w:val="TAC"/>
    <w:basedOn w:val="a"/>
    <w:link w:val="TACChar"/>
    <w:rsid w:val="002A2185"/>
    <w:pPr>
      <w:keepNext/>
      <w:keepLines/>
      <w:spacing w:after="0"/>
      <w:jc w:val="center"/>
    </w:pPr>
    <w:rPr>
      <w:rFonts w:ascii="Arial" w:eastAsiaTheme="minorEastAsia" w:hAnsi="Arial" w:cs="Arial"/>
      <w:kern w:val="2"/>
      <w:sz w:val="18"/>
      <w:szCs w:val="22"/>
    </w:rPr>
  </w:style>
  <w:style w:type="paragraph" w:customStyle="1" w:styleId="TAH">
    <w:name w:val="TAH"/>
    <w:basedOn w:val="TAC"/>
    <w:link w:val="TAHCar"/>
    <w:rsid w:val="002A2185"/>
    <w:rPr>
      <w:b/>
      <w:lang w:eastAsia="x-none"/>
    </w:rPr>
  </w:style>
  <w:style w:type="character" w:customStyle="1" w:styleId="TAHCar">
    <w:name w:val="TAH Car"/>
    <w:link w:val="TAH"/>
    <w:locked/>
    <w:rsid w:val="002A2185"/>
    <w:rPr>
      <w:rFonts w:ascii="Arial" w:hAnsi="Arial" w:cs="Arial"/>
      <w:b/>
      <w:sz w:val="18"/>
      <w:lang w:val="en-GB" w:eastAsia="x-none"/>
    </w:rPr>
  </w:style>
  <w:style w:type="paragraph" w:styleId="a4">
    <w:name w:val="footer"/>
    <w:basedOn w:val="a"/>
    <w:link w:val="Char0"/>
    <w:uiPriority w:val="99"/>
    <w:unhideWhenUsed/>
    <w:rsid w:val="002A2185"/>
    <w:pPr>
      <w:tabs>
        <w:tab w:val="center" w:pos="4153"/>
        <w:tab w:val="right" w:pos="8306"/>
      </w:tabs>
      <w:snapToGrid w:val="0"/>
    </w:pPr>
    <w:rPr>
      <w:sz w:val="18"/>
      <w:szCs w:val="18"/>
    </w:rPr>
  </w:style>
  <w:style w:type="character" w:customStyle="1" w:styleId="Char0">
    <w:name w:val="页脚 Char"/>
    <w:basedOn w:val="a0"/>
    <w:link w:val="a4"/>
    <w:uiPriority w:val="99"/>
    <w:rsid w:val="002A2185"/>
    <w:rPr>
      <w:rFonts w:ascii="Times New Roman" w:eastAsia="宋体" w:hAnsi="Times New Roman" w:cs="Times New Roman"/>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85"/>
    <w:pPr>
      <w:overflowPunct w:val="0"/>
      <w:autoSpaceDE w:val="0"/>
      <w:autoSpaceDN w:val="0"/>
      <w:adjustRightInd w:val="0"/>
      <w:spacing w:after="180"/>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2A2185"/>
    <w:pPr>
      <w:keepNext/>
      <w:keepLines/>
      <w:pBdr>
        <w:top w:val="single" w:sz="12" w:space="3" w:color="auto"/>
      </w:pBdr>
      <w:overflowPunct w:val="0"/>
      <w:autoSpaceDE w:val="0"/>
      <w:autoSpaceDN w:val="0"/>
      <w:adjustRightInd w:val="0"/>
      <w:spacing w:before="240" w:after="180"/>
      <w:ind w:left="1134" w:hanging="1134"/>
      <w:outlineLvl w:val="0"/>
    </w:pPr>
    <w:rPr>
      <w:rFonts w:ascii="Arial" w:eastAsia="宋体"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rsid w:val="002A2185"/>
    <w:rPr>
      <w:rFonts w:ascii="Arial" w:eastAsia="宋体" w:hAnsi="Arial" w:cs="Times New Roman"/>
      <w:kern w:val="0"/>
      <w:sz w:val="36"/>
      <w:szCs w:val="2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2A2185"/>
    <w:rPr>
      <w:rFonts w:ascii="Arial" w:hAnsi="Arial" w:cs="Arial"/>
      <w:b/>
      <w:noProof/>
      <w:sz w:val="18"/>
      <w:lang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2A2185"/>
    <w:pPr>
      <w:widowControl w:val="0"/>
      <w:overflowPunct w:val="0"/>
      <w:autoSpaceDE w:val="0"/>
      <w:autoSpaceDN w:val="0"/>
      <w:adjustRightInd w:val="0"/>
    </w:pPr>
    <w:rPr>
      <w:rFonts w:ascii="Arial" w:hAnsi="Arial" w:cs="Arial"/>
      <w:b/>
      <w:noProof/>
      <w:sz w:val="18"/>
      <w:lang w:eastAsia="ja-JP"/>
    </w:rPr>
  </w:style>
  <w:style w:type="character" w:customStyle="1" w:styleId="Char1">
    <w:name w:val="页眉 Char1"/>
    <w:basedOn w:val="a0"/>
    <w:uiPriority w:val="99"/>
    <w:semiHidden/>
    <w:rsid w:val="002A2185"/>
    <w:rPr>
      <w:rFonts w:ascii="Times New Roman" w:eastAsia="宋体" w:hAnsi="Times New Roman" w:cs="Times New Roman"/>
      <w:kern w:val="0"/>
      <w:sz w:val="18"/>
      <w:szCs w:val="18"/>
      <w:lang w:val="en-GB" w:eastAsia="ja-JP"/>
    </w:rPr>
  </w:style>
  <w:style w:type="character" w:customStyle="1" w:styleId="TACChar">
    <w:name w:val="TAC Char"/>
    <w:link w:val="TAC"/>
    <w:locked/>
    <w:rsid w:val="002A2185"/>
    <w:rPr>
      <w:rFonts w:ascii="Arial" w:hAnsi="Arial" w:cs="Arial"/>
      <w:sz w:val="18"/>
      <w:lang w:val="en-GB" w:eastAsia="ja-JP"/>
    </w:rPr>
  </w:style>
  <w:style w:type="paragraph" w:customStyle="1" w:styleId="TAC">
    <w:name w:val="TAC"/>
    <w:basedOn w:val="a"/>
    <w:link w:val="TACChar"/>
    <w:rsid w:val="002A2185"/>
    <w:pPr>
      <w:keepNext/>
      <w:keepLines/>
      <w:spacing w:after="0"/>
      <w:jc w:val="center"/>
    </w:pPr>
    <w:rPr>
      <w:rFonts w:ascii="Arial" w:eastAsiaTheme="minorEastAsia" w:hAnsi="Arial" w:cs="Arial"/>
      <w:kern w:val="2"/>
      <w:sz w:val="18"/>
      <w:szCs w:val="22"/>
    </w:rPr>
  </w:style>
  <w:style w:type="paragraph" w:customStyle="1" w:styleId="TAH">
    <w:name w:val="TAH"/>
    <w:basedOn w:val="TAC"/>
    <w:link w:val="TAHCar"/>
    <w:rsid w:val="002A2185"/>
    <w:rPr>
      <w:b/>
      <w:lang w:eastAsia="x-none"/>
    </w:rPr>
  </w:style>
  <w:style w:type="character" w:customStyle="1" w:styleId="TAHCar">
    <w:name w:val="TAH Car"/>
    <w:link w:val="TAH"/>
    <w:locked/>
    <w:rsid w:val="002A2185"/>
    <w:rPr>
      <w:rFonts w:ascii="Arial" w:hAnsi="Arial" w:cs="Arial"/>
      <w:b/>
      <w:sz w:val="18"/>
      <w:lang w:val="en-GB" w:eastAsia="x-none"/>
    </w:rPr>
  </w:style>
  <w:style w:type="paragraph" w:styleId="a4">
    <w:name w:val="footer"/>
    <w:basedOn w:val="a"/>
    <w:link w:val="Char0"/>
    <w:uiPriority w:val="99"/>
    <w:unhideWhenUsed/>
    <w:rsid w:val="002A2185"/>
    <w:pPr>
      <w:tabs>
        <w:tab w:val="center" w:pos="4153"/>
        <w:tab w:val="right" w:pos="8306"/>
      </w:tabs>
      <w:snapToGrid w:val="0"/>
    </w:pPr>
    <w:rPr>
      <w:sz w:val="18"/>
      <w:szCs w:val="18"/>
    </w:rPr>
  </w:style>
  <w:style w:type="character" w:customStyle="1" w:styleId="Char0">
    <w:name w:val="页脚 Char"/>
    <w:basedOn w:val="a0"/>
    <w:link w:val="a4"/>
    <w:uiPriority w:val="99"/>
    <w:rsid w:val="002A2185"/>
    <w:rPr>
      <w:rFonts w:ascii="Times New Roman" w:eastAsia="宋体" w:hAnsi="Times New Roman" w:cs="Times New Roman"/>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3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909</Words>
  <Characters>5182</Characters>
  <Application>Microsoft Office Word</Application>
  <DocSecurity>0</DocSecurity>
  <Lines>43</Lines>
  <Paragraphs>12</Paragraphs>
  <ScaleCrop>false</ScaleCrop>
  <Company>Samsung Electronics</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Electronics</dc:creator>
  <cp:keywords/>
  <dc:description/>
  <cp:lastModifiedBy>Samsung Electronics</cp:lastModifiedBy>
  <cp:revision>3</cp:revision>
  <dcterms:created xsi:type="dcterms:W3CDTF">2016-11-04T11:48:00Z</dcterms:created>
  <dcterms:modified xsi:type="dcterms:W3CDTF">2016-11-04T11:54:00Z</dcterms:modified>
</cp:coreProperties>
</file>