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0648705B"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04131D">
        <w:rPr>
          <w:b/>
          <w:noProof/>
          <w:sz w:val="24"/>
          <w:lang w:eastAsia="ko-KR"/>
        </w:rPr>
        <w:t>80</w:t>
      </w:r>
      <w:r>
        <w:rPr>
          <w:b/>
          <w:i/>
          <w:noProof/>
          <w:sz w:val="28"/>
        </w:rPr>
        <w:tab/>
      </w:r>
      <w:r w:rsidRPr="007F57A1">
        <w:rPr>
          <w:rFonts w:hint="eastAsia"/>
          <w:b/>
          <w:noProof/>
          <w:sz w:val="24"/>
          <w:szCs w:val="24"/>
          <w:lang w:eastAsia="ko-KR"/>
        </w:rPr>
        <w:t>R4-</w:t>
      </w:r>
      <w:r w:rsidR="00C20A1C">
        <w:rPr>
          <w:b/>
          <w:noProof/>
          <w:sz w:val="24"/>
          <w:szCs w:val="24"/>
          <w:lang w:eastAsia="ko-KR"/>
        </w:rPr>
        <w:t>166556</w:t>
      </w:r>
    </w:p>
    <w:p w14:paraId="053232EE" w14:textId="056AFEF3" w:rsidR="00DF7315" w:rsidRDefault="0004131D" w:rsidP="006C6A7C">
      <w:pPr>
        <w:pStyle w:val="CRCoverPage"/>
        <w:outlineLvl w:val="0"/>
        <w:rPr>
          <w:b/>
          <w:noProof/>
          <w:sz w:val="24"/>
          <w:lang w:eastAsia="ko-KR"/>
        </w:rPr>
      </w:pPr>
      <w:r>
        <w:rPr>
          <w:rFonts w:eastAsia="Batang"/>
          <w:b/>
          <w:noProof/>
          <w:sz w:val="24"/>
          <w:lang w:eastAsia="ko-KR"/>
        </w:rPr>
        <w:t>Gothenburg, Sweden,</w:t>
      </w:r>
      <w:r>
        <w:rPr>
          <w:b/>
          <w:noProof/>
          <w:sz w:val="24"/>
        </w:rPr>
        <w:t xml:space="preserve"> 22</w:t>
      </w:r>
      <w:r w:rsidRPr="0004131D">
        <w:rPr>
          <w:b/>
          <w:noProof/>
          <w:sz w:val="24"/>
          <w:vertAlign w:val="superscript"/>
        </w:rPr>
        <w:t>nd</w:t>
      </w:r>
      <w:r>
        <w:rPr>
          <w:b/>
          <w:noProof/>
          <w:sz w:val="24"/>
        </w:rPr>
        <w:t xml:space="preserve"> </w:t>
      </w:r>
      <w:r w:rsidR="006C6A7C">
        <w:rPr>
          <w:b/>
          <w:noProof/>
          <w:sz w:val="24"/>
          <w:lang w:eastAsia="ko-KR"/>
        </w:rPr>
        <w:t>–</w:t>
      </w:r>
      <w:r w:rsidR="006C6A7C" w:rsidRPr="000802C3">
        <w:rPr>
          <w:rFonts w:hint="eastAsia"/>
          <w:b/>
          <w:noProof/>
          <w:sz w:val="24"/>
          <w:lang w:eastAsia="ko-KR"/>
        </w:rPr>
        <w:t xml:space="preserve"> </w:t>
      </w:r>
      <w:r>
        <w:rPr>
          <w:b/>
          <w:noProof/>
          <w:sz w:val="24"/>
          <w:lang w:eastAsia="ko-KR"/>
        </w:rPr>
        <w:t>26</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August</w:t>
      </w:r>
      <w:r w:rsidR="006C6A7C" w:rsidRPr="0011455D">
        <w:rPr>
          <w:rFonts w:hint="eastAsia"/>
          <w:b/>
          <w:noProof/>
          <w:sz w:val="24"/>
          <w:lang w:eastAsia="ko-KR"/>
        </w:rPr>
        <w:t xml:space="preserve"> 201</w:t>
      </w:r>
      <w:r w:rsidR="00FC0320">
        <w:rPr>
          <w:b/>
          <w:noProof/>
          <w:sz w:val="24"/>
          <w:lang w:eastAsia="ko-KR"/>
        </w:rPr>
        <w:t>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5809104A"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C20A1C">
        <w:rPr>
          <w:rFonts w:ascii="Arial" w:hAnsi="Arial" w:cs="Arial"/>
          <w:sz w:val="24"/>
          <w:szCs w:val="24"/>
        </w:rPr>
        <w:t>5.14.4</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4E18E27B"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20595F">
        <w:rPr>
          <w:rFonts w:ascii="Arial" w:hAnsi="Arial" w:cs="Arial"/>
          <w:sz w:val="24"/>
          <w:szCs w:val="24"/>
        </w:rPr>
        <w:t>Analysis</w:t>
      </w:r>
      <w:r w:rsidR="008C11B7">
        <w:rPr>
          <w:rFonts w:ascii="Arial" w:hAnsi="Arial" w:cs="Arial"/>
          <w:sz w:val="24"/>
          <w:szCs w:val="24"/>
        </w:rPr>
        <w:t xml:space="preserve"> and Proposals for RLM Requirement</w:t>
      </w:r>
      <w:r w:rsidR="00FF5EBA">
        <w:rPr>
          <w:rFonts w:ascii="Arial" w:hAnsi="Arial" w:cs="Arial"/>
          <w:sz w:val="24"/>
          <w:szCs w:val="24"/>
        </w:rPr>
        <w:t>s</w:t>
      </w:r>
    </w:p>
    <w:p w14:paraId="66EAA9FF" w14:textId="461EB981"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582A9B">
        <w:rPr>
          <w:rFonts w:ascii="Arial" w:hAnsi="Arial" w:cs="Arial"/>
          <w:sz w:val="24"/>
          <w:szCs w:val="24"/>
          <w:lang w:eastAsia="ko-KR"/>
        </w:rPr>
        <w:t>Approval</w:t>
      </w:r>
    </w:p>
    <w:p w14:paraId="35C5498F" w14:textId="20CEA0D5" w:rsidR="009A0633" w:rsidRDefault="009D2332" w:rsidP="009D2332">
      <w:pPr>
        <w:pStyle w:val="Heading1"/>
        <w:rPr>
          <w:lang w:val="en-US" w:eastAsia="ko-KR"/>
        </w:rPr>
      </w:pPr>
      <w:r>
        <w:rPr>
          <w:lang w:val="en-US" w:eastAsia="ko-KR"/>
        </w:rPr>
        <w:t>1</w:t>
      </w:r>
      <w:r>
        <w:rPr>
          <w:lang w:val="en-US" w:eastAsia="ko-KR"/>
        </w:rPr>
        <w:tab/>
      </w:r>
      <w:r w:rsidR="00732954">
        <w:rPr>
          <w:lang w:val="en-US" w:eastAsia="ko-KR"/>
        </w:rPr>
        <w:t>Introduction</w:t>
      </w:r>
      <w:r w:rsidR="00BA43C5">
        <w:rPr>
          <w:lang w:val="en-US" w:eastAsia="ko-KR"/>
        </w:rPr>
        <w:t xml:space="preserve"> </w:t>
      </w:r>
    </w:p>
    <w:p w14:paraId="2ED243AE" w14:textId="2BBA2479" w:rsidR="00DD3907" w:rsidRDefault="00887E84" w:rsidP="00263E2F">
      <w:pPr>
        <w:rPr>
          <w:color w:val="000000"/>
          <w:lang w:val="en-US"/>
        </w:rPr>
      </w:pPr>
      <w:r>
        <w:rPr>
          <w:color w:val="000000"/>
          <w:lang w:val="en-US"/>
        </w:rPr>
        <w:t xml:space="preserve">This paper </w:t>
      </w:r>
      <w:r w:rsidR="00972643">
        <w:rPr>
          <w:color w:val="000000"/>
          <w:lang w:val="en-US"/>
        </w:rPr>
        <w:t>presents</w:t>
      </w:r>
      <w:r w:rsidR="00DD3907">
        <w:rPr>
          <w:color w:val="000000"/>
          <w:lang w:val="en-US"/>
        </w:rPr>
        <w:t xml:space="preserve"> </w:t>
      </w:r>
      <w:r w:rsidR="00263E2F">
        <w:rPr>
          <w:color w:val="000000"/>
          <w:lang w:val="en-US"/>
        </w:rPr>
        <w:t xml:space="preserve">analysis on </w:t>
      </w:r>
      <w:r w:rsidR="00DD3907" w:rsidRPr="00DD3907">
        <w:rPr>
          <w:color w:val="000000"/>
          <w:lang w:val="en-US"/>
        </w:rPr>
        <w:t xml:space="preserve">(1) Qin-Qout separation </w:t>
      </w:r>
      <w:r w:rsidR="00263E2F">
        <w:rPr>
          <w:color w:val="000000"/>
          <w:lang w:val="en-US"/>
        </w:rPr>
        <w:t xml:space="preserve">and </w:t>
      </w:r>
      <w:r w:rsidR="00DD3907" w:rsidRPr="00DD3907">
        <w:rPr>
          <w:color w:val="000000"/>
          <w:lang w:val="en-US"/>
        </w:rPr>
        <w:t>(2)</w:t>
      </w:r>
      <w:r w:rsidR="00EE5944">
        <w:rPr>
          <w:color w:val="000000"/>
          <w:lang w:val="en-US"/>
        </w:rPr>
        <w:t xml:space="preserve"> </w:t>
      </w:r>
      <w:r w:rsidR="00972643">
        <w:rPr>
          <w:color w:val="000000"/>
          <w:lang w:val="en-US"/>
        </w:rPr>
        <w:t>DL</w:t>
      </w:r>
      <w:r w:rsidR="00DD3907" w:rsidRPr="00DD3907">
        <w:rPr>
          <w:color w:val="000000"/>
          <w:lang w:val="en-US"/>
        </w:rPr>
        <w:t xml:space="preserve"> S</w:t>
      </w:r>
      <w:r w:rsidR="00972643">
        <w:rPr>
          <w:color w:val="000000"/>
          <w:lang w:val="en-US"/>
        </w:rPr>
        <w:t>I</w:t>
      </w:r>
      <w:r w:rsidR="00DD3907" w:rsidRPr="00DD3907">
        <w:rPr>
          <w:color w:val="000000"/>
          <w:lang w:val="en-US"/>
        </w:rPr>
        <w:t>NR measurement</w:t>
      </w:r>
      <w:r w:rsidR="00972643">
        <w:rPr>
          <w:color w:val="000000"/>
          <w:lang w:val="en-US"/>
        </w:rPr>
        <w:t xml:space="preserve"> accuracy</w:t>
      </w:r>
      <w:r w:rsidR="00DD3907" w:rsidRPr="00DD3907">
        <w:rPr>
          <w:color w:val="000000"/>
          <w:lang w:val="en-US"/>
        </w:rPr>
        <w:t xml:space="preserve"> </w:t>
      </w:r>
      <w:r w:rsidR="00477352">
        <w:rPr>
          <w:color w:val="000000"/>
          <w:lang w:val="en-US"/>
        </w:rPr>
        <w:t xml:space="preserve">due to NRS availability </w:t>
      </w:r>
      <w:r w:rsidR="00DD3907" w:rsidRPr="00DD3907">
        <w:rPr>
          <w:color w:val="000000"/>
          <w:lang w:val="en-US"/>
        </w:rPr>
        <w:t xml:space="preserve">and </w:t>
      </w:r>
      <w:r w:rsidR="00DD3907">
        <w:rPr>
          <w:color w:val="000000"/>
          <w:lang w:val="en-US"/>
        </w:rPr>
        <w:t xml:space="preserve">impact on RLM evaluation time </w:t>
      </w:r>
      <w:r w:rsidR="00263E2F">
        <w:rPr>
          <w:color w:val="000000"/>
          <w:lang w:val="en-US"/>
        </w:rPr>
        <w:t>for RLM requirements</w:t>
      </w:r>
      <w:r w:rsidR="008F2323">
        <w:rPr>
          <w:color w:val="000000"/>
          <w:lang w:val="en-US"/>
        </w:rPr>
        <w:t xml:space="preserve"> and (3) RLM evaluation time when DRX is used </w:t>
      </w:r>
      <w:r w:rsidR="00972643">
        <w:rPr>
          <w:color w:val="000000"/>
          <w:lang w:val="en-US"/>
        </w:rPr>
        <w:t>in [2</w:t>
      </w:r>
      <w:r w:rsidR="00477352">
        <w:rPr>
          <w:color w:val="000000"/>
          <w:lang w:val="en-US"/>
        </w:rPr>
        <w:t>] and makes some proposals.</w:t>
      </w:r>
    </w:p>
    <w:p w14:paraId="6C5A7102" w14:textId="119C324B" w:rsidR="00DF6AFD" w:rsidRDefault="009D2332" w:rsidP="00DF6AFD">
      <w:pPr>
        <w:pStyle w:val="Heading1"/>
        <w:rPr>
          <w:lang w:val="en-US" w:eastAsia="ko-KR"/>
        </w:rPr>
      </w:pPr>
      <w:r>
        <w:rPr>
          <w:lang w:val="en-US" w:eastAsia="ko-KR"/>
        </w:rPr>
        <w:t>2</w:t>
      </w:r>
      <w:r w:rsidR="00DF6AFD">
        <w:rPr>
          <w:lang w:val="en-US" w:eastAsia="ko-KR"/>
        </w:rPr>
        <w:tab/>
      </w:r>
      <w:r w:rsidR="0077280E">
        <w:rPr>
          <w:lang w:val="en-US" w:eastAsia="ko-KR"/>
        </w:rPr>
        <w:t>Qin-Qout Seperation</w:t>
      </w:r>
    </w:p>
    <w:p w14:paraId="5EC52751" w14:textId="49BBC761" w:rsidR="0077280E" w:rsidRPr="0077280E" w:rsidRDefault="00E56E3E" w:rsidP="00C96E3B">
      <w:pPr>
        <w:pStyle w:val="TH"/>
        <w:jc w:val="left"/>
        <w:rPr>
          <w:rFonts w:eastAsia="?? ??" w:cs="Times New Roman"/>
          <w:b w:val="0"/>
          <w:bCs/>
          <w:color w:val="auto"/>
          <w:kern w:val="0"/>
          <w:sz w:val="18"/>
          <w:lang w:eastAsia="ko-KR"/>
        </w:rPr>
      </w:pPr>
      <w:r>
        <w:rPr>
          <w:rFonts w:eastAsia="?? ??" w:cs="Times New Roman"/>
          <w:b w:val="0"/>
          <w:bCs/>
          <w:color w:val="auto"/>
          <w:kern w:val="0"/>
          <w:sz w:val="18"/>
          <w:lang w:eastAsia="ko-KR"/>
        </w:rPr>
        <w:t>In the agreed CR[1]</w:t>
      </w:r>
      <w:r w:rsidR="00C96E3B">
        <w:rPr>
          <w:rFonts w:eastAsia="?? ??" w:cs="Times New Roman"/>
          <w:b w:val="0"/>
          <w:bCs/>
          <w:color w:val="auto"/>
          <w:kern w:val="0"/>
          <w:sz w:val="18"/>
          <w:lang w:eastAsia="ko-KR"/>
        </w:rPr>
        <w:t xml:space="preserve"> for RLM core requirements, </w:t>
      </w:r>
      <w:r w:rsidR="0077280E" w:rsidRPr="0077280E">
        <w:rPr>
          <w:rFonts w:eastAsia="?? ??" w:cs="Times New Roman"/>
          <w:b w:val="0"/>
          <w:bCs/>
          <w:color w:val="auto"/>
          <w:kern w:val="0"/>
          <w:sz w:val="18"/>
          <w:lang w:eastAsia="ko-KR"/>
        </w:rPr>
        <w:t>NPDCCH transmission parameters for out-of-sync and in-sync for Category NB1 UE</w:t>
      </w:r>
      <w:r w:rsidR="00C96E3B">
        <w:rPr>
          <w:rFonts w:eastAsia="?? ??" w:cs="Times New Roman"/>
          <w:b w:val="0"/>
          <w:bCs/>
          <w:color w:val="auto"/>
          <w:kern w:val="0"/>
          <w:sz w:val="18"/>
          <w:lang w:eastAsia="ko-KR"/>
        </w:rPr>
        <w:t xml:space="preserve"> are as follows.</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595"/>
        <w:gridCol w:w="2700"/>
        <w:gridCol w:w="3150"/>
      </w:tblGrid>
      <w:tr w:rsidR="0077280E" w:rsidRPr="0077280E" w14:paraId="5D4A1332" w14:textId="77777777" w:rsidTr="00DC52CA">
        <w:trPr>
          <w:jc w:val="center"/>
        </w:trPr>
        <w:tc>
          <w:tcPr>
            <w:tcW w:w="3595" w:type="dxa"/>
            <w:tcBorders>
              <w:top w:val="single" w:sz="4" w:space="0" w:color="auto"/>
              <w:left w:val="single" w:sz="4" w:space="0" w:color="auto"/>
              <w:bottom w:val="single" w:sz="6" w:space="0" w:color="auto"/>
              <w:right w:val="single" w:sz="6" w:space="0" w:color="auto"/>
            </w:tcBorders>
            <w:shd w:val="clear" w:color="auto" w:fill="D0CECE"/>
            <w:hideMark/>
          </w:tcPr>
          <w:p w14:paraId="4C824530" w14:textId="77777777" w:rsidR="0077280E" w:rsidRPr="0077280E" w:rsidRDefault="0077280E">
            <w:pPr>
              <w:keepNext/>
              <w:keepLines/>
              <w:spacing w:after="0"/>
              <w:jc w:val="center"/>
              <w:rPr>
                <w:rFonts w:ascii="Arial" w:eastAsia="?? ??" w:hAnsi="Arial"/>
                <w:bCs/>
                <w:sz w:val="18"/>
                <w:lang w:eastAsia="ko-KR"/>
              </w:rPr>
            </w:pPr>
            <w:r w:rsidRPr="0077280E">
              <w:rPr>
                <w:rFonts w:ascii="Arial" w:eastAsia="?? ??" w:hAnsi="Arial"/>
                <w:bCs/>
                <w:sz w:val="18"/>
                <w:lang w:eastAsia="ko-KR"/>
              </w:rPr>
              <w:t>Attribute</w:t>
            </w:r>
          </w:p>
        </w:tc>
        <w:tc>
          <w:tcPr>
            <w:tcW w:w="2700" w:type="dxa"/>
            <w:tcBorders>
              <w:top w:val="single" w:sz="4" w:space="0" w:color="auto"/>
              <w:left w:val="single" w:sz="6" w:space="0" w:color="auto"/>
              <w:bottom w:val="single" w:sz="6" w:space="0" w:color="auto"/>
              <w:right w:val="single" w:sz="6" w:space="0" w:color="auto"/>
            </w:tcBorders>
            <w:shd w:val="clear" w:color="auto" w:fill="D0CECE"/>
            <w:hideMark/>
          </w:tcPr>
          <w:p w14:paraId="3CA51875" w14:textId="77777777" w:rsidR="0077280E" w:rsidRPr="0077280E" w:rsidRDefault="0077280E">
            <w:pPr>
              <w:spacing w:after="120"/>
              <w:jc w:val="center"/>
              <w:rPr>
                <w:rFonts w:ascii="Arial" w:eastAsia="?? ??" w:hAnsi="Arial"/>
                <w:bCs/>
                <w:sz w:val="18"/>
                <w:lang w:eastAsia="ko-KR"/>
              </w:rPr>
            </w:pPr>
            <w:r w:rsidRPr="0077280E">
              <w:rPr>
                <w:rFonts w:ascii="Arial" w:eastAsia="?? ??" w:hAnsi="Arial"/>
                <w:bCs/>
                <w:sz w:val="18"/>
                <w:lang w:eastAsia="ko-KR"/>
              </w:rPr>
              <w:t>Out-of-sync</w:t>
            </w:r>
          </w:p>
        </w:tc>
        <w:tc>
          <w:tcPr>
            <w:tcW w:w="3150" w:type="dxa"/>
            <w:tcBorders>
              <w:top w:val="single" w:sz="4" w:space="0" w:color="auto"/>
              <w:left w:val="single" w:sz="6" w:space="0" w:color="auto"/>
              <w:bottom w:val="single" w:sz="6" w:space="0" w:color="auto"/>
              <w:right w:val="single" w:sz="4" w:space="0" w:color="auto"/>
            </w:tcBorders>
            <w:shd w:val="clear" w:color="auto" w:fill="D0CECE"/>
            <w:hideMark/>
          </w:tcPr>
          <w:p w14:paraId="24A80810" w14:textId="77777777" w:rsidR="0077280E" w:rsidRPr="0077280E" w:rsidRDefault="0077280E">
            <w:pPr>
              <w:spacing w:after="120"/>
              <w:jc w:val="center"/>
              <w:rPr>
                <w:rFonts w:ascii="Arial" w:eastAsia="?? ??" w:hAnsi="Arial"/>
                <w:bCs/>
                <w:sz w:val="18"/>
                <w:lang w:eastAsia="ko-KR"/>
              </w:rPr>
            </w:pPr>
            <w:r w:rsidRPr="0077280E">
              <w:rPr>
                <w:rFonts w:ascii="Arial" w:eastAsia="?? ??" w:hAnsi="Arial"/>
                <w:bCs/>
                <w:sz w:val="18"/>
                <w:lang w:eastAsia="ko-KR"/>
              </w:rPr>
              <w:t>In-sync</w:t>
            </w:r>
          </w:p>
        </w:tc>
      </w:tr>
      <w:tr w:rsidR="0077280E" w:rsidRPr="0077280E" w14:paraId="7EAD334C" w14:textId="77777777" w:rsidTr="00DC52CA">
        <w:trPr>
          <w:trHeight w:val="201"/>
          <w:jc w:val="center"/>
        </w:trPr>
        <w:tc>
          <w:tcPr>
            <w:tcW w:w="3595" w:type="dxa"/>
            <w:tcBorders>
              <w:top w:val="single" w:sz="6" w:space="0" w:color="auto"/>
              <w:left w:val="single" w:sz="4" w:space="0" w:color="auto"/>
              <w:bottom w:val="single" w:sz="6" w:space="0" w:color="auto"/>
              <w:right w:val="single" w:sz="6" w:space="0" w:color="auto"/>
            </w:tcBorders>
            <w:hideMark/>
          </w:tcPr>
          <w:p w14:paraId="7DCF46A4" w14:textId="77777777" w:rsidR="0077280E" w:rsidRDefault="0077280E">
            <w:pPr>
              <w:keepNext/>
              <w:keepLines/>
              <w:spacing w:after="0"/>
              <w:rPr>
                <w:rFonts w:ascii="Arial" w:eastAsia="?? ??" w:hAnsi="Arial"/>
                <w:bCs/>
                <w:sz w:val="18"/>
                <w:lang w:eastAsia="ko-KR"/>
              </w:rPr>
            </w:pPr>
            <w:r>
              <w:rPr>
                <w:rFonts w:ascii="Arial" w:eastAsia="?? ??" w:hAnsi="Arial"/>
                <w:bCs/>
                <w:sz w:val="18"/>
                <w:lang w:eastAsia="ko-KR"/>
              </w:rPr>
              <w:t>DCI format</w:t>
            </w:r>
          </w:p>
        </w:tc>
        <w:tc>
          <w:tcPr>
            <w:tcW w:w="2700" w:type="dxa"/>
            <w:tcBorders>
              <w:top w:val="single" w:sz="6" w:space="0" w:color="auto"/>
              <w:left w:val="single" w:sz="6" w:space="0" w:color="auto"/>
              <w:bottom w:val="single" w:sz="6" w:space="0" w:color="auto"/>
              <w:right w:val="single" w:sz="6" w:space="0" w:color="auto"/>
            </w:tcBorders>
            <w:hideMark/>
          </w:tcPr>
          <w:p w14:paraId="13D60DD9" w14:textId="77777777" w:rsidR="0077280E" w:rsidRPr="0077280E" w:rsidRDefault="0077280E">
            <w:pPr>
              <w:keepNext/>
              <w:keepLines/>
              <w:spacing w:after="0"/>
              <w:rPr>
                <w:rFonts w:ascii="Arial" w:eastAsia="?? ??" w:hAnsi="Arial"/>
                <w:bCs/>
                <w:sz w:val="18"/>
                <w:lang w:eastAsia="ko-KR"/>
              </w:rPr>
            </w:pPr>
            <w:r>
              <w:rPr>
                <w:rFonts w:ascii="Arial" w:eastAsia="?? ??" w:hAnsi="Arial"/>
                <w:bCs/>
                <w:sz w:val="18"/>
                <w:lang w:eastAsia="ko-KR"/>
              </w:rPr>
              <w:t>Format N1</w:t>
            </w:r>
          </w:p>
        </w:tc>
        <w:tc>
          <w:tcPr>
            <w:tcW w:w="3150" w:type="dxa"/>
            <w:tcBorders>
              <w:top w:val="single" w:sz="6" w:space="0" w:color="auto"/>
              <w:left w:val="single" w:sz="6" w:space="0" w:color="auto"/>
              <w:bottom w:val="single" w:sz="6" w:space="0" w:color="auto"/>
              <w:right w:val="single" w:sz="4" w:space="0" w:color="auto"/>
            </w:tcBorders>
            <w:hideMark/>
          </w:tcPr>
          <w:p w14:paraId="15DDF282" w14:textId="77777777" w:rsidR="0077280E" w:rsidRPr="0077280E" w:rsidRDefault="0077280E">
            <w:pPr>
              <w:keepNext/>
              <w:keepLines/>
              <w:spacing w:after="0"/>
              <w:rPr>
                <w:rFonts w:ascii="Arial" w:eastAsia="?? ??" w:hAnsi="Arial"/>
                <w:bCs/>
                <w:sz w:val="18"/>
                <w:lang w:eastAsia="ko-KR"/>
              </w:rPr>
            </w:pPr>
            <w:r>
              <w:rPr>
                <w:rFonts w:ascii="Arial" w:eastAsia="?? ??" w:hAnsi="Arial"/>
                <w:bCs/>
                <w:sz w:val="18"/>
                <w:lang w:eastAsia="ko-KR"/>
              </w:rPr>
              <w:t xml:space="preserve">Format N1 </w:t>
            </w:r>
          </w:p>
        </w:tc>
      </w:tr>
      <w:tr w:rsidR="0077280E" w:rsidRPr="0077280E" w14:paraId="2066F78A" w14:textId="77777777" w:rsidTr="00DC52CA">
        <w:trPr>
          <w:trHeight w:val="201"/>
          <w:jc w:val="center"/>
        </w:trPr>
        <w:tc>
          <w:tcPr>
            <w:tcW w:w="3595" w:type="dxa"/>
            <w:tcBorders>
              <w:top w:val="single" w:sz="6" w:space="0" w:color="auto"/>
              <w:left w:val="single" w:sz="4" w:space="0" w:color="auto"/>
              <w:bottom w:val="single" w:sz="6" w:space="0" w:color="auto"/>
              <w:right w:val="single" w:sz="6" w:space="0" w:color="auto"/>
            </w:tcBorders>
            <w:hideMark/>
          </w:tcPr>
          <w:p w14:paraId="5595F527" w14:textId="77777777" w:rsidR="0077280E" w:rsidRDefault="0077280E">
            <w:pPr>
              <w:keepNext/>
              <w:keepLines/>
              <w:spacing w:after="0"/>
              <w:rPr>
                <w:rFonts w:ascii="Arial" w:eastAsia="?? ??" w:hAnsi="Arial"/>
                <w:bCs/>
                <w:sz w:val="18"/>
                <w:lang w:eastAsia="ko-KR"/>
              </w:rPr>
            </w:pPr>
            <w:r>
              <w:rPr>
                <w:rFonts w:ascii="Arial" w:eastAsia="?? ??" w:hAnsi="Arial"/>
                <w:bCs/>
                <w:sz w:val="18"/>
                <w:lang w:eastAsia="ko-KR"/>
              </w:rPr>
              <w:t>Number of information bits</w:t>
            </w:r>
          </w:p>
        </w:tc>
        <w:tc>
          <w:tcPr>
            <w:tcW w:w="2700" w:type="dxa"/>
            <w:tcBorders>
              <w:top w:val="single" w:sz="6" w:space="0" w:color="auto"/>
              <w:left w:val="single" w:sz="6" w:space="0" w:color="auto"/>
              <w:bottom w:val="single" w:sz="6" w:space="0" w:color="auto"/>
              <w:right w:val="single" w:sz="6" w:space="0" w:color="auto"/>
            </w:tcBorders>
            <w:hideMark/>
          </w:tcPr>
          <w:p w14:paraId="74EAAD76" w14:textId="77777777" w:rsidR="0077280E" w:rsidRDefault="0077280E">
            <w:pPr>
              <w:keepNext/>
              <w:keepLines/>
              <w:spacing w:after="0"/>
              <w:rPr>
                <w:rFonts w:ascii="Arial" w:eastAsia="?? ??" w:hAnsi="Arial"/>
                <w:bCs/>
                <w:sz w:val="18"/>
                <w:lang w:eastAsia="ko-KR"/>
              </w:rPr>
            </w:pPr>
            <w:r>
              <w:rPr>
                <w:rFonts w:ascii="Arial" w:eastAsia="?? ??" w:hAnsi="Arial"/>
                <w:bCs/>
                <w:sz w:val="18"/>
                <w:lang w:eastAsia="ko-KR"/>
              </w:rPr>
              <w:t>22 bits</w:t>
            </w:r>
          </w:p>
        </w:tc>
        <w:tc>
          <w:tcPr>
            <w:tcW w:w="3150" w:type="dxa"/>
            <w:tcBorders>
              <w:top w:val="single" w:sz="6" w:space="0" w:color="auto"/>
              <w:left w:val="single" w:sz="6" w:space="0" w:color="auto"/>
              <w:bottom w:val="single" w:sz="6" w:space="0" w:color="auto"/>
              <w:right w:val="single" w:sz="4" w:space="0" w:color="auto"/>
            </w:tcBorders>
            <w:hideMark/>
          </w:tcPr>
          <w:p w14:paraId="6A0D6EF7" w14:textId="77777777" w:rsidR="0077280E" w:rsidRDefault="0077280E">
            <w:pPr>
              <w:keepNext/>
              <w:keepLines/>
              <w:spacing w:after="0"/>
              <w:rPr>
                <w:rFonts w:ascii="Arial" w:eastAsia="?? ??" w:hAnsi="Arial"/>
                <w:bCs/>
                <w:sz w:val="18"/>
                <w:lang w:eastAsia="ko-KR"/>
              </w:rPr>
            </w:pPr>
            <w:r>
              <w:rPr>
                <w:rFonts w:ascii="Arial" w:eastAsia="?? ??" w:hAnsi="Arial"/>
                <w:bCs/>
                <w:sz w:val="18"/>
                <w:lang w:eastAsia="ko-KR"/>
              </w:rPr>
              <w:t>22 bits</w:t>
            </w:r>
          </w:p>
        </w:tc>
      </w:tr>
      <w:tr w:rsidR="0077280E" w:rsidRPr="0077280E" w14:paraId="4C3A9803" w14:textId="77777777" w:rsidTr="00DC52CA">
        <w:trPr>
          <w:trHeight w:val="201"/>
          <w:jc w:val="center"/>
        </w:trPr>
        <w:tc>
          <w:tcPr>
            <w:tcW w:w="3595" w:type="dxa"/>
            <w:tcBorders>
              <w:top w:val="single" w:sz="6" w:space="0" w:color="auto"/>
              <w:left w:val="single" w:sz="4" w:space="0" w:color="auto"/>
              <w:bottom w:val="single" w:sz="6" w:space="0" w:color="auto"/>
              <w:right w:val="single" w:sz="6" w:space="0" w:color="auto"/>
            </w:tcBorders>
            <w:hideMark/>
          </w:tcPr>
          <w:p w14:paraId="29331BA3" w14:textId="77777777" w:rsidR="0077280E" w:rsidRDefault="0077280E">
            <w:pPr>
              <w:keepNext/>
              <w:keepLines/>
              <w:spacing w:after="0"/>
              <w:rPr>
                <w:rFonts w:ascii="Arial" w:eastAsia="?? ??" w:hAnsi="Arial"/>
                <w:bCs/>
                <w:sz w:val="18"/>
                <w:lang w:eastAsia="ko-KR"/>
              </w:rPr>
            </w:pPr>
            <w:r>
              <w:rPr>
                <w:rFonts w:ascii="Arial" w:eastAsia="?? ??" w:hAnsi="Arial"/>
                <w:bCs/>
                <w:sz w:val="18"/>
                <w:lang w:eastAsia="ko-KR"/>
              </w:rPr>
              <w:t>System Bandwidth</w:t>
            </w:r>
          </w:p>
        </w:tc>
        <w:tc>
          <w:tcPr>
            <w:tcW w:w="2700" w:type="dxa"/>
            <w:tcBorders>
              <w:top w:val="single" w:sz="6" w:space="0" w:color="auto"/>
              <w:left w:val="single" w:sz="6" w:space="0" w:color="auto"/>
              <w:bottom w:val="single" w:sz="6" w:space="0" w:color="auto"/>
              <w:right w:val="single" w:sz="6" w:space="0" w:color="auto"/>
            </w:tcBorders>
            <w:hideMark/>
          </w:tcPr>
          <w:p w14:paraId="28B80007" w14:textId="77777777" w:rsidR="0077280E" w:rsidRDefault="0077280E">
            <w:pPr>
              <w:keepNext/>
              <w:keepLines/>
              <w:spacing w:after="0"/>
              <w:rPr>
                <w:rFonts w:ascii="Arial" w:eastAsia="?? ??" w:hAnsi="Arial"/>
                <w:bCs/>
                <w:sz w:val="18"/>
                <w:lang w:eastAsia="ko-KR"/>
              </w:rPr>
            </w:pPr>
            <w:r>
              <w:rPr>
                <w:rFonts w:ascii="Arial" w:eastAsia="?? ??" w:hAnsi="Arial"/>
                <w:bCs/>
                <w:sz w:val="18"/>
                <w:lang w:eastAsia="ko-KR"/>
              </w:rPr>
              <w:t>200kHz</w:t>
            </w:r>
          </w:p>
        </w:tc>
        <w:tc>
          <w:tcPr>
            <w:tcW w:w="3150" w:type="dxa"/>
            <w:tcBorders>
              <w:top w:val="single" w:sz="6" w:space="0" w:color="auto"/>
              <w:left w:val="single" w:sz="6" w:space="0" w:color="auto"/>
              <w:bottom w:val="single" w:sz="6" w:space="0" w:color="auto"/>
              <w:right w:val="single" w:sz="4" w:space="0" w:color="auto"/>
            </w:tcBorders>
            <w:hideMark/>
          </w:tcPr>
          <w:p w14:paraId="35E5CEC8" w14:textId="77777777" w:rsidR="0077280E" w:rsidRDefault="0077280E">
            <w:pPr>
              <w:keepNext/>
              <w:keepLines/>
              <w:spacing w:after="0"/>
              <w:rPr>
                <w:rFonts w:ascii="Arial" w:eastAsia="?? ??" w:hAnsi="Arial"/>
                <w:bCs/>
                <w:sz w:val="18"/>
                <w:lang w:eastAsia="ko-KR"/>
              </w:rPr>
            </w:pPr>
            <w:r>
              <w:rPr>
                <w:rFonts w:ascii="Arial" w:eastAsia="?? ??" w:hAnsi="Arial"/>
                <w:bCs/>
                <w:sz w:val="18"/>
                <w:lang w:eastAsia="ko-KR"/>
              </w:rPr>
              <w:t>200kHz</w:t>
            </w:r>
          </w:p>
        </w:tc>
      </w:tr>
      <w:tr w:rsidR="0077280E" w:rsidRPr="0077280E" w14:paraId="7B2CC225" w14:textId="77777777" w:rsidTr="00DC52CA">
        <w:trPr>
          <w:trHeight w:val="201"/>
          <w:jc w:val="center"/>
        </w:trPr>
        <w:tc>
          <w:tcPr>
            <w:tcW w:w="3595" w:type="dxa"/>
            <w:tcBorders>
              <w:top w:val="single" w:sz="6" w:space="0" w:color="auto"/>
              <w:left w:val="single" w:sz="4" w:space="0" w:color="auto"/>
              <w:bottom w:val="single" w:sz="6" w:space="0" w:color="auto"/>
              <w:right w:val="single" w:sz="6" w:space="0" w:color="auto"/>
            </w:tcBorders>
            <w:hideMark/>
          </w:tcPr>
          <w:p w14:paraId="7EE67E42" w14:textId="77777777" w:rsidR="0077280E" w:rsidRPr="0077280E" w:rsidRDefault="0077280E">
            <w:pPr>
              <w:keepNext/>
              <w:keepLines/>
              <w:spacing w:after="0"/>
              <w:rPr>
                <w:rFonts w:ascii="Arial" w:eastAsia="?? ??" w:hAnsi="Arial"/>
                <w:bCs/>
                <w:sz w:val="18"/>
                <w:lang w:eastAsia="ko-KR"/>
              </w:rPr>
            </w:pPr>
            <w:r w:rsidRPr="0077280E">
              <w:rPr>
                <w:rFonts w:ascii="Arial" w:eastAsia="?? ??" w:hAnsi="Arial"/>
                <w:bCs/>
                <w:sz w:val="18"/>
                <w:lang w:eastAsia="ko-KR"/>
              </w:rPr>
              <w:t>Antenna configuration</w:t>
            </w:r>
          </w:p>
        </w:tc>
        <w:tc>
          <w:tcPr>
            <w:tcW w:w="2700" w:type="dxa"/>
            <w:tcBorders>
              <w:top w:val="single" w:sz="6" w:space="0" w:color="auto"/>
              <w:left w:val="single" w:sz="6" w:space="0" w:color="auto"/>
              <w:bottom w:val="single" w:sz="6" w:space="0" w:color="auto"/>
              <w:right w:val="single" w:sz="6" w:space="0" w:color="auto"/>
            </w:tcBorders>
            <w:hideMark/>
          </w:tcPr>
          <w:p w14:paraId="6B869BA4" w14:textId="77777777" w:rsidR="0077280E" w:rsidRPr="0077280E" w:rsidRDefault="0077280E">
            <w:pPr>
              <w:keepNext/>
              <w:keepLines/>
              <w:spacing w:after="0"/>
              <w:rPr>
                <w:rFonts w:ascii="Arial" w:eastAsia="?? ??" w:hAnsi="Arial"/>
                <w:bCs/>
                <w:sz w:val="18"/>
                <w:lang w:eastAsia="ko-KR"/>
              </w:rPr>
            </w:pPr>
            <w:r w:rsidRPr="0077280E">
              <w:rPr>
                <w:rFonts w:ascii="Arial" w:eastAsia="?? ??" w:hAnsi="Arial"/>
                <w:bCs/>
                <w:sz w:val="18"/>
                <w:lang w:eastAsia="ko-KR"/>
              </w:rPr>
              <w:t>2x1</w:t>
            </w:r>
          </w:p>
        </w:tc>
        <w:tc>
          <w:tcPr>
            <w:tcW w:w="3150" w:type="dxa"/>
            <w:tcBorders>
              <w:top w:val="single" w:sz="6" w:space="0" w:color="auto"/>
              <w:left w:val="single" w:sz="6" w:space="0" w:color="auto"/>
              <w:bottom w:val="single" w:sz="6" w:space="0" w:color="auto"/>
              <w:right w:val="single" w:sz="4" w:space="0" w:color="auto"/>
            </w:tcBorders>
            <w:hideMark/>
          </w:tcPr>
          <w:p w14:paraId="260DD18D" w14:textId="77777777" w:rsidR="0077280E" w:rsidRPr="0077280E" w:rsidRDefault="0077280E">
            <w:pPr>
              <w:keepNext/>
              <w:keepLines/>
              <w:spacing w:after="0"/>
              <w:rPr>
                <w:rFonts w:ascii="Arial" w:eastAsia="?? ??" w:hAnsi="Arial"/>
                <w:bCs/>
                <w:sz w:val="18"/>
                <w:lang w:eastAsia="ko-KR"/>
              </w:rPr>
            </w:pPr>
            <w:r w:rsidRPr="0077280E">
              <w:rPr>
                <w:rFonts w:ascii="Arial" w:eastAsia="?? ??" w:hAnsi="Arial"/>
                <w:bCs/>
                <w:sz w:val="18"/>
                <w:lang w:eastAsia="ko-KR"/>
              </w:rPr>
              <w:t xml:space="preserve">2x1 </w:t>
            </w:r>
          </w:p>
        </w:tc>
      </w:tr>
      <w:tr w:rsidR="0077280E" w:rsidRPr="0077280E" w14:paraId="317562EC" w14:textId="77777777" w:rsidTr="00DC52CA">
        <w:trPr>
          <w:trHeight w:val="201"/>
          <w:jc w:val="center"/>
        </w:trPr>
        <w:tc>
          <w:tcPr>
            <w:tcW w:w="3595" w:type="dxa"/>
            <w:tcBorders>
              <w:top w:val="single" w:sz="6" w:space="0" w:color="auto"/>
              <w:left w:val="single" w:sz="4" w:space="0" w:color="auto"/>
              <w:bottom w:val="single" w:sz="6" w:space="0" w:color="auto"/>
              <w:right w:val="single" w:sz="6" w:space="0" w:color="auto"/>
            </w:tcBorders>
            <w:hideMark/>
          </w:tcPr>
          <w:p w14:paraId="7F2100EB" w14:textId="77777777" w:rsidR="0077280E" w:rsidRPr="00DC52CA" w:rsidRDefault="0077280E">
            <w:pPr>
              <w:pStyle w:val="TAL"/>
              <w:rPr>
                <w:rFonts w:eastAsia="?? ??"/>
                <w:b/>
                <w:bCs/>
                <w:color w:val="auto"/>
                <w:lang w:eastAsia="en-US"/>
              </w:rPr>
            </w:pPr>
            <w:r w:rsidRPr="00DC52CA">
              <w:rPr>
                <w:rFonts w:eastAsia="?? ??"/>
                <w:b/>
                <w:bCs/>
                <w:color w:val="auto"/>
              </w:rPr>
              <w:t>Maximum NPDCCH Repetition level</w:t>
            </w:r>
          </w:p>
        </w:tc>
        <w:tc>
          <w:tcPr>
            <w:tcW w:w="2700" w:type="dxa"/>
            <w:tcBorders>
              <w:top w:val="single" w:sz="6" w:space="0" w:color="auto"/>
              <w:left w:val="single" w:sz="6" w:space="0" w:color="auto"/>
              <w:bottom w:val="single" w:sz="6" w:space="0" w:color="auto"/>
              <w:right w:val="single" w:sz="6" w:space="0" w:color="auto"/>
            </w:tcBorders>
            <w:hideMark/>
          </w:tcPr>
          <w:p w14:paraId="302D44C3" w14:textId="77777777" w:rsidR="0077280E" w:rsidRPr="00DC52CA" w:rsidRDefault="0077280E">
            <w:pPr>
              <w:pStyle w:val="TAL"/>
              <w:rPr>
                <w:rFonts w:eastAsia="MS Mincho"/>
                <w:b/>
                <w:color w:val="auto"/>
                <w:lang w:eastAsia="ja-JP"/>
              </w:rPr>
            </w:pPr>
            <w:r w:rsidRPr="00DC52CA">
              <w:rPr>
                <w:rFonts w:eastAsia="MS Mincho"/>
                <w:b/>
                <w:color w:val="auto"/>
                <w:lang w:eastAsia="ja-JP"/>
              </w:rPr>
              <w:t>R</w:t>
            </w:r>
            <w:r w:rsidRPr="00DC52CA">
              <w:rPr>
                <w:rFonts w:eastAsia="MS Mincho"/>
                <w:b/>
                <w:color w:val="auto"/>
                <w:vertAlign w:val="subscript"/>
                <w:lang w:eastAsia="ja-JP"/>
              </w:rPr>
              <w:t>max</w:t>
            </w:r>
            <w:r w:rsidRPr="00DC52CA">
              <w:rPr>
                <w:rFonts w:eastAsia="MS Mincho"/>
                <w:b/>
                <w:color w:val="auto"/>
                <w:vertAlign w:val="superscript"/>
                <w:lang w:eastAsia="ja-JP"/>
              </w:rPr>
              <w:t>Note1</w:t>
            </w:r>
          </w:p>
        </w:tc>
        <w:tc>
          <w:tcPr>
            <w:tcW w:w="3150" w:type="dxa"/>
            <w:tcBorders>
              <w:top w:val="single" w:sz="6" w:space="0" w:color="auto"/>
              <w:left w:val="single" w:sz="6" w:space="0" w:color="auto"/>
              <w:bottom w:val="single" w:sz="6" w:space="0" w:color="auto"/>
              <w:right w:val="single" w:sz="4" w:space="0" w:color="auto"/>
            </w:tcBorders>
            <w:hideMark/>
          </w:tcPr>
          <w:p w14:paraId="53B3BD63" w14:textId="77777777" w:rsidR="0077280E" w:rsidRPr="00DC52CA" w:rsidRDefault="0077280E">
            <w:pPr>
              <w:pStyle w:val="TAL"/>
              <w:rPr>
                <w:rFonts w:eastAsia="MS Mincho"/>
                <w:b/>
                <w:color w:val="auto"/>
                <w:lang w:eastAsia="ja-JP"/>
              </w:rPr>
            </w:pPr>
            <w:r w:rsidRPr="00DC52CA">
              <w:rPr>
                <w:rFonts w:eastAsia="MS Mincho"/>
                <w:b/>
                <w:color w:val="auto"/>
                <w:lang w:eastAsia="ja-JP"/>
              </w:rPr>
              <w:t>R</w:t>
            </w:r>
            <w:r w:rsidRPr="00DC52CA">
              <w:rPr>
                <w:rFonts w:eastAsia="MS Mincho"/>
                <w:b/>
                <w:color w:val="auto"/>
                <w:vertAlign w:val="subscript"/>
                <w:lang w:eastAsia="ja-JP"/>
              </w:rPr>
              <w:t>max</w:t>
            </w:r>
            <w:r w:rsidRPr="00DC52CA">
              <w:rPr>
                <w:rFonts w:eastAsia="MS Mincho"/>
                <w:b/>
                <w:color w:val="auto"/>
                <w:lang w:eastAsia="ja-JP"/>
              </w:rPr>
              <w:t>/[4]</w:t>
            </w:r>
            <w:r w:rsidRPr="00DC52CA">
              <w:rPr>
                <w:rFonts w:eastAsia="MS Mincho"/>
                <w:b/>
                <w:color w:val="auto"/>
                <w:vertAlign w:val="superscript"/>
                <w:lang w:eastAsia="ja-JP"/>
              </w:rPr>
              <w:t xml:space="preserve"> Note1</w:t>
            </w:r>
          </w:p>
        </w:tc>
      </w:tr>
      <w:tr w:rsidR="0077280E" w:rsidRPr="0077280E" w14:paraId="076E43B2" w14:textId="77777777" w:rsidTr="00DC52CA">
        <w:trPr>
          <w:jc w:val="center"/>
        </w:trPr>
        <w:tc>
          <w:tcPr>
            <w:tcW w:w="3595" w:type="dxa"/>
            <w:tcBorders>
              <w:top w:val="single" w:sz="6" w:space="0" w:color="auto"/>
              <w:left w:val="single" w:sz="4" w:space="0" w:color="auto"/>
              <w:bottom w:val="single" w:sz="6" w:space="0" w:color="auto"/>
              <w:right w:val="single" w:sz="6" w:space="0" w:color="auto"/>
            </w:tcBorders>
            <w:hideMark/>
          </w:tcPr>
          <w:p w14:paraId="7F60B70C" w14:textId="77777777" w:rsidR="0077280E" w:rsidRPr="0077280E" w:rsidRDefault="0077280E">
            <w:pPr>
              <w:keepNext/>
              <w:keepLines/>
              <w:spacing w:after="0"/>
              <w:rPr>
                <w:rFonts w:ascii="Arial" w:eastAsia="?? ??" w:hAnsi="Arial"/>
                <w:bCs/>
                <w:sz w:val="18"/>
                <w:lang w:eastAsia="ko-KR"/>
              </w:rPr>
            </w:pPr>
            <w:r w:rsidRPr="0077280E">
              <w:rPr>
                <w:rFonts w:ascii="Arial" w:eastAsia="?? ??" w:hAnsi="Arial"/>
                <w:bCs/>
                <w:sz w:val="18"/>
                <w:lang w:eastAsia="ko-KR"/>
              </w:rPr>
              <w:t>Aggregation level</w:t>
            </w:r>
          </w:p>
        </w:tc>
        <w:tc>
          <w:tcPr>
            <w:tcW w:w="2700" w:type="dxa"/>
            <w:tcBorders>
              <w:top w:val="single" w:sz="6" w:space="0" w:color="auto"/>
              <w:left w:val="single" w:sz="6" w:space="0" w:color="auto"/>
              <w:bottom w:val="single" w:sz="6" w:space="0" w:color="auto"/>
              <w:right w:val="single" w:sz="6" w:space="0" w:color="auto"/>
            </w:tcBorders>
            <w:hideMark/>
          </w:tcPr>
          <w:p w14:paraId="3C5B33DB" w14:textId="77777777" w:rsidR="0077280E" w:rsidRPr="0077280E" w:rsidRDefault="0077280E">
            <w:pPr>
              <w:keepNext/>
              <w:keepLines/>
              <w:spacing w:after="0"/>
              <w:rPr>
                <w:rFonts w:ascii="Arial" w:eastAsia="?? ??" w:hAnsi="Arial"/>
                <w:bCs/>
                <w:sz w:val="18"/>
                <w:lang w:eastAsia="ko-KR"/>
              </w:rPr>
            </w:pPr>
            <w:r w:rsidRPr="0077280E">
              <w:rPr>
                <w:rFonts w:eastAsia="?? ??"/>
                <w:bCs/>
              </w:rPr>
              <w:t>2</w:t>
            </w:r>
          </w:p>
        </w:tc>
        <w:tc>
          <w:tcPr>
            <w:tcW w:w="3150" w:type="dxa"/>
            <w:tcBorders>
              <w:top w:val="single" w:sz="6" w:space="0" w:color="auto"/>
              <w:left w:val="single" w:sz="6" w:space="0" w:color="auto"/>
              <w:bottom w:val="single" w:sz="6" w:space="0" w:color="auto"/>
              <w:right w:val="single" w:sz="4" w:space="0" w:color="auto"/>
            </w:tcBorders>
            <w:hideMark/>
          </w:tcPr>
          <w:p w14:paraId="11E13300" w14:textId="77777777" w:rsidR="0077280E" w:rsidRPr="0077280E" w:rsidRDefault="0077280E">
            <w:pPr>
              <w:keepNext/>
              <w:keepLines/>
              <w:spacing w:after="0"/>
              <w:rPr>
                <w:rFonts w:ascii="Arial" w:eastAsia="?? ??" w:hAnsi="Arial"/>
                <w:bCs/>
                <w:sz w:val="18"/>
                <w:lang w:eastAsia="ko-KR"/>
              </w:rPr>
            </w:pPr>
            <w:r w:rsidRPr="0077280E">
              <w:rPr>
                <w:rFonts w:eastAsia="?? ??"/>
                <w:bCs/>
              </w:rPr>
              <w:t>2</w:t>
            </w:r>
          </w:p>
        </w:tc>
      </w:tr>
      <w:tr w:rsidR="0077280E" w:rsidRPr="0077280E" w14:paraId="36609CB0" w14:textId="77777777" w:rsidTr="00DC52CA">
        <w:trPr>
          <w:jc w:val="center"/>
        </w:trPr>
        <w:tc>
          <w:tcPr>
            <w:tcW w:w="3595" w:type="dxa"/>
            <w:tcBorders>
              <w:top w:val="single" w:sz="6" w:space="0" w:color="auto"/>
              <w:left w:val="single" w:sz="4" w:space="0" w:color="auto"/>
              <w:bottom w:val="single" w:sz="6" w:space="0" w:color="auto"/>
              <w:right w:val="single" w:sz="6" w:space="0" w:color="auto"/>
            </w:tcBorders>
            <w:hideMark/>
          </w:tcPr>
          <w:p w14:paraId="2C27BC16" w14:textId="77777777" w:rsidR="0077280E" w:rsidRPr="0077280E" w:rsidRDefault="0077280E">
            <w:pPr>
              <w:pStyle w:val="TAL"/>
              <w:rPr>
                <w:rFonts w:eastAsia="?? ??"/>
                <w:bCs/>
                <w:color w:val="auto"/>
                <w:lang w:eastAsia="en-US"/>
              </w:rPr>
            </w:pPr>
            <w:r w:rsidRPr="0077280E">
              <w:rPr>
                <w:rFonts w:eastAsia="?? ??"/>
                <w:bCs/>
                <w:color w:val="auto"/>
              </w:rPr>
              <w:t>DRX</w:t>
            </w:r>
          </w:p>
        </w:tc>
        <w:tc>
          <w:tcPr>
            <w:tcW w:w="2700" w:type="dxa"/>
            <w:tcBorders>
              <w:top w:val="single" w:sz="6" w:space="0" w:color="auto"/>
              <w:left w:val="single" w:sz="6" w:space="0" w:color="auto"/>
              <w:bottom w:val="single" w:sz="6" w:space="0" w:color="auto"/>
              <w:right w:val="single" w:sz="6" w:space="0" w:color="auto"/>
            </w:tcBorders>
            <w:hideMark/>
          </w:tcPr>
          <w:p w14:paraId="0B676938" w14:textId="77777777" w:rsidR="0077280E" w:rsidRPr="0077280E" w:rsidRDefault="0077280E">
            <w:pPr>
              <w:pStyle w:val="TAL"/>
              <w:rPr>
                <w:rFonts w:eastAsia="?? ??"/>
                <w:bCs/>
                <w:color w:val="auto"/>
              </w:rPr>
            </w:pPr>
            <w:r w:rsidRPr="0077280E">
              <w:rPr>
                <w:rFonts w:eastAsia="?? ??"/>
                <w:bCs/>
                <w:color w:val="auto"/>
              </w:rPr>
              <w:t>OFF</w:t>
            </w:r>
          </w:p>
        </w:tc>
        <w:tc>
          <w:tcPr>
            <w:tcW w:w="3150" w:type="dxa"/>
            <w:tcBorders>
              <w:top w:val="single" w:sz="6" w:space="0" w:color="auto"/>
              <w:left w:val="single" w:sz="6" w:space="0" w:color="auto"/>
              <w:bottom w:val="single" w:sz="6" w:space="0" w:color="auto"/>
              <w:right w:val="single" w:sz="4" w:space="0" w:color="auto"/>
            </w:tcBorders>
            <w:hideMark/>
          </w:tcPr>
          <w:p w14:paraId="193C38ED" w14:textId="77777777" w:rsidR="0077280E" w:rsidRPr="0077280E" w:rsidRDefault="0077280E">
            <w:pPr>
              <w:pStyle w:val="TAL"/>
              <w:rPr>
                <w:rFonts w:eastAsia="?? ??"/>
                <w:bCs/>
                <w:color w:val="auto"/>
              </w:rPr>
            </w:pPr>
            <w:r w:rsidRPr="0077280E">
              <w:rPr>
                <w:rFonts w:eastAsia="?? ??"/>
                <w:bCs/>
                <w:color w:val="auto"/>
              </w:rPr>
              <w:t>OFF</w:t>
            </w:r>
          </w:p>
        </w:tc>
      </w:tr>
      <w:tr w:rsidR="0077280E" w:rsidRPr="0077280E" w14:paraId="6AC0E448" w14:textId="77777777" w:rsidTr="00DC52CA">
        <w:trPr>
          <w:jc w:val="center"/>
        </w:trPr>
        <w:tc>
          <w:tcPr>
            <w:tcW w:w="3595" w:type="dxa"/>
            <w:tcBorders>
              <w:top w:val="single" w:sz="6" w:space="0" w:color="auto"/>
              <w:left w:val="single" w:sz="4" w:space="0" w:color="auto"/>
              <w:bottom w:val="single" w:sz="6" w:space="0" w:color="auto"/>
              <w:right w:val="single" w:sz="6" w:space="0" w:color="auto"/>
            </w:tcBorders>
            <w:hideMark/>
          </w:tcPr>
          <w:p w14:paraId="3367D571" w14:textId="77777777" w:rsidR="0077280E" w:rsidRPr="0077280E" w:rsidRDefault="0077280E">
            <w:pPr>
              <w:pStyle w:val="TAL"/>
              <w:rPr>
                <w:rFonts w:eastAsia="?? ??"/>
                <w:bCs/>
                <w:color w:val="auto"/>
              </w:rPr>
            </w:pPr>
            <w:r w:rsidRPr="0077280E">
              <w:rPr>
                <w:rFonts w:eastAsia="?? ??"/>
                <w:bCs/>
                <w:color w:val="auto"/>
              </w:rPr>
              <w:t>Deployment mode</w:t>
            </w:r>
          </w:p>
        </w:tc>
        <w:tc>
          <w:tcPr>
            <w:tcW w:w="2700" w:type="dxa"/>
            <w:tcBorders>
              <w:top w:val="single" w:sz="6" w:space="0" w:color="auto"/>
              <w:left w:val="single" w:sz="6" w:space="0" w:color="auto"/>
              <w:bottom w:val="single" w:sz="6" w:space="0" w:color="auto"/>
              <w:right w:val="single" w:sz="6" w:space="0" w:color="auto"/>
            </w:tcBorders>
            <w:hideMark/>
          </w:tcPr>
          <w:p w14:paraId="31743129" w14:textId="77777777" w:rsidR="0077280E" w:rsidRPr="0077280E" w:rsidRDefault="0077280E">
            <w:pPr>
              <w:pStyle w:val="TAL"/>
              <w:rPr>
                <w:rFonts w:eastAsia="?? ??"/>
                <w:bCs/>
                <w:color w:val="auto"/>
              </w:rPr>
            </w:pPr>
            <w:r w:rsidRPr="0077280E">
              <w:rPr>
                <w:rFonts w:eastAsia="?? ??"/>
                <w:bCs/>
                <w:color w:val="auto"/>
              </w:rPr>
              <w:t xml:space="preserve"> In-band</w:t>
            </w:r>
          </w:p>
        </w:tc>
        <w:tc>
          <w:tcPr>
            <w:tcW w:w="3150" w:type="dxa"/>
            <w:tcBorders>
              <w:top w:val="single" w:sz="6" w:space="0" w:color="auto"/>
              <w:left w:val="single" w:sz="6" w:space="0" w:color="auto"/>
              <w:bottom w:val="single" w:sz="6" w:space="0" w:color="auto"/>
              <w:right w:val="single" w:sz="4" w:space="0" w:color="auto"/>
            </w:tcBorders>
            <w:hideMark/>
          </w:tcPr>
          <w:p w14:paraId="518EB4F4" w14:textId="77777777" w:rsidR="0077280E" w:rsidRPr="0077280E" w:rsidRDefault="0077280E">
            <w:pPr>
              <w:pStyle w:val="TAL"/>
              <w:rPr>
                <w:rFonts w:eastAsia="?? ??"/>
                <w:bCs/>
                <w:color w:val="auto"/>
              </w:rPr>
            </w:pPr>
            <w:r w:rsidRPr="0077280E">
              <w:rPr>
                <w:rFonts w:eastAsia="?? ??"/>
                <w:bCs/>
                <w:color w:val="auto"/>
              </w:rPr>
              <w:t xml:space="preserve"> In-band</w:t>
            </w:r>
          </w:p>
        </w:tc>
      </w:tr>
      <w:tr w:rsidR="0077280E" w:rsidRPr="0077280E" w14:paraId="4E76D8A1" w14:textId="77777777" w:rsidTr="0077280E">
        <w:trPr>
          <w:jc w:val="center"/>
        </w:trPr>
        <w:tc>
          <w:tcPr>
            <w:tcW w:w="9445" w:type="dxa"/>
            <w:gridSpan w:val="3"/>
            <w:tcBorders>
              <w:top w:val="single" w:sz="6" w:space="0" w:color="auto"/>
              <w:left w:val="single" w:sz="4" w:space="0" w:color="auto"/>
              <w:bottom w:val="single" w:sz="4" w:space="0" w:color="auto"/>
              <w:right w:val="single" w:sz="4" w:space="0" w:color="auto"/>
            </w:tcBorders>
            <w:hideMark/>
          </w:tcPr>
          <w:p w14:paraId="050290BA" w14:textId="77777777" w:rsidR="0077280E" w:rsidRPr="0077280E" w:rsidRDefault="0077280E">
            <w:pPr>
              <w:pStyle w:val="TAN"/>
              <w:rPr>
                <w:rFonts w:eastAsia="MS Mincho"/>
                <w:color w:val="auto"/>
                <w:lang w:eastAsia="ja-JP"/>
              </w:rPr>
            </w:pPr>
            <w:r w:rsidRPr="0077280E">
              <w:rPr>
                <w:rFonts w:eastAsia="MS Mincho"/>
                <w:color w:val="auto"/>
                <w:lang w:eastAsia="ja-JP"/>
              </w:rPr>
              <w:t>NOTE 1:</w:t>
            </w:r>
            <w:r w:rsidRPr="0077280E">
              <w:rPr>
                <w:rFonts w:eastAsia="MS Mincho"/>
                <w:color w:val="auto"/>
                <w:lang w:eastAsia="ja-JP"/>
              </w:rPr>
              <w:tab/>
              <w:t>R</w:t>
            </w:r>
            <w:r w:rsidRPr="0077280E">
              <w:rPr>
                <w:rFonts w:eastAsia="MS Mincho"/>
                <w:color w:val="auto"/>
                <w:vertAlign w:val="subscript"/>
                <w:lang w:eastAsia="ja-JP"/>
              </w:rPr>
              <w:t>max</w:t>
            </w:r>
            <w:r w:rsidRPr="0077280E">
              <w:rPr>
                <w:rFonts w:eastAsia="MS Mincho"/>
                <w:color w:val="auto"/>
                <w:lang w:eastAsia="ja-JP"/>
              </w:rPr>
              <w:t xml:space="preserve"> is a configurable parameter defined in TS 36.331[2].</w:t>
            </w:r>
          </w:p>
        </w:tc>
      </w:tr>
    </w:tbl>
    <w:p w14:paraId="22C253F1" w14:textId="77777777" w:rsidR="00C96E3B" w:rsidRDefault="00C96E3B" w:rsidP="00747A5B">
      <w:pPr>
        <w:rPr>
          <w:lang w:val="en-US" w:eastAsia="ko-KR"/>
        </w:rPr>
      </w:pPr>
    </w:p>
    <w:p w14:paraId="141AF7F4" w14:textId="4F1856CE" w:rsidR="00C96E3B" w:rsidRDefault="00C96E3B" w:rsidP="00747A5B">
      <w:pPr>
        <w:rPr>
          <w:lang w:val="en-US" w:eastAsia="ko-KR"/>
        </w:rPr>
      </w:pPr>
      <w:r>
        <w:rPr>
          <w:lang w:val="en-US" w:eastAsia="ko-KR"/>
        </w:rPr>
        <w:t xml:space="preserve">The maximum NPDCCH repetition level for in-sync was set as </w:t>
      </w:r>
      <w:r w:rsidRPr="0077280E">
        <w:rPr>
          <w:rFonts w:eastAsia="MS Mincho"/>
          <w:lang w:eastAsia="ja-JP"/>
        </w:rPr>
        <w:t>R</w:t>
      </w:r>
      <w:r w:rsidRPr="0077280E">
        <w:rPr>
          <w:rFonts w:eastAsia="MS Mincho"/>
          <w:vertAlign w:val="subscript"/>
          <w:lang w:eastAsia="ja-JP"/>
        </w:rPr>
        <w:t>max</w:t>
      </w:r>
      <w:r w:rsidRPr="0077280E">
        <w:rPr>
          <w:rFonts w:eastAsia="MS Mincho"/>
          <w:lang w:eastAsia="ja-JP"/>
        </w:rPr>
        <w:t>/</w:t>
      </w:r>
      <w:r>
        <w:rPr>
          <w:rFonts w:eastAsia="MS Mincho"/>
          <w:lang w:eastAsia="ja-JP"/>
        </w:rPr>
        <w:t xml:space="preserve">[4]. The square brackets around 4 was placed until NPDCCH performance with different </w:t>
      </w:r>
      <w:r w:rsidRPr="0077280E">
        <w:rPr>
          <w:rFonts w:eastAsia="MS Mincho"/>
          <w:lang w:eastAsia="ja-JP"/>
        </w:rPr>
        <w:t>R</w:t>
      </w:r>
      <w:r w:rsidRPr="0077280E">
        <w:rPr>
          <w:rFonts w:eastAsia="MS Mincho"/>
          <w:vertAlign w:val="subscript"/>
          <w:lang w:eastAsia="ja-JP"/>
        </w:rPr>
        <w:t>max</w:t>
      </w:r>
      <w:r>
        <w:rPr>
          <w:rFonts w:eastAsia="MS Mincho"/>
          <w:lang w:eastAsia="ja-JP"/>
        </w:rPr>
        <w:t xml:space="preserve"> is studied. Specifically, the intent was to ensure sufficient Qin-Qout threshold separation could be provided so that ping-pong between in-sunc and out-of-sync states does not occur due to downlink signal quality inaccuracy.</w:t>
      </w:r>
    </w:p>
    <w:p w14:paraId="7D26C05B" w14:textId="65AA7DAA" w:rsidR="00747A5B" w:rsidRDefault="00747A5B" w:rsidP="00747A5B">
      <w:pPr>
        <w:rPr>
          <w:color w:val="000000"/>
          <w:lang w:val="en-US"/>
        </w:rPr>
      </w:pPr>
      <w:r>
        <w:rPr>
          <w:color w:val="000000"/>
          <w:lang w:val="en-US"/>
        </w:rPr>
        <w:t xml:space="preserve">The following plot shows the NPDCCH BLER performance with respect to SNR(dB) for the following scenario </w:t>
      </w:r>
    </w:p>
    <w:tbl>
      <w:tblPr>
        <w:tblW w:w="3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90"/>
        <w:gridCol w:w="1308"/>
      </w:tblGrid>
      <w:tr w:rsidR="00747A5B" w:rsidRPr="005B5139" w14:paraId="1BE7E1FF" w14:textId="77777777" w:rsidTr="00747A5B">
        <w:trPr>
          <w:trHeight w:val="230"/>
          <w:jc w:val="center"/>
        </w:trPr>
        <w:tc>
          <w:tcPr>
            <w:tcW w:w="1260" w:type="dxa"/>
            <w:vMerge w:val="restart"/>
          </w:tcPr>
          <w:p w14:paraId="6E5AD9B1" w14:textId="77777777" w:rsidR="00747A5B" w:rsidRPr="005B5139" w:rsidRDefault="00747A5B"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Deployment Mode</w:t>
            </w:r>
          </w:p>
        </w:tc>
        <w:tc>
          <w:tcPr>
            <w:tcW w:w="1290" w:type="dxa"/>
            <w:vMerge w:val="restart"/>
          </w:tcPr>
          <w:p w14:paraId="02DDFD6F" w14:textId="77777777" w:rsidR="00747A5B" w:rsidRPr="005B5139" w:rsidRDefault="00747A5B"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Propagation Condition</w:t>
            </w:r>
          </w:p>
        </w:tc>
        <w:tc>
          <w:tcPr>
            <w:tcW w:w="1308" w:type="dxa"/>
            <w:vMerge w:val="restart"/>
          </w:tcPr>
          <w:p w14:paraId="33A63141" w14:textId="77777777" w:rsidR="00747A5B" w:rsidRPr="005B5139" w:rsidRDefault="00747A5B"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NRS ports</w:t>
            </w:r>
          </w:p>
        </w:tc>
      </w:tr>
      <w:tr w:rsidR="00747A5B" w:rsidRPr="005B5139" w14:paraId="6696AB95" w14:textId="77777777" w:rsidTr="00A1454C">
        <w:trPr>
          <w:trHeight w:val="395"/>
          <w:jc w:val="center"/>
        </w:trPr>
        <w:tc>
          <w:tcPr>
            <w:tcW w:w="1260" w:type="dxa"/>
            <w:vMerge/>
          </w:tcPr>
          <w:p w14:paraId="3252D902" w14:textId="77777777" w:rsidR="00747A5B" w:rsidRPr="005B5139" w:rsidRDefault="00747A5B" w:rsidP="007264ED">
            <w:pPr>
              <w:pStyle w:val="TAH"/>
              <w:rPr>
                <w:rFonts w:ascii="Times New Roman" w:eastAsia="Malgun Gothic" w:hAnsi="Times New Roman" w:cs="Times New Roman"/>
                <w:color w:val="auto"/>
                <w:kern w:val="0"/>
                <w:sz w:val="20"/>
                <w:lang w:val="en-US"/>
              </w:rPr>
            </w:pPr>
          </w:p>
        </w:tc>
        <w:tc>
          <w:tcPr>
            <w:tcW w:w="1290" w:type="dxa"/>
            <w:vMerge/>
          </w:tcPr>
          <w:p w14:paraId="49259C76" w14:textId="77777777" w:rsidR="00747A5B" w:rsidRPr="005B5139" w:rsidRDefault="00747A5B" w:rsidP="007264ED">
            <w:pPr>
              <w:pStyle w:val="TAH"/>
              <w:rPr>
                <w:rFonts w:ascii="Times New Roman" w:eastAsia="Malgun Gothic" w:hAnsi="Times New Roman" w:cs="Times New Roman"/>
                <w:color w:val="auto"/>
                <w:kern w:val="0"/>
                <w:sz w:val="20"/>
                <w:lang w:val="en-US"/>
              </w:rPr>
            </w:pPr>
          </w:p>
        </w:tc>
        <w:tc>
          <w:tcPr>
            <w:tcW w:w="1308" w:type="dxa"/>
            <w:vMerge/>
          </w:tcPr>
          <w:p w14:paraId="42F0365B" w14:textId="77777777" w:rsidR="00747A5B" w:rsidRPr="005B5139" w:rsidRDefault="00747A5B" w:rsidP="007264ED">
            <w:pPr>
              <w:pStyle w:val="TAH"/>
              <w:rPr>
                <w:rFonts w:ascii="Times New Roman" w:eastAsia="Malgun Gothic" w:hAnsi="Times New Roman" w:cs="Times New Roman"/>
                <w:color w:val="auto"/>
                <w:kern w:val="0"/>
                <w:sz w:val="20"/>
                <w:lang w:val="en-US"/>
              </w:rPr>
            </w:pPr>
          </w:p>
        </w:tc>
      </w:tr>
      <w:tr w:rsidR="00747A5B" w:rsidRPr="005B5139" w14:paraId="15D36DEC" w14:textId="77777777" w:rsidTr="00747A5B">
        <w:trPr>
          <w:trHeight w:val="106"/>
          <w:jc w:val="center"/>
        </w:trPr>
        <w:tc>
          <w:tcPr>
            <w:tcW w:w="1260" w:type="dxa"/>
            <w:vAlign w:val="center"/>
          </w:tcPr>
          <w:p w14:paraId="42C13790"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In-band</w:t>
            </w:r>
          </w:p>
        </w:tc>
        <w:tc>
          <w:tcPr>
            <w:tcW w:w="1290" w:type="dxa"/>
            <w:shd w:val="clear" w:color="auto" w:fill="auto"/>
            <w:vAlign w:val="center"/>
          </w:tcPr>
          <w:p w14:paraId="60125E35" w14:textId="1EBA6CA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EPA5</w:t>
            </w:r>
          </w:p>
        </w:tc>
        <w:tc>
          <w:tcPr>
            <w:tcW w:w="1308" w:type="dxa"/>
            <w:shd w:val="clear" w:color="auto" w:fill="auto"/>
            <w:vAlign w:val="center"/>
          </w:tcPr>
          <w:p w14:paraId="3BB50D7E"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r>
    </w:tbl>
    <w:p w14:paraId="5F6943C9" w14:textId="77777777" w:rsidR="00747A5B" w:rsidRDefault="00747A5B" w:rsidP="00747A5B">
      <w:pPr>
        <w:rPr>
          <w:color w:val="000000"/>
          <w:lang w:val="en-US"/>
        </w:rPr>
      </w:pP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075"/>
        <w:gridCol w:w="1974"/>
      </w:tblGrid>
      <w:tr w:rsidR="00747A5B" w:rsidRPr="005B5139" w14:paraId="262E263E" w14:textId="77777777" w:rsidTr="00747A5B">
        <w:trPr>
          <w:jc w:val="center"/>
        </w:trPr>
        <w:tc>
          <w:tcPr>
            <w:tcW w:w="2225" w:type="dxa"/>
            <w:tcBorders>
              <w:top w:val="single" w:sz="4" w:space="0" w:color="auto"/>
              <w:left w:val="single" w:sz="4" w:space="0" w:color="auto"/>
              <w:bottom w:val="single" w:sz="4" w:space="0" w:color="auto"/>
              <w:right w:val="single" w:sz="4" w:space="0" w:color="auto"/>
            </w:tcBorders>
            <w:hideMark/>
          </w:tcPr>
          <w:p w14:paraId="47EA1901" w14:textId="77777777" w:rsidR="00747A5B" w:rsidRPr="005B5139" w:rsidRDefault="00747A5B"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Parameter</w:t>
            </w:r>
          </w:p>
        </w:tc>
        <w:tc>
          <w:tcPr>
            <w:tcW w:w="1075" w:type="dxa"/>
            <w:tcBorders>
              <w:top w:val="single" w:sz="4" w:space="0" w:color="auto"/>
              <w:left w:val="single" w:sz="4" w:space="0" w:color="auto"/>
              <w:bottom w:val="single" w:sz="4" w:space="0" w:color="auto"/>
              <w:right w:val="single" w:sz="4" w:space="0" w:color="auto"/>
            </w:tcBorders>
            <w:hideMark/>
          </w:tcPr>
          <w:p w14:paraId="7ACE03BE" w14:textId="77777777" w:rsidR="00747A5B" w:rsidRPr="005B5139" w:rsidRDefault="00747A5B"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Unit</w:t>
            </w:r>
          </w:p>
        </w:tc>
        <w:tc>
          <w:tcPr>
            <w:tcW w:w="1974" w:type="dxa"/>
            <w:tcBorders>
              <w:top w:val="single" w:sz="4" w:space="0" w:color="auto"/>
              <w:left w:val="single" w:sz="4" w:space="0" w:color="auto"/>
              <w:bottom w:val="single" w:sz="4" w:space="0" w:color="auto"/>
              <w:right w:val="single" w:sz="4" w:space="0" w:color="auto"/>
            </w:tcBorders>
          </w:tcPr>
          <w:p w14:paraId="5F003640" w14:textId="77777777" w:rsidR="00747A5B" w:rsidRPr="005B5139" w:rsidRDefault="00747A5B"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Value</w:t>
            </w:r>
          </w:p>
        </w:tc>
      </w:tr>
      <w:tr w:rsidR="00747A5B" w:rsidRPr="005B5139" w14:paraId="757CBF2A" w14:textId="77777777" w:rsidTr="00747A5B">
        <w:trPr>
          <w:jc w:val="center"/>
        </w:trPr>
        <w:tc>
          <w:tcPr>
            <w:tcW w:w="2225" w:type="dxa"/>
            <w:tcBorders>
              <w:top w:val="single" w:sz="4" w:space="0" w:color="auto"/>
              <w:left w:val="single" w:sz="4" w:space="0" w:color="auto"/>
              <w:bottom w:val="single" w:sz="4" w:space="0" w:color="auto"/>
              <w:right w:val="single" w:sz="4" w:space="0" w:color="auto"/>
            </w:tcBorders>
            <w:hideMark/>
          </w:tcPr>
          <w:p w14:paraId="0D942139" w14:textId="77777777" w:rsidR="00747A5B" w:rsidRPr="005B5139" w:rsidRDefault="00747A5B"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transmitter antennas</w:t>
            </w:r>
          </w:p>
        </w:tc>
        <w:tc>
          <w:tcPr>
            <w:tcW w:w="1075" w:type="dxa"/>
            <w:tcBorders>
              <w:top w:val="single" w:sz="4" w:space="0" w:color="auto"/>
              <w:left w:val="single" w:sz="4" w:space="0" w:color="auto"/>
              <w:bottom w:val="single" w:sz="4" w:space="0" w:color="auto"/>
              <w:right w:val="single" w:sz="4" w:space="0" w:color="auto"/>
            </w:tcBorders>
          </w:tcPr>
          <w:p w14:paraId="06CB3C89" w14:textId="77777777" w:rsidR="00747A5B" w:rsidRPr="005B5139" w:rsidRDefault="00747A5B" w:rsidP="007264ED">
            <w:pPr>
              <w:pStyle w:val="TAC"/>
              <w:rPr>
                <w:rFonts w:ascii="Times New Roman" w:eastAsia="Malgun Gothic" w:hAnsi="Times New Roman" w:cs="Times New Roman"/>
                <w:color w:val="auto"/>
                <w:kern w:val="0"/>
                <w:sz w:val="20"/>
                <w:lang w:val="en-US"/>
              </w:rPr>
            </w:pPr>
          </w:p>
        </w:tc>
        <w:tc>
          <w:tcPr>
            <w:tcW w:w="1974" w:type="dxa"/>
            <w:tcBorders>
              <w:top w:val="single" w:sz="4" w:space="0" w:color="auto"/>
              <w:left w:val="single" w:sz="4" w:space="0" w:color="auto"/>
              <w:bottom w:val="single" w:sz="4" w:space="0" w:color="auto"/>
              <w:right w:val="single" w:sz="4" w:space="0" w:color="auto"/>
            </w:tcBorders>
          </w:tcPr>
          <w:p w14:paraId="0A1C29D0"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r>
      <w:tr w:rsidR="00747A5B" w:rsidRPr="005B5139" w14:paraId="2BF61D8C" w14:textId="77777777" w:rsidTr="00747A5B">
        <w:trPr>
          <w:jc w:val="center"/>
        </w:trPr>
        <w:tc>
          <w:tcPr>
            <w:tcW w:w="2225" w:type="dxa"/>
            <w:tcBorders>
              <w:top w:val="single" w:sz="4" w:space="0" w:color="auto"/>
              <w:left w:val="single" w:sz="4" w:space="0" w:color="auto"/>
              <w:bottom w:val="single" w:sz="4" w:space="0" w:color="auto"/>
              <w:right w:val="single" w:sz="4" w:space="0" w:color="auto"/>
            </w:tcBorders>
            <w:hideMark/>
          </w:tcPr>
          <w:p w14:paraId="4DBEADB6" w14:textId="77777777" w:rsidR="00747A5B" w:rsidRPr="005B5139" w:rsidRDefault="00747A5B"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Channel bandwidth</w:t>
            </w:r>
          </w:p>
        </w:tc>
        <w:tc>
          <w:tcPr>
            <w:tcW w:w="1075" w:type="dxa"/>
            <w:tcBorders>
              <w:top w:val="single" w:sz="4" w:space="0" w:color="auto"/>
              <w:left w:val="single" w:sz="4" w:space="0" w:color="auto"/>
              <w:bottom w:val="single" w:sz="4" w:space="0" w:color="auto"/>
              <w:right w:val="single" w:sz="4" w:space="0" w:color="auto"/>
            </w:tcBorders>
            <w:hideMark/>
          </w:tcPr>
          <w:p w14:paraId="271AF7E9"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kHz</w:t>
            </w:r>
          </w:p>
        </w:tc>
        <w:tc>
          <w:tcPr>
            <w:tcW w:w="1974" w:type="dxa"/>
            <w:tcBorders>
              <w:top w:val="single" w:sz="4" w:space="0" w:color="auto"/>
              <w:left w:val="single" w:sz="4" w:space="0" w:color="auto"/>
              <w:bottom w:val="single" w:sz="4" w:space="0" w:color="auto"/>
              <w:right w:val="single" w:sz="4" w:space="0" w:color="auto"/>
            </w:tcBorders>
          </w:tcPr>
          <w:p w14:paraId="73C01BC4"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w:t>
            </w:r>
          </w:p>
        </w:tc>
      </w:tr>
      <w:tr w:rsidR="00747A5B" w:rsidRPr="005B5139" w14:paraId="386A2C13" w14:textId="77777777" w:rsidTr="00747A5B">
        <w:trPr>
          <w:jc w:val="center"/>
        </w:trPr>
        <w:tc>
          <w:tcPr>
            <w:tcW w:w="2225" w:type="dxa"/>
            <w:tcBorders>
              <w:top w:val="single" w:sz="4" w:space="0" w:color="auto"/>
              <w:left w:val="single" w:sz="4" w:space="0" w:color="auto"/>
              <w:bottom w:val="single" w:sz="4" w:space="0" w:color="auto"/>
              <w:right w:val="single" w:sz="4" w:space="0" w:color="auto"/>
            </w:tcBorders>
          </w:tcPr>
          <w:p w14:paraId="1BD85AB4" w14:textId="77777777" w:rsidR="00747A5B" w:rsidRPr="005B5139" w:rsidRDefault="00747A5B"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Aggregation level</w:t>
            </w:r>
          </w:p>
        </w:tc>
        <w:tc>
          <w:tcPr>
            <w:tcW w:w="1075" w:type="dxa"/>
            <w:tcBorders>
              <w:top w:val="single" w:sz="4" w:space="0" w:color="auto"/>
              <w:left w:val="single" w:sz="4" w:space="0" w:color="auto"/>
              <w:bottom w:val="single" w:sz="4" w:space="0" w:color="auto"/>
              <w:right w:val="single" w:sz="4" w:space="0" w:color="auto"/>
            </w:tcBorders>
          </w:tcPr>
          <w:p w14:paraId="561C72DF"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NCCE</w:t>
            </w:r>
          </w:p>
        </w:tc>
        <w:tc>
          <w:tcPr>
            <w:tcW w:w="1974" w:type="dxa"/>
            <w:tcBorders>
              <w:top w:val="single" w:sz="4" w:space="0" w:color="auto"/>
              <w:left w:val="single" w:sz="4" w:space="0" w:color="auto"/>
              <w:bottom w:val="single" w:sz="4" w:space="0" w:color="auto"/>
              <w:right w:val="single" w:sz="4" w:space="0" w:color="auto"/>
            </w:tcBorders>
          </w:tcPr>
          <w:p w14:paraId="05375FFD"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r>
      <w:tr w:rsidR="00747A5B" w:rsidRPr="005B5139" w14:paraId="4BFF6A10" w14:textId="77777777" w:rsidTr="00747A5B">
        <w:trPr>
          <w:jc w:val="center"/>
        </w:trPr>
        <w:tc>
          <w:tcPr>
            <w:tcW w:w="2225" w:type="dxa"/>
            <w:tcBorders>
              <w:top w:val="single" w:sz="4" w:space="0" w:color="auto"/>
              <w:left w:val="single" w:sz="4" w:space="0" w:color="auto"/>
              <w:bottom w:val="single" w:sz="4" w:space="0" w:color="auto"/>
              <w:right w:val="single" w:sz="4" w:space="0" w:color="auto"/>
            </w:tcBorders>
            <w:hideMark/>
          </w:tcPr>
          <w:p w14:paraId="5C29B376" w14:textId="77777777" w:rsidR="00747A5B" w:rsidRPr="005B5139" w:rsidRDefault="00747A5B"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DCI Format</w:t>
            </w:r>
          </w:p>
        </w:tc>
        <w:tc>
          <w:tcPr>
            <w:tcW w:w="1075" w:type="dxa"/>
            <w:tcBorders>
              <w:top w:val="single" w:sz="4" w:space="0" w:color="auto"/>
              <w:left w:val="single" w:sz="4" w:space="0" w:color="auto"/>
              <w:bottom w:val="single" w:sz="4" w:space="0" w:color="auto"/>
              <w:right w:val="single" w:sz="4" w:space="0" w:color="auto"/>
            </w:tcBorders>
          </w:tcPr>
          <w:p w14:paraId="46D6988C" w14:textId="77777777" w:rsidR="00747A5B" w:rsidRPr="005B5139" w:rsidRDefault="00747A5B" w:rsidP="007264ED">
            <w:pPr>
              <w:pStyle w:val="TAC"/>
              <w:rPr>
                <w:rFonts w:ascii="Times New Roman" w:eastAsia="Malgun Gothic" w:hAnsi="Times New Roman" w:cs="Times New Roman"/>
                <w:color w:val="auto"/>
                <w:kern w:val="0"/>
                <w:sz w:val="20"/>
                <w:lang w:val="en-US"/>
              </w:rPr>
            </w:pPr>
          </w:p>
        </w:tc>
        <w:tc>
          <w:tcPr>
            <w:tcW w:w="1974" w:type="dxa"/>
            <w:tcBorders>
              <w:top w:val="single" w:sz="4" w:space="0" w:color="auto"/>
              <w:left w:val="single" w:sz="4" w:space="0" w:color="auto"/>
              <w:bottom w:val="single" w:sz="4" w:space="0" w:color="auto"/>
              <w:right w:val="single" w:sz="4" w:space="0" w:color="auto"/>
            </w:tcBorders>
          </w:tcPr>
          <w:p w14:paraId="71E3D215"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N1</w:t>
            </w:r>
          </w:p>
        </w:tc>
      </w:tr>
      <w:tr w:rsidR="00747A5B" w:rsidRPr="005B5139" w14:paraId="2D3C7824" w14:textId="77777777" w:rsidTr="00747A5B">
        <w:trPr>
          <w:jc w:val="center"/>
        </w:trPr>
        <w:tc>
          <w:tcPr>
            <w:tcW w:w="2225" w:type="dxa"/>
            <w:tcBorders>
              <w:top w:val="single" w:sz="4" w:space="0" w:color="auto"/>
              <w:left w:val="single" w:sz="4" w:space="0" w:color="auto"/>
              <w:bottom w:val="single" w:sz="4" w:space="0" w:color="auto"/>
              <w:right w:val="single" w:sz="4" w:space="0" w:color="auto"/>
            </w:tcBorders>
            <w:hideMark/>
          </w:tcPr>
          <w:p w14:paraId="2094BA29" w14:textId="77777777" w:rsidR="00747A5B" w:rsidRPr="005B5139" w:rsidRDefault="00747A5B"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Cell ID</w:t>
            </w:r>
          </w:p>
        </w:tc>
        <w:tc>
          <w:tcPr>
            <w:tcW w:w="1075" w:type="dxa"/>
            <w:tcBorders>
              <w:top w:val="single" w:sz="4" w:space="0" w:color="auto"/>
              <w:left w:val="single" w:sz="4" w:space="0" w:color="auto"/>
              <w:bottom w:val="single" w:sz="4" w:space="0" w:color="auto"/>
              <w:right w:val="single" w:sz="4" w:space="0" w:color="auto"/>
            </w:tcBorders>
          </w:tcPr>
          <w:p w14:paraId="04B68247" w14:textId="77777777" w:rsidR="00747A5B" w:rsidRPr="005B5139" w:rsidRDefault="00747A5B" w:rsidP="007264ED">
            <w:pPr>
              <w:pStyle w:val="TAC"/>
              <w:rPr>
                <w:rFonts w:ascii="Times New Roman" w:eastAsia="Malgun Gothic" w:hAnsi="Times New Roman" w:cs="Times New Roman"/>
                <w:color w:val="auto"/>
                <w:kern w:val="0"/>
                <w:sz w:val="20"/>
                <w:lang w:val="en-US"/>
              </w:rPr>
            </w:pPr>
          </w:p>
        </w:tc>
        <w:tc>
          <w:tcPr>
            <w:tcW w:w="1974" w:type="dxa"/>
            <w:tcBorders>
              <w:top w:val="single" w:sz="4" w:space="0" w:color="auto"/>
              <w:left w:val="single" w:sz="4" w:space="0" w:color="auto"/>
              <w:bottom w:val="single" w:sz="4" w:space="0" w:color="auto"/>
              <w:right w:val="single" w:sz="4" w:space="0" w:color="auto"/>
            </w:tcBorders>
          </w:tcPr>
          <w:p w14:paraId="57352796"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0</w:t>
            </w:r>
          </w:p>
        </w:tc>
      </w:tr>
      <w:tr w:rsidR="00747A5B" w:rsidRPr="005B5139" w14:paraId="264D2BAE" w14:textId="77777777" w:rsidTr="00747A5B">
        <w:trPr>
          <w:jc w:val="center"/>
        </w:trPr>
        <w:tc>
          <w:tcPr>
            <w:tcW w:w="2225" w:type="dxa"/>
            <w:tcBorders>
              <w:top w:val="single" w:sz="4" w:space="0" w:color="auto"/>
              <w:left w:val="single" w:sz="4" w:space="0" w:color="auto"/>
              <w:bottom w:val="single" w:sz="4" w:space="0" w:color="auto"/>
              <w:right w:val="single" w:sz="4" w:space="0" w:color="auto"/>
            </w:tcBorders>
            <w:hideMark/>
          </w:tcPr>
          <w:p w14:paraId="03D9BDF8" w14:textId="77777777" w:rsidR="00747A5B" w:rsidRPr="005B5139" w:rsidRDefault="00747A5B"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Payload (without CRC)</w:t>
            </w:r>
          </w:p>
        </w:tc>
        <w:tc>
          <w:tcPr>
            <w:tcW w:w="1075" w:type="dxa"/>
            <w:tcBorders>
              <w:top w:val="single" w:sz="4" w:space="0" w:color="auto"/>
              <w:left w:val="single" w:sz="4" w:space="0" w:color="auto"/>
              <w:bottom w:val="single" w:sz="4" w:space="0" w:color="auto"/>
              <w:right w:val="single" w:sz="4" w:space="0" w:color="auto"/>
            </w:tcBorders>
            <w:hideMark/>
          </w:tcPr>
          <w:p w14:paraId="5359921C"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Bits</w:t>
            </w:r>
          </w:p>
        </w:tc>
        <w:tc>
          <w:tcPr>
            <w:tcW w:w="1974" w:type="dxa"/>
            <w:tcBorders>
              <w:top w:val="single" w:sz="4" w:space="0" w:color="auto"/>
              <w:left w:val="single" w:sz="4" w:space="0" w:color="auto"/>
              <w:bottom w:val="single" w:sz="4" w:space="0" w:color="auto"/>
              <w:right w:val="single" w:sz="4" w:space="0" w:color="auto"/>
            </w:tcBorders>
          </w:tcPr>
          <w:p w14:paraId="76C2B2AA" w14:textId="77777777" w:rsidR="00747A5B" w:rsidRPr="005B5139" w:rsidRDefault="00747A5B"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r w:rsidRPr="005B5139">
              <w:rPr>
                <w:rFonts w:ascii="Times New Roman" w:eastAsia="Malgun Gothic" w:hAnsi="Times New Roman" w:cs="Times New Roman" w:hint="eastAsia"/>
                <w:color w:val="auto"/>
                <w:kern w:val="0"/>
                <w:sz w:val="20"/>
                <w:lang w:val="en-US"/>
              </w:rPr>
              <w:t>3</w:t>
            </w:r>
          </w:p>
        </w:tc>
      </w:tr>
    </w:tbl>
    <w:p w14:paraId="08DE0172" w14:textId="77777777" w:rsidR="00747A5B" w:rsidRDefault="00747A5B" w:rsidP="00747A5B">
      <w:pPr>
        <w:rPr>
          <w:color w:val="000000"/>
          <w:lang w:val="en-US"/>
        </w:rPr>
      </w:pPr>
    </w:p>
    <w:p w14:paraId="4EE48FBF" w14:textId="77777777" w:rsidR="00DB4244" w:rsidRDefault="00747A5B" w:rsidP="00DB4244">
      <w:pPr>
        <w:keepNext/>
      </w:pPr>
      <w:r>
        <w:rPr>
          <w:noProof/>
          <w:lang w:val="en-US"/>
        </w:rPr>
        <w:lastRenderedPageBreak/>
        <w:drawing>
          <wp:inline distT="0" distB="0" distL="0" distR="0" wp14:anchorId="78999260" wp14:editId="369159F9">
            <wp:extent cx="5942330" cy="3657600"/>
            <wp:effectExtent l="0" t="0" r="127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5A55C7" w14:textId="21F826DC" w:rsidR="00747A5B" w:rsidRDefault="00DB4244" w:rsidP="00DB4244">
      <w:pPr>
        <w:pStyle w:val="Caption"/>
        <w:jc w:val="center"/>
        <w:rPr>
          <w:color w:val="000000"/>
          <w:lang w:val="en-US"/>
        </w:rPr>
      </w:pPr>
      <w:r>
        <w:t xml:space="preserve">Figure </w:t>
      </w:r>
      <w:r>
        <w:fldChar w:fldCharType="begin"/>
      </w:r>
      <w:r>
        <w:instrText xml:space="preserve"> SEQ Figure \* ARABIC </w:instrText>
      </w:r>
      <w:r>
        <w:fldChar w:fldCharType="separate"/>
      </w:r>
      <w:r>
        <w:rPr>
          <w:noProof/>
        </w:rPr>
        <w:t>1</w:t>
      </w:r>
      <w:r>
        <w:fldChar w:fldCharType="end"/>
      </w:r>
      <w:r>
        <w:t xml:space="preserve"> NPDCCH BLER vs SNR in In-band deployment mode</w:t>
      </w:r>
    </w:p>
    <w:p w14:paraId="73F48F1A" w14:textId="77777777" w:rsidR="00103230" w:rsidRDefault="00103230" w:rsidP="00103230">
      <w:pPr>
        <w:rPr>
          <w:color w:val="000000"/>
          <w:lang w:val="en-US"/>
        </w:rPr>
      </w:pPr>
      <w:r>
        <w:rPr>
          <w:color w:val="000000"/>
          <w:lang w:val="en-US"/>
        </w:rPr>
        <w:t xml:space="preserve">The following plot shows the NPDCCH BLER performance with respect to SNR(dB) for the following scenario </w:t>
      </w:r>
    </w:p>
    <w:tbl>
      <w:tblPr>
        <w:tblW w:w="3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90"/>
        <w:gridCol w:w="1308"/>
      </w:tblGrid>
      <w:tr w:rsidR="00103230" w:rsidRPr="005B5139" w14:paraId="317549A0" w14:textId="77777777" w:rsidTr="007264ED">
        <w:trPr>
          <w:trHeight w:val="230"/>
          <w:jc w:val="center"/>
        </w:trPr>
        <w:tc>
          <w:tcPr>
            <w:tcW w:w="1260" w:type="dxa"/>
            <w:vMerge w:val="restart"/>
          </w:tcPr>
          <w:p w14:paraId="0822C7F1" w14:textId="77777777" w:rsidR="00103230" w:rsidRPr="005B5139" w:rsidRDefault="00103230"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Deployment Mode</w:t>
            </w:r>
          </w:p>
        </w:tc>
        <w:tc>
          <w:tcPr>
            <w:tcW w:w="1290" w:type="dxa"/>
            <w:vMerge w:val="restart"/>
          </w:tcPr>
          <w:p w14:paraId="395D26D1" w14:textId="77777777" w:rsidR="00103230" w:rsidRPr="005B5139" w:rsidRDefault="00103230"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Propagation Condition</w:t>
            </w:r>
          </w:p>
        </w:tc>
        <w:tc>
          <w:tcPr>
            <w:tcW w:w="1308" w:type="dxa"/>
            <w:vMerge w:val="restart"/>
          </w:tcPr>
          <w:p w14:paraId="45A6F798" w14:textId="77777777" w:rsidR="00103230" w:rsidRPr="005B5139" w:rsidRDefault="00103230"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NRS ports</w:t>
            </w:r>
          </w:p>
        </w:tc>
      </w:tr>
      <w:tr w:rsidR="00103230" w:rsidRPr="005B5139" w14:paraId="4C026B0B" w14:textId="77777777" w:rsidTr="007264ED">
        <w:trPr>
          <w:trHeight w:val="395"/>
          <w:jc w:val="center"/>
        </w:trPr>
        <w:tc>
          <w:tcPr>
            <w:tcW w:w="1260" w:type="dxa"/>
            <w:vMerge/>
          </w:tcPr>
          <w:p w14:paraId="7B965CEF" w14:textId="77777777" w:rsidR="00103230" w:rsidRPr="005B5139" w:rsidRDefault="00103230" w:rsidP="007264ED">
            <w:pPr>
              <w:pStyle w:val="TAH"/>
              <w:rPr>
                <w:rFonts w:ascii="Times New Roman" w:eastAsia="Malgun Gothic" w:hAnsi="Times New Roman" w:cs="Times New Roman"/>
                <w:color w:val="auto"/>
                <w:kern w:val="0"/>
                <w:sz w:val="20"/>
                <w:lang w:val="en-US"/>
              </w:rPr>
            </w:pPr>
          </w:p>
        </w:tc>
        <w:tc>
          <w:tcPr>
            <w:tcW w:w="1290" w:type="dxa"/>
            <w:vMerge/>
          </w:tcPr>
          <w:p w14:paraId="5278268C" w14:textId="77777777" w:rsidR="00103230" w:rsidRPr="005B5139" w:rsidRDefault="00103230" w:rsidP="007264ED">
            <w:pPr>
              <w:pStyle w:val="TAH"/>
              <w:rPr>
                <w:rFonts w:ascii="Times New Roman" w:eastAsia="Malgun Gothic" w:hAnsi="Times New Roman" w:cs="Times New Roman"/>
                <w:color w:val="auto"/>
                <w:kern w:val="0"/>
                <w:sz w:val="20"/>
                <w:lang w:val="en-US"/>
              </w:rPr>
            </w:pPr>
          </w:p>
        </w:tc>
        <w:tc>
          <w:tcPr>
            <w:tcW w:w="1308" w:type="dxa"/>
            <w:vMerge/>
          </w:tcPr>
          <w:p w14:paraId="666BAE16" w14:textId="77777777" w:rsidR="00103230" w:rsidRPr="005B5139" w:rsidRDefault="00103230" w:rsidP="007264ED">
            <w:pPr>
              <w:pStyle w:val="TAH"/>
              <w:rPr>
                <w:rFonts w:ascii="Times New Roman" w:eastAsia="Malgun Gothic" w:hAnsi="Times New Roman" w:cs="Times New Roman"/>
                <w:color w:val="auto"/>
                <w:kern w:val="0"/>
                <w:sz w:val="20"/>
                <w:lang w:val="en-US"/>
              </w:rPr>
            </w:pPr>
          </w:p>
        </w:tc>
      </w:tr>
      <w:tr w:rsidR="00103230" w:rsidRPr="005B5139" w14:paraId="3FDEC280" w14:textId="77777777" w:rsidTr="007264ED">
        <w:trPr>
          <w:trHeight w:val="106"/>
          <w:jc w:val="center"/>
        </w:trPr>
        <w:tc>
          <w:tcPr>
            <w:tcW w:w="1260" w:type="dxa"/>
            <w:vAlign w:val="center"/>
          </w:tcPr>
          <w:p w14:paraId="13D151CD" w14:textId="27772740" w:rsidR="00103230" w:rsidRPr="005B5139" w:rsidRDefault="00103230" w:rsidP="007264ED">
            <w:pPr>
              <w:pStyle w:val="TAC"/>
              <w:rPr>
                <w:rFonts w:ascii="Times New Roman" w:eastAsia="Malgun Gothic" w:hAnsi="Times New Roman" w:cs="Times New Roman"/>
                <w:color w:val="auto"/>
                <w:kern w:val="0"/>
                <w:sz w:val="20"/>
                <w:lang w:val="en-US"/>
              </w:rPr>
            </w:pPr>
            <w:r>
              <w:rPr>
                <w:rFonts w:ascii="Times New Roman" w:eastAsia="Malgun Gothic" w:hAnsi="Times New Roman" w:cs="Times New Roman"/>
                <w:color w:val="auto"/>
                <w:kern w:val="0"/>
                <w:sz w:val="20"/>
                <w:lang w:val="en-US"/>
              </w:rPr>
              <w:t>Stand-alone</w:t>
            </w:r>
          </w:p>
        </w:tc>
        <w:tc>
          <w:tcPr>
            <w:tcW w:w="1290" w:type="dxa"/>
            <w:shd w:val="clear" w:color="auto" w:fill="auto"/>
            <w:vAlign w:val="center"/>
          </w:tcPr>
          <w:p w14:paraId="603BDFEA" w14:textId="5B46B44A" w:rsidR="00103230" w:rsidRPr="005B5139" w:rsidRDefault="00103230" w:rsidP="007264ED">
            <w:pPr>
              <w:pStyle w:val="TAC"/>
              <w:rPr>
                <w:rFonts w:ascii="Times New Roman" w:eastAsia="Malgun Gothic" w:hAnsi="Times New Roman" w:cs="Times New Roman"/>
                <w:color w:val="auto"/>
                <w:kern w:val="0"/>
                <w:sz w:val="20"/>
                <w:lang w:val="en-US"/>
              </w:rPr>
            </w:pPr>
            <w:r>
              <w:rPr>
                <w:rFonts w:ascii="Times New Roman" w:eastAsia="Malgun Gothic" w:hAnsi="Times New Roman" w:cs="Times New Roman"/>
                <w:color w:val="auto"/>
                <w:kern w:val="0"/>
                <w:sz w:val="20"/>
                <w:lang w:val="en-US"/>
              </w:rPr>
              <w:t>ETU1</w:t>
            </w:r>
          </w:p>
        </w:tc>
        <w:tc>
          <w:tcPr>
            <w:tcW w:w="1308" w:type="dxa"/>
            <w:shd w:val="clear" w:color="auto" w:fill="auto"/>
            <w:vAlign w:val="center"/>
          </w:tcPr>
          <w:p w14:paraId="740A07EB" w14:textId="7E16ED3C" w:rsidR="00103230" w:rsidRPr="005B5139" w:rsidRDefault="007458ED" w:rsidP="007264ED">
            <w:pPr>
              <w:pStyle w:val="TAC"/>
              <w:rPr>
                <w:rFonts w:ascii="Times New Roman" w:eastAsia="Malgun Gothic" w:hAnsi="Times New Roman" w:cs="Times New Roman"/>
                <w:color w:val="auto"/>
                <w:kern w:val="0"/>
                <w:sz w:val="20"/>
                <w:lang w:val="en-US"/>
              </w:rPr>
            </w:pPr>
            <w:r>
              <w:rPr>
                <w:rFonts w:ascii="Times New Roman" w:eastAsia="Malgun Gothic" w:hAnsi="Times New Roman" w:cs="Times New Roman"/>
                <w:color w:val="auto"/>
                <w:kern w:val="0"/>
                <w:sz w:val="20"/>
                <w:lang w:val="en-US"/>
              </w:rPr>
              <w:t>1</w:t>
            </w:r>
          </w:p>
        </w:tc>
      </w:tr>
    </w:tbl>
    <w:p w14:paraId="5FD8735A" w14:textId="77777777" w:rsidR="00103230" w:rsidRDefault="00103230" w:rsidP="00103230">
      <w:pPr>
        <w:rPr>
          <w:color w:val="000000"/>
          <w:lang w:val="en-US"/>
        </w:rPr>
      </w:pP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075"/>
        <w:gridCol w:w="1974"/>
      </w:tblGrid>
      <w:tr w:rsidR="00103230" w:rsidRPr="005B5139" w14:paraId="6D3F76EC" w14:textId="77777777" w:rsidTr="007264ED">
        <w:trPr>
          <w:jc w:val="center"/>
        </w:trPr>
        <w:tc>
          <w:tcPr>
            <w:tcW w:w="2225" w:type="dxa"/>
            <w:tcBorders>
              <w:top w:val="single" w:sz="4" w:space="0" w:color="auto"/>
              <w:left w:val="single" w:sz="4" w:space="0" w:color="auto"/>
              <w:bottom w:val="single" w:sz="4" w:space="0" w:color="auto"/>
              <w:right w:val="single" w:sz="4" w:space="0" w:color="auto"/>
            </w:tcBorders>
            <w:hideMark/>
          </w:tcPr>
          <w:p w14:paraId="0DCE2F25" w14:textId="77777777" w:rsidR="00103230" w:rsidRPr="005B5139" w:rsidRDefault="00103230"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Parameter</w:t>
            </w:r>
          </w:p>
        </w:tc>
        <w:tc>
          <w:tcPr>
            <w:tcW w:w="1075" w:type="dxa"/>
            <w:tcBorders>
              <w:top w:val="single" w:sz="4" w:space="0" w:color="auto"/>
              <w:left w:val="single" w:sz="4" w:space="0" w:color="auto"/>
              <w:bottom w:val="single" w:sz="4" w:space="0" w:color="auto"/>
              <w:right w:val="single" w:sz="4" w:space="0" w:color="auto"/>
            </w:tcBorders>
            <w:hideMark/>
          </w:tcPr>
          <w:p w14:paraId="39F3640D" w14:textId="77777777" w:rsidR="00103230" w:rsidRPr="005B5139" w:rsidRDefault="00103230"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Unit</w:t>
            </w:r>
          </w:p>
        </w:tc>
        <w:tc>
          <w:tcPr>
            <w:tcW w:w="1974" w:type="dxa"/>
            <w:tcBorders>
              <w:top w:val="single" w:sz="4" w:space="0" w:color="auto"/>
              <w:left w:val="single" w:sz="4" w:space="0" w:color="auto"/>
              <w:bottom w:val="single" w:sz="4" w:space="0" w:color="auto"/>
              <w:right w:val="single" w:sz="4" w:space="0" w:color="auto"/>
            </w:tcBorders>
          </w:tcPr>
          <w:p w14:paraId="495216BF" w14:textId="77777777" w:rsidR="00103230" w:rsidRPr="005B5139" w:rsidRDefault="00103230" w:rsidP="007264ED">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Value</w:t>
            </w:r>
          </w:p>
        </w:tc>
      </w:tr>
      <w:tr w:rsidR="00103230" w:rsidRPr="005B5139" w14:paraId="1066715C" w14:textId="77777777" w:rsidTr="007264ED">
        <w:trPr>
          <w:jc w:val="center"/>
        </w:trPr>
        <w:tc>
          <w:tcPr>
            <w:tcW w:w="2225" w:type="dxa"/>
            <w:tcBorders>
              <w:top w:val="single" w:sz="4" w:space="0" w:color="auto"/>
              <w:left w:val="single" w:sz="4" w:space="0" w:color="auto"/>
              <w:bottom w:val="single" w:sz="4" w:space="0" w:color="auto"/>
              <w:right w:val="single" w:sz="4" w:space="0" w:color="auto"/>
            </w:tcBorders>
            <w:hideMark/>
          </w:tcPr>
          <w:p w14:paraId="36C23E43" w14:textId="77777777" w:rsidR="00103230" w:rsidRPr="005B5139" w:rsidRDefault="00103230"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transmitter antennas</w:t>
            </w:r>
          </w:p>
        </w:tc>
        <w:tc>
          <w:tcPr>
            <w:tcW w:w="1075" w:type="dxa"/>
            <w:tcBorders>
              <w:top w:val="single" w:sz="4" w:space="0" w:color="auto"/>
              <w:left w:val="single" w:sz="4" w:space="0" w:color="auto"/>
              <w:bottom w:val="single" w:sz="4" w:space="0" w:color="auto"/>
              <w:right w:val="single" w:sz="4" w:space="0" w:color="auto"/>
            </w:tcBorders>
          </w:tcPr>
          <w:p w14:paraId="54DB5400" w14:textId="77777777" w:rsidR="00103230" w:rsidRPr="005B5139" w:rsidRDefault="00103230" w:rsidP="007264ED">
            <w:pPr>
              <w:pStyle w:val="TAC"/>
              <w:rPr>
                <w:rFonts w:ascii="Times New Roman" w:eastAsia="Malgun Gothic" w:hAnsi="Times New Roman" w:cs="Times New Roman"/>
                <w:color w:val="auto"/>
                <w:kern w:val="0"/>
                <w:sz w:val="20"/>
                <w:lang w:val="en-US"/>
              </w:rPr>
            </w:pPr>
          </w:p>
        </w:tc>
        <w:tc>
          <w:tcPr>
            <w:tcW w:w="1974" w:type="dxa"/>
            <w:tcBorders>
              <w:top w:val="single" w:sz="4" w:space="0" w:color="auto"/>
              <w:left w:val="single" w:sz="4" w:space="0" w:color="auto"/>
              <w:bottom w:val="single" w:sz="4" w:space="0" w:color="auto"/>
              <w:right w:val="single" w:sz="4" w:space="0" w:color="auto"/>
            </w:tcBorders>
          </w:tcPr>
          <w:p w14:paraId="7D325EA9" w14:textId="6E26F545" w:rsidR="00103230" w:rsidRPr="005B5139" w:rsidRDefault="00103230" w:rsidP="007264ED">
            <w:pPr>
              <w:pStyle w:val="TAC"/>
              <w:rPr>
                <w:rFonts w:ascii="Times New Roman" w:eastAsia="Malgun Gothic" w:hAnsi="Times New Roman" w:cs="Times New Roman"/>
                <w:color w:val="auto"/>
                <w:kern w:val="0"/>
                <w:sz w:val="20"/>
                <w:lang w:val="en-US"/>
              </w:rPr>
            </w:pPr>
            <w:r>
              <w:rPr>
                <w:rFonts w:ascii="Times New Roman" w:eastAsia="Malgun Gothic" w:hAnsi="Times New Roman" w:cs="Times New Roman"/>
                <w:color w:val="auto"/>
                <w:kern w:val="0"/>
                <w:sz w:val="20"/>
                <w:lang w:val="en-US"/>
              </w:rPr>
              <w:t>1</w:t>
            </w:r>
          </w:p>
        </w:tc>
      </w:tr>
      <w:tr w:rsidR="00103230" w:rsidRPr="005B5139" w14:paraId="40B9E939" w14:textId="77777777" w:rsidTr="007264ED">
        <w:trPr>
          <w:jc w:val="center"/>
        </w:trPr>
        <w:tc>
          <w:tcPr>
            <w:tcW w:w="2225" w:type="dxa"/>
            <w:tcBorders>
              <w:top w:val="single" w:sz="4" w:space="0" w:color="auto"/>
              <w:left w:val="single" w:sz="4" w:space="0" w:color="auto"/>
              <w:bottom w:val="single" w:sz="4" w:space="0" w:color="auto"/>
              <w:right w:val="single" w:sz="4" w:space="0" w:color="auto"/>
            </w:tcBorders>
            <w:hideMark/>
          </w:tcPr>
          <w:p w14:paraId="4517828E" w14:textId="77777777" w:rsidR="00103230" w:rsidRPr="005B5139" w:rsidRDefault="00103230"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Channel bandwidth</w:t>
            </w:r>
          </w:p>
        </w:tc>
        <w:tc>
          <w:tcPr>
            <w:tcW w:w="1075" w:type="dxa"/>
            <w:tcBorders>
              <w:top w:val="single" w:sz="4" w:space="0" w:color="auto"/>
              <w:left w:val="single" w:sz="4" w:space="0" w:color="auto"/>
              <w:bottom w:val="single" w:sz="4" w:space="0" w:color="auto"/>
              <w:right w:val="single" w:sz="4" w:space="0" w:color="auto"/>
            </w:tcBorders>
            <w:hideMark/>
          </w:tcPr>
          <w:p w14:paraId="31F85AE7"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kHz</w:t>
            </w:r>
          </w:p>
        </w:tc>
        <w:tc>
          <w:tcPr>
            <w:tcW w:w="1974" w:type="dxa"/>
            <w:tcBorders>
              <w:top w:val="single" w:sz="4" w:space="0" w:color="auto"/>
              <w:left w:val="single" w:sz="4" w:space="0" w:color="auto"/>
              <w:bottom w:val="single" w:sz="4" w:space="0" w:color="auto"/>
              <w:right w:val="single" w:sz="4" w:space="0" w:color="auto"/>
            </w:tcBorders>
          </w:tcPr>
          <w:p w14:paraId="1FC4172D"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w:t>
            </w:r>
          </w:p>
        </w:tc>
      </w:tr>
      <w:tr w:rsidR="00103230" w:rsidRPr="005B5139" w14:paraId="556C44CF" w14:textId="77777777" w:rsidTr="007264ED">
        <w:trPr>
          <w:jc w:val="center"/>
        </w:trPr>
        <w:tc>
          <w:tcPr>
            <w:tcW w:w="2225" w:type="dxa"/>
            <w:tcBorders>
              <w:top w:val="single" w:sz="4" w:space="0" w:color="auto"/>
              <w:left w:val="single" w:sz="4" w:space="0" w:color="auto"/>
              <w:bottom w:val="single" w:sz="4" w:space="0" w:color="auto"/>
              <w:right w:val="single" w:sz="4" w:space="0" w:color="auto"/>
            </w:tcBorders>
          </w:tcPr>
          <w:p w14:paraId="3734FB4F" w14:textId="77777777" w:rsidR="00103230" w:rsidRPr="005B5139" w:rsidRDefault="00103230"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Aggregation level</w:t>
            </w:r>
          </w:p>
        </w:tc>
        <w:tc>
          <w:tcPr>
            <w:tcW w:w="1075" w:type="dxa"/>
            <w:tcBorders>
              <w:top w:val="single" w:sz="4" w:space="0" w:color="auto"/>
              <w:left w:val="single" w:sz="4" w:space="0" w:color="auto"/>
              <w:bottom w:val="single" w:sz="4" w:space="0" w:color="auto"/>
              <w:right w:val="single" w:sz="4" w:space="0" w:color="auto"/>
            </w:tcBorders>
          </w:tcPr>
          <w:p w14:paraId="0699EA1B"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NCCE</w:t>
            </w:r>
          </w:p>
        </w:tc>
        <w:tc>
          <w:tcPr>
            <w:tcW w:w="1974" w:type="dxa"/>
            <w:tcBorders>
              <w:top w:val="single" w:sz="4" w:space="0" w:color="auto"/>
              <w:left w:val="single" w:sz="4" w:space="0" w:color="auto"/>
              <w:bottom w:val="single" w:sz="4" w:space="0" w:color="auto"/>
              <w:right w:val="single" w:sz="4" w:space="0" w:color="auto"/>
            </w:tcBorders>
          </w:tcPr>
          <w:p w14:paraId="59B6D092"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r>
      <w:tr w:rsidR="00103230" w:rsidRPr="005B5139" w14:paraId="3B99D280" w14:textId="77777777" w:rsidTr="007264ED">
        <w:trPr>
          <w:jc w:val="center"/>
        </w:trPr>
        <w:tc>
          <w:tcPr>
            <w:tcW w:w="2225" w:type="dxa"/>
            <w:tcBorders>
              <w:top w:val="single" w:sz="4" w:space="0" w:color="auto"/>
              <w:left w:val="single" w:sz="4" w:space="0" w:color="auto"/>
              <w:bottom w:val="single" w:sz="4" w:space="0" w:color="auto"/>
              <w:right w:val="single" w:sz="4" w:space="0" w:color="auto"/>
            </w:tcBorders>
            <w:hideMark/>
          </w:tcPr>
          <w:p w14:paraId="359895E3" w14:textId="77777777" w:rsidR="00103230" w:rsidRPr="005B5139" w:rsidRDefault="00103230"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DCI Format</w:t>
            </w:r>
          </w:p>
        </w:tc>
        <w:tc>
          <w:tcPr>
            <w:tcW w:w="1075" w:type="dxa"/>
            <w:tcBorders>
              <w:top w:val="single" w:sz="4" w:space="0" w:color="auto"/>
              <w:left w:val="single" w:sz="4" w:space="0" w:color="auto"/>
              <w:bottom w:val="single" w:sz="4" w:space="0" w:color="auto"/>
              <w:right w:val="single" w:sz="4" w:space="0" w:color="auto"/>
            </w:tcBorders>
          </w:tcPr>
          <w:p w14:paraId="39BAF364" w14:textId="77777777" w:rsidR="00103230" w:rsidRPr="005B5139" w:rsidRDefault="00103230" w:rsidP="007264ED">
            <w:pPr>
              <w:pStyle w:val="TAC"/>
              <w:rPr>
                <w:rFonts w:ascii="Times New Roman" w:eastAsia="Malgun Gothic" w:hAnsi="Times New Roman" w:cs="Times New Roman"/>
                <w:color w:val="auto"/>
                <w:kern w:val="0"/>
                <w:sz w:val="20"/>
                <w:lang w:val="en-US"/>
              </w:rPr>
            </w:pPr>
          </w:p>
        </w:tc>
        <w:tc>
          <w:tcPr>
            <w:tcW w:w="1974" w:type="dxa"/>
            <w:tcBorders>
              <w:top w:val="single" w:sz="4" w:space="0" w:color="auto"/>
              <w:left w:val="single" w:sz="4" w:space="0" w:color="auto"/>
              <w:bottom w:val="single" w:sz="4" w:space="0" w:color="auto"/>
              <w:right w:val="single" w:sz="4" w:space="0" w:color="auto"/>
            </w:tcBorders>
          </w:tcPr>
          <w:p w14:paraId="54181992"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N1</w:t>
            </w:r>
          </w:p>
        </w:tc>
      </w:tr>
      <w:tr w:rsidR="00103230" w:rsidRPr="005B5139" w14:paraId="1827FE4F" w14:textId="77777777" w:rsidTr="007264ED">
        <w:trPr>
          <w:jc w:val="center"/>
        </w:trPr>
        <w:tc>
          <w:tcPr>
            <w:tcW w:w="2225" w:type="dxa"/>
            <w:tcBorders>
              <w:top w:val="single" w:sz="4" w:space="0" w:color="auto"/>
              <w:left w:val="single" w:sz="4" w:space="0" w:color="auto"/>
              <w:bottom w:val="single" w:sz="4" w:space="0" w:color="auto"/>
              <w:right w:val="single" w:sz="4" w:space="0" w:color="auto"/>
            </w:tcBorders>
            <w:hideMark/>
          </w:tcPr>
          <w:p w14:paraId="172D57E3" w14:textId="77777777" w:rsidR="00103230" w:rsidRPr="005B5139" w:rsidRDefault="00103230"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Cell ID</w:t>
            </w:r>
          </w:p>
        </w:tc>
        <w:tc>
          <w:tcPr>
            <w:tcW w:w="1075" w:type="dxa"/>
            <w:tcBorders>
              <w:top w:val="single" w:sz="4" w:space="0" w:color="auto"/>
              <w:left w:val="single" w:sz="4" w:space="0" w:color="auto"/>
              <w:bottom w:val="single" w:sz="4" w:space="0" w:color="auto"/>
              <w:right w:val="single" w:sz="4" w:space="0" w:color="auto"/>
            </w:tcBorders>
          </w:tcPr>
          <w:p w14:paraId="41915BB5" w14:textId="77777777" w:rsidR="00103230" w:rsidRPr="005B5139" w:rsidRDefault="00103230" w:rsidP="007264ED">
            <w:pPr>
              <w:pStyle w:val="TAC"/>
              <w:rPr>
                <w:rFonts w:ascii="Times New Roman" w:eastAsia="Malgun Gothic" w:hAnsi="Times New Roman" w:cs="Times New Roman"/>
                <w:color w:val="auto"/>
                <w:kern w:val="0"/>
                <w:sz w:val="20"/>
                <w:lang w:val="en-US"/>
              </w:rPr>
            </w:pPr>
          </w:p>
        </w:tc>
        <w:tc>
          <w:tcPr>
            <w:tcW w:w="1974" w:type="dxa"/>
            <w:tcBorders>
              <w:top w:val="single" w:sz="4" w:space="0" w:color="auto"/>
              <w:left w:val="single" w:sz="4" w:space="0" w:color="auto"/>
              <w:bottom w:val="single" w:sz="4" w:space="0" w:color="auto"/>
              <w:right w:val="single" w:sz="4" w:space="0" w:color="auto"/>
            </w:tcBorders>
          </w:tcPr>
          <w:p w14:paraId="00780A18"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0</w:t>
            </w:r>
          </w:p>
        </w:tc>
      </w:tr>
      <w:tr w:rsidR="00103230" w:rsidRPr="005B5139" w14:paraId="294FD223" w14:textId="77777777" w:rsidTr="007264ED">
        <w:trPr>
          <w:jc w:val="center"/>
        </w:trPr>
        <w:tc>
          <w:tcPr>
            <w:tcW w:w="2225" w:type="dxa"/>
            <w:tcBorders>
              <w:top w:val="single" w:sz="4" w:space="0" w:color="auto"/>
              <w:left w:val="single" w:sz="4" w:space="0" w:color="auto"/>
              <w:bottom w:val="single" w:sz="4" w:space="0" w:color="auto"/>
              <w:right w:val="single" w:sz="4" w:space="0" w:color="auto"/>
            </w:tcBorders>
            <w:hideMark/>
          </w:tcPr>
          <w:p w14:paraId="5153CA08" w14:textId="77777777" w:rsidR="00103230" w:rsidRPr="005B5139" w:rsidRDefault="00103230" w:rsidP="007264ED">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Payload (without CRC)</w:t>
            </w:r>
          </w:p>
        </w:tc>
        <w:tc>
          <w:tcPr>
            <w:tcW w:w="1075" w:type="dxa"/>
            <w:tcBorders>
              <w:top w:val="single" w:sz="4" w:space="0" w:color="auto"/>
              <w:left w:val="single" w:sz="4" w:space="0" w:color="auto"/>
              <w:bottom w:val="single" w:sz="4" w:space="0" w:color="auto"/>
              <w:right w:val="single" w:sz="4" w:space="0" w:color="auto"/>
            </w:tcBorders>
            <w:hideMark/>
          </w:tcPr>
          <w:p w14:paraId="167A7621"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Bits</w:t>
            </w:r>
          </w:p>
        </w:tc>
        <w:tc>
          <w:tcPr>
            <w:tcW w:w="1974" w:type="dxa"/>
            <w:tcBorders>
              <w:top w:val="single" w:sz="4" w:space="0" w:color="auto"/>
              <w:left w:val="single" w:sz="4" w:space="0" w:color="auto"/>
              <w:bottom w:val="single" w:sz="4" w:space="0" w:color="auto"/>
              <w:right w:val="single" w:sz="4" w:space="0" w:color="auto"/>
            </w:tcBorders>
          </w:tcPr>
          <w:p w14:paraId="73128A48" w14:textId="77777777" w:rsidR="00103230" w:rsidRPr="005B5139" w:rsidRDefault="00103230" w:rsidP="007264ED">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r w:rsidRPr="005B5139">
              <w:rPr>
                <w:rFonts w:ascii="Times New Roman" w:eastAsia="Malgun Gothic" w:hAnsi="Times New Roman" w:cs="Times New Roman" w:hint="eastAsia"/>
                <w:color w:val="auto"/>
                <w:kern w:val="0"/>
                <w:sz w:val="20"/>
                <w:lang w:val="en-US"/>
              </w:rPr>
              <w:t>3</w:t>
            </w:r>
          </w:p>
        </w:tc>
      </w:tr>
    </w:tbl>
    <w:p w14:paraId="02CEA9FA" w14:textId="77777777" w:rsidR="00103230" w:rsidRDefault="00103230" w:rsidP="00747A5B">
      <w:pPr>
        <w:rPr>
          <w:color w:val="000000"/>
          <w:lang w:val="en-US"/>
        </w:rPr>
      </w:pPr>
    </w:p>
    <w:p w14:paraId="2950AD6B" w14:textId="77777777" w:rsidR="00DB4244" w:rsidRDefault="00103230" w:rsidP="00DB4244">
      <w:pPr>
        <w:keepNext/>
      </w:pPr>
      <w:r>
        <w:rPr>
          <w:noProof/>
          <w:lang w:val="en-US"/>
        </w:rPr>
        <w:lastRenderedPageBreak/>
        <w:drawing>
          <wp:inline distT="0" distB="0" distL="0" distR="0" wp14:anchorId="51CD5D42" wp14:editId="7BD3EDD8">
            <wp:extent cx="5942330" cy="4074160"/>
            <wp:effectExtent l="0" t="0" r="1270" b="25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D5B9F41" w14:textId="1EE39BBC" w:rsidR="00103230" w:rsidRDefault="00DB4244" w:rsidP="00DB4244">
      <w:pPr>
        <w:pStyle w:val="Caption"/>
        <w:jc w:val="center"/>
        <w:rPr>
          <w:color w:val="000000"/>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0373C">
        <w:t xml:space="preserve">NPDCCH BLER vs SNR in </w:t>
      </w:r>
      <w:r>
        <w:t>Stand-alone</w:t>
      </w:r>
      <w:r w:rsidRPr="00F0373C">
        <w:t xml:space="preserve"> deployment mode</w:t>
      </w:r>
    </w:p>
    <w:p w14:paraId="689315F0" w14:textId="653D2890" w:rsidR="00747A5B" w:rsidRDefault="00DB4244" w:rsidP="000B2E1E">
      <w:pPr>
        <w:rPr>
          <w:color w:val="000000"/>
          <w:lang w:val="en-US"/>
        </w:rPr>
      </w:pPr>
      <w:r>
        <w:rPr>
          <w:color w:val="000000"/>
          <w:lang w:val="en-US"/>
        </w:rPr>
        <w:t>Figure 1</w:t>
      </w:r>
      <w:r w:rsidR="00747A5B">
        <w:rPr>
          <w:color w:val="000000"/>
          <w:lang w:val="en-US"/>
        </w:rPr>
        <w:t xml:space="preserve"> shows that if we choose</w:t>
      </w:r>
      <w:r w:rsidR="00325AD3">
        <w:rPr>
          <w:color w:val="000000"/>
          <w:lang w:val="en-US"/>
        </w:rPr>
        <w:t xml:space="preserve"> Rmax=64</w:t>
      </w:r>
      <w:r w:rsidR="00747A5B">
        <w:rPr>
          <w:color w:val="000000"/>
          <w:lang w:val="en-US"/>
        </w:rPr>
        <w:t>,</w:t>
      </w:r>
      <w:r w:rsidR="00325AD3">
        <w:rPr>
          <w:color w:val="000000"/>
          <w:lang w:val="en-US"/>
        </w:rPr>
        <w:t xml:space="preserve"> 10</w:t>
      </w:r>
      <w:r w:rsidR="00747A5B">
        <w:rPr>
          <w:color w:val="000000"/>
          <w:lang w:val="en-US"/>
        </w:rPr>
        <w:t>% NPDCCH BLER is achieved at -</w:t>
      </w:r>
      <w:r w:rsidR="00325AD3">
        <w:rPr>
          <w:color w:val="000000"/>
          <w:lang w:val="en-US"/>
        </w:rPr>
        <w:t>1</w:t>
      </w:r>
      <w:r w:rsidR="00747A5B">
        <w:rPr>
          <w:color w:val="000000"/>
          <w:lang w:val="en-US"/>
        </w:rPr>
        <w:t>2.</w:t>
      </w:r>
      <w:r w:rsidR="00325AD3">
        <w:rPr>
          <w:color w:val="000000"/>
          <w:lang w:val="en-US"/>
        </w:rPr>
        <w:t>6dB which can be set as Qout</w:t>
      </w:r>
      <w:r w:rsidR="00747A5B">
        <w:rPr>
          <w:color w:val="000000"/>
          <w:lang w:val="en-US"/>
        </w:rPr>
        <w:t xml:space="preserve"> threshold.</w:t>
      </w:r>
    </w:p>
    <w:p w14:paraId="25E27ECA" w14:textId="1DFD8249" w:rsidR="00747A5B" w:rsidRDefault="00747A5B" w:rsidP="000B2E1E">
      <w:pPr>
        <w:rPr>
          <w:color w:val="000000"/>
          <w:lang w:val="en-US"/>
        </w:rPr>
      </w:pPr>
      <w:r>
        <w:rPr>
          <w:color w:val="000000"/>
          <w:lang w:val="en-US"/>
        </w:rPr>
        <w:t>Then at Rmax/4</w:t>
      </w:r>
      <w:r w:rsidR="00325AD3">
        <w:rPr>
          <w:color w:val="000000"/>
          <w:lang w:val="en-US"/>
        </w:rPr>
        <w:t>=16, 2</w:t>
      </w:r>
      <w:r>
        <w:rPr>
          <w:color w:val="000000"/>
          <w:lang w:val="en-US"/>
        </w:rPr>
        <w:t>% NPDCCH BLER is achieved at -</w:t>
      </w:r>
      <w:r w:rsidR="00325AD3">
        <w:rPr>
          <w:color w:val="000000"/>
          <w:lang w:val="en-US"/>
        </w:rPr>
        <w:t>2.5dB which can be set as Qin</w:t>
      </w:r>
      <w:r>
        <w:rPr>
          <w:color w:val="000000"/>
          <w:lang w:val="en-US"/>
        </w:rPr>
        <w:t xml:space="preserve"> threshold.</w:t>
      </w:r>
    </w:p>
    <w:p w14:paraId="6B620E58" w14:textId="2CA2B99C" w:rsidR="00747A5B" w:rsidRDefault="00747A5B" w:rsidP="000B2E1E">
      <w:pPr>
        <w:rPr>
          <w:color w:val="000000"/>
          <w:lang w:val="en-US"/>
        </w:rPr>
      </w:pPr>
      <w:r>
        <w:rPr>
          <w:color w:val="000000"/>
          <w:lang w:val="en-US"/>
        </w:rPr>
        <w:t xml:space="preserve">Thus the </w:t>
      </w:r>
      <w:r w:rsidR="00470AE9">
        <w:rPr>
          <w:color w:val="000000"/>
          <w:lang w:val="en-US"/>
        </w:rPr>
        <w:t>seperation</w:t>
      </w:r>
      <w:r>
        <w:rPr>
          <w:color w:val="000000"/>
          <w:lang w:val="en-US"/>
        </w:rPr>
        <w:t xml:space="preserve"> between Qin and Qout is 10.1dB which is sufficiently large to ensure a UE does not ping-pong between in-sync and out-of-sync conditions due to inaccuracy in NRS based downlink signal quality</w:t>
      </w:r>
      <w:r w:rsidR="00470AE9">
        <w:rPr>
          <w:color w:val="000000"/>
          <w:lang w:val="en-US"/>
        </w:rPr>
        <w:t>(SINR)</w:t>
      </w:r>
      <w:r>
        <w:rPr>
          <w:color w:val="000000"/>
          <w:lang w:val="en-US"/>
        </w:rPr>
        <w:t xml:space="preserve"> estimation.</w:t>
      </w:r>
    </w:p>
    <w:p w14:paraId="299E0DBB" w14:textId="2F8196FA" w:rsidR="00C96E3B" w:rsidRPr="00C96E3B" w:rsidRDefault="00C96E3B" w:rsidP="00C96E3B">
      <w:pPr>
        <w:rPr>
          <w:b/>
          <w:color w:val="000000"/>
          <w:lang w:val="en-US"/>
        </w:rPr>
      </w:pPr>
      <w:r w:rsidRPr="00C96E3B">
        <w:rPr>
          <w:b/>
          <w:color w:val="000000"/>
          <w:lang w:val="en-US"/>
        </w:rPr>
        <w:t>Proposal</w:t>
      </w:r>
      <w:r>
        <w:rPr>
          <w:b/>
          <w:color w:val="000000"/>
          <w:lang w:val="en-US"/>
        </w:rPr>
        <w:t xml:space="preserve"> 1</w:t>
      </w:r>
      <w:r w:rsidRPr="00C96E3B">
        <w:rPr>
          <w:b/>
          <w:color w:val="000000"/>
          <w:lang w:val="en-US"/>
        </w:rPr>
        <w:t xml:space="preserve">: RAN4 should agree that </w:t>
      </w:r>
      <w:r w:rsidRPr="00C96E3B">
        <w:rPr>
          <w:b/>
          <w:lang w:val="en-US" w:eastAsia="ko-KR"/>
        </w:rPr>
        <w:t xml:space="preserve">the maximum NPDCCH repetition level for in-sync is </w:t>
      </w:r>
      <w:r w:rsidRPr="00C96E3B">
        <w:rPr>
          <w:rFonts w:eastAsia="MS Mincho"/>
          <w:b/>
          <w:lang w:eastAsia="ja-JP"/>
        </w:rPr>
        <w:t>R</w:t>
      </w:r>
      <w:r w:rsidRPr="00C96E3B">
        <w:rPr>
          <w:rFonts w:eastAsia="MS Mincho"/>
          <w:b/>
          <w:vertAlign w:val="subscript"/>
          <w:lang w:eastAsia="ja-JP"/>
        </w:rPr>
        <w:t>max</w:t>
      </w:r>
      <w:r w:rsidRPr="00C96E3B">
        <w:rPr>
          <w:rFonts w:eastAsia="MS Mincho"/>
          <w:b/>
          <w:lang w:eastAsia="ja-JP"/>
        </w:rPr>
        <w:t>/4 and remove square brackets around 4.</w:t>
      </w:r>
    </w:p>
    <w:p w14:paraId="517D701C" w14:textId="42EFE095" w:rsidR="00C96E3B" w:rsidRDefault="00771C94" w:rsidP="00993ADC">
      <w:pPr>
        <w:pStyle w:val="Heading1"/>
        <w:rPr>
          <w:lang w:val="en-US" w:eastAsia="ko-KR"/>
        </w:rPr>
      </w:pPr>
      <w:r>
        <w:rPr>
          <w:lang w:val="en-US" w:eastAsia="ko-KR"/>
        </w:rPr>
        <w:t>3</w:t>
      </w:r>
      <w:r w:rsidR="00C96E3B">
        <w:rPr>
          <w:lang w:val="en-US" w:eastAsia="ko-KR"/>
        </w:rPr>
        <w:tab/>
        <w:t>RLM Evaluation Period</w:t>
      </w:r>
      <w:r w:rsidR="00993ADC" w:rsidRPr="00993ADC">
        <w:rPr>
          <w:lang w:val="en-US" w:eastAsia="ko-KR"/>
        </w:rPr>
        <w:tab/>
      </w:r>
    </w:p>
    <w:p w14:paraId="4346C49A" w14:textId="4DC3C30A" w:rsidR="00E56E3E" w:rsidRPr="00E56E3E" w:rsidRDefault="00E56E3E" w:rsidP="00E56E3E">
      <w:pPr>
        <w:pStyle w:val="TH"/>
        <w:jc w:val="left"/>
        <w:rPr>
          <w:rFonts w:ascii="Times New Roman" w:eastAsia="Malgun Gothic" w:hAnsi="Times New Roman" w:cs="Times New Roman"/>
          <w:b w:val="0"/>
          <w:color w:val="auto"/>
          <w:kern w:val="0"/>
          <w:sz w:val="20"/>
          <w:lang w:val="en-US" w:eastAsia="ko-KR"/>
        </w:rPr>
      </w:pPr>
      <w:r>
        <w:rPr>
          <w:rFonts w:ascii="Times New Roman" w:eastAsia="Malgun Gothic" w:hAnsi="Times New Roman" w:cs="Times New Roman"/>
          <w:b w:val="0"/>
          <w:color w:val="auto"/>
          <w:kern w:val="0"/>
          <w:sz w:val="20"/>
          <w:lang w:val="en-US" w:eastAsia="ko-KR"/>
        </w:rPr>
        <w:t>In the agreed CR [1], t</w:t>
      </w:r>
      <w:r w:rsidRPr="00E56E3E">
        <w:rPr>
          <w:rFonts w:ascii="Times New Roman" w:eastAsia="Malgun Gothic" w:hAnsi="Times New Roman" w:cs="Times New Roman"/>
          <w:b w:val="0"/>
          <w:color w:val="auto"/>
          <w:kern w:val="0"/>
          <w:sz w:val="20"/>
          <w:lang w:val="en-US" w:eastAsia="ko-KR"/>
        </w:rPr>
        <w:t xml:space="preserve">he </w:t>
      </w:r>
      <w:r>
        <w:rPr>
          <w:rFonts w:ascii="Times New Roman" w:eastAsia="Malgun Gothic" w:hAnsi="Times New Roman" w:cs="Times New Roman"/>
          <w:b w:val="0"/>
          <w:color w:val="auto"/>
          <w:kern w:val="0"/>
          <w:sz w:val="20"/>
          <w:lang w:val="en-US" w:eastAsia="ko-KR"/>
        </w:rPr>
        <w:t>m</w:t>
      </w:r>
      <w:r w:rsidRPr="00E56E3E">
        <w:rPr>
          <w:rFonts w:ascii="Times New Roman" w:eastAsia="Malgun Gothic" w:hAnsi="Times New Roman" w:cs="Times New Roman"/>
          <w:b w:val="0"/>
          <w:color w:val="auto"/>
          <w:kern w:val="0"/>
          <w:sz w:val="20"/>
          <w:lang w:val="en-US" w:eastAsia="ko-KR"/>
        </w:rPr>
        <w:t>apping of coverage mode and Qout and Qin Evaluation Period in non-DRX for HD-FDD Category NB1 UE</w:t>
      </w:r>
      <w:r w:rsidR="00ED03CE">
        <w:rPr>
          <w:rFonts w:ascii="Times New Roman" w:eastAsia="Malgun Gothic" w:hAnsi="Times New Roman" w:cs="Times New Roman"/>
          <w:b w:val="0"/>
          <w:color w:val="auto"/>
          <w:kern w:val="0"/>
          <w:sz w:val="20"/>
          <w:lang w:val="en-US" w:eastAsia="ko-KR"/>
        </w:rPr>
        <w:t xml:space="preserve"> is </w:t>
      </w:r>
      <w:r w:rsidR="00CB2545">
        <w:rPr>
          <w:rFonts w:ascii="Times New Roman" w:eastAsia="Malgun Gothic" w:hAnsi="Times New Roman" w:cs="Times New Roman"/>
          <w:b w:val="0"/>
          <w:color w:val="auto"/>
          <w:kern w:val="0"/>
          <w:sz w:val="20"/>
          <w:lang w:val="en-US" w:eastAsia="ko-KR"/>
        </w:rPr>
        <w:t>specified</w:t>
      </w:r>
      <w:r w:rsidR="00ED03CE">
        <w:rPr>
          <w:rFonts w:ascii="Times New Roman" w:eastAsia="Malgun Gothic" w:hAnsi="Times New Roman" w:cs="Times New Roman"/>
          <w:b w:val="0"/>
          <w:color w:val="auto"/>
          <w:kern w:val="0"/>
          <w:sz w:val="20"/>
          <w:lang w:val="en-US" w:eastAsia="ko-KR"/>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E56E3E" w:rsidRPr="00E56E3E" w14:paraId="5F194737" w14:textId="77777777" w:rsidTr="00E56E3E">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0CF11400" w14:textId="77777777" w:rsidR="00E56E3E" w:rsidRPr="00E56E3E" w:rsidRDefault="00E56E3E">
            <w:pPr>
              <w:jc w:val="center"/>
              <w:rPr>
                <w:lang w:val="en-US" w:eastAsia="ko-KR"/>
              </w:rPr>
            </w:pPr>
            <w:r w:rsidRPr="00E56E3E">
              <w:rPr>
                <w:lang w:val="en-US" w:eastAsia="ko-KR"/>
              </w:rPr>
              <w:t>Coverage Mode</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1799057D" w14:textId="77777777" w:rsidR="00E56E3E" w:rsidRPr="00E56E3E" w:rsidRDefault="00E56E3E">
            <w:pPr>
              <w:jc w:val="center"/>
              <w:rPr>
                <w:lang w:val="en-US" w:eastAsia="ko-KR"/>
              </w:rPr>
            </w:pPr>
            <w:r w:rsidRPr="00E56E3E">
              <w:rPr>
                <w:lang w:val="en-US" w:eastAsia="ko-KR"/>
              </w:rPr>
              <w:t>T</w:t>
            </w:r>
            <w:r w:rsidRPr="00ED03CE">
              <w:rPr>
                <w:sz w:val="16"/>
                <w:lang w:val="en-US" w:eastAsia="ko-KR"/>
              </w:rPr>
              <w:t>Evaluate_Qout_NB-IoT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64745CCE" w14:textId="77777777" w:rsidR="00E56E3E" w:rsidRPr="00E56E3E" w:rsidRDefault="00E56E3E">
            <w:pPr>
              <w:jc w:val="center"/>
              <w:rPr>
                <w:lang w:val="en-US" w:eastAsia="ko-KR"/>
              </w:rPr>
            </w:pPr>
            <w:r w:rsidRPr="00E56E3E">
              <w:rPr>
                <w:lang w:val="en-US" w:eastAsia="ko-KR"/>
              </w:rPr>
              <w:t>T</w:t>
            </w:r>
            <w:r w:rsidRPr="00ED03CE">
              <w:rPr>
                <w:sz w:val="16"/>
                <w:lang w:val="en-US" w:eastAsia="ko-KR"/>
              </w:rPr>
              <w:t>Evaluate_Qin_NB-IoT</w:t>
            </w:r>
          </w:p>
        </w:tc>
      </w:tr>
      <w:tr w:rsidR="00E56E3E" w:rsidRPr="00E56E3E" w14:paraId="7560B00A" w14:textId="77777777" w:rsidTr="00E56E3E">
        <w:trPr>
          <w:jc w:val="center"/>
        </w:trPr>
        <w:tc>
          <w:tcPr>
            <w:tcW w:w="1971" w:type="dxa"/>
            <w:tcBorders>
              <w:top w:val="single" w:sz="4" w:space="0" w:color="auto"/>
              <w:left w:val="single" w:sz="4" w:space="0" w:color="auto"/>
              <w:bottom w:val="single" w:sz="4" w:space="0" w:color="auto"/>
              <w:right w:val="single" w:sz="4" w:space="0" w:color="auto"/>
            </w:tcBorders>
            <w:hideMark/>
          </w:tcPr>
          <w:p w14:paraId="67CDF6E6" w14:textId="77777777" w:rsidR="00E56E3E" w:rsidRPr="00E56E3E" w:rsidRDefault="00E56E3E">
            <w:pPr>
              <w:jc w:val="center"/>
              <w:rPr>
                <w:lang w:val="en-US" w:eastAsia="ko-KR"/>
              </w:rPr>
            </w:pPr>
            <w:r w:rsidRPr="00E56E3E">
              <w:rPr>
                <w:lang w:val="en-US" w:eastAsia="ko-KR"/>
              </w:rPr>
              <w:t>Normal</w:t>
            </w:r>
          </w:p>
        </w:tc>
        <w:tc>
          <w:tcPr>
            <w:tcW w:w="1971" w:type="dxa"/>
            <w:tcBorders>
              <w:top w:val="single" w:sz="4" w:space="0" w:color="auto"/>
              <w:left w:val="single" w:sz="4" w:space="0" w:color="auto"/>
              <w:bottom w:val="single" w:sz="4" w:space="0" w:color="auto"/>
              <w:right w:val="single" w:sz="4" w:space="0" w:color="auto"/>
            </w:tcBorders>
            <w:hideMark/>
          </w:tcPr>
          <w:p w14:paraId="6385C14D" w14:textId="77777777" w:rsidR="00E56E3E" w:rsidRPr="00E56E3E" w:rsidRDefault="00E56E3E">
            <w:pPr>
              <w:jc w:val="center"/>
              <w:rPr>
                <w:lang w:val="en-US" w:eastAsia="ko-KR"/>
              </w:rPr>
            </w:pPr>
            <w:r w:rsidRPr="00E56E3E">
              <w:rPr>
                <w:lang w:val="en-US" w:eastAsia="ko-KR"/>
              </w:rPr>
              <w:t>[400]ms</w:t>
            </w:r>
          </w:p>
        </w:tc>
        <w:tc>
          <w:tcPr>
            <w:tcW w:w="1971" w:type="dxa"/>
            <w:tcBorders>
              <w:top w:val="single" w:sz="4" w:space="0" w:color="auto"/>
              <w:left w:val="single" w:sz="4" w:space="0" w:color="auto"/>
              <w:bottom w:val="single" w:sz="4" w:space="0" w:color="auto"/>
              <w:right w:val="single" w:sz="4" w:space="0" w:color="auto"/>
            </w:tcBorders>
            <w:hideMark/>
          </w:tcPr>
          <w:p w14:paraId="1D558875" w14:textId="77777777" w:rsidR="00E56E3E" w:rsidRPr="00E56E3E" w:rsidRDefault="00E56E3E">
            <w:pPr>
              <w:jc w:val="center"/>
              <w:rPr>
                <w:lang w:val="en-US" w:eastAsia="ko-KR"/>
              </w:rPr>
            </w:pPr>
            <w:r w:rsidRPr="00E56E3E">
              <w:rPr>
                <w:lang w:val="en-US" w:eastAsia="ko-KR"/>
              </w:rPr>
              <w:t>[200]ms</w:t>
            </w:r>
          </w:p>
        </w:tc>
      </w:tr>
      <w:tr w:rsidR="00E56E3E" w:rsidRPr="00E56E3E" w14:paraId="74820810" w14:textId="77777777" w:rsidTr="00E56E3E">
        <w:trPr>
          <w:jc w:val="center"/>
        </w:trPr>
        <w:tc>
          <w:tcPr>
            <w:tcW w:w="1971" w:type="dxa"/>
            <w:tcBorders>
              <w:top w:val="single" w:sz="4" w:space="0" w:color="auto"/>
              <w:left w:val="single" w:sz="4" w:space="0" w:color="auto"/>
              <w:bottom w:val="single" w:sz="4" w:space="0" w:color="auto"/>
              <w:right w:val="single" w:sz="4" w:space="0" w:color="auto"/>
            </w:tcBorders>
            <w:hideMark/>
          </w:tcPr>
          <w:p w14:paraId="194E7109" w14:textId="77777777" w:rsidR="00E56E3E" w:rsidRPr="00E56E3E" w:rsidRDefault="00E56E3E">
            <w:pPr>
              <w:jc w:val="center"/>
              <w:rPr>
                <w:lang w:val="en-US" w:eastAsia="ko-KR"/>
              </w:rPr>
            </w:pPr>
            <w:r w:rsidRPr="00E56E3E">
              <w:rPr>
                <w:lang w:val="en-US" w:eastAsia="ko-KR"/>
              </w:rPr>
              <w:t>Enhanced</w:t>
            </w:r>
          </w:p>
        </w:tc>
        <w:tc>
          <w:tcPr>
            <w:tcW w:w="1971" w:type="dxa"/>
            <w:tcBorders>
              <w:top w:val="single" w:sz="4" w:space="0" w:color="auto"/>
              <w:left w:val="single" w:sz="4" w:space="0" w:color="auto"/>
              <w:bottom w:val="single" w:sz="4" w:space="0" w:color="auto"/>
              <w:right w:val="single" w:sz="4" w:space="0" w:color="auto"/>
            </w:tcBorders>
            <w:hideMark/>
          </w:tcPr>
          <w:p w14:paraId="7153346B" w14:textId="77777777" w:rsidR="00E56E3E" w:rsidRPr="00E56E3E" w:rsidRDefault="00E56E3E">
            <w:pPr>
              <w:jc w:val="center"/>
              <w:rPr>
                <w:lang w:val="en-US" w:eastAsia="ko-KR"/>
              </w:rPr>
            </w:pPr>
            <w:r w:rsidRPr="00E56E3E">
              <w:rPr>
                <w:lang w:val="en-US" w:eastAsia="ko-KR"/>
              </w:rPr>
              <w:t>[4000]ms</w:t>
            </w:r>
          </w:p>
        </w:tc>
        <w:tc>
          <w:tcPr>
            <w:tcW w:w="1971" w:type="dxa"/>
            <w:tcBorders>
              <w:top w:val="single" w:sz="4" w:space="0" w:color="auto"/>
              <w:left w:val="single" w:sz="4" w:space="0" w:color="auto"/>
              <w:bottom w:val="single" w:sz="4" w:space="0" w:color="auto"/>
              <w:right w:val="single" w:sz="4" w:space="0" w:color="auto"/>
            </w:tcBorders>
            <w:hideMark/>
          </w:tcPr>
          <w:p w14:paraId="200ED805" w14:textId="77777777" w:rsidR="00E56E3E" w:rsidRPr="00E56E3E" w:rsidRDefault="00E56E3E">
            <w:pPr>
              <w:jc w:val="center"/>
              <w:rPr>
                <w:lang w:val="en-US" w:eastAsia="ko-KR"/>
              </w:rPr>
            </w:pPr>
            <w:r w:rsidRPr="00E56E3E">
              <w:rPr>
                <w:lang w:val="en-US" w:eastAsia="ko-KR"/>
              </w:rPr>
              <w:t>[2000]ms</w:t>
            </w:r>
          </w:p>
        </w:tc>
      </w:tr>
    </w:tbl>
    <w:p w14:paraId="16BFB1B5" w14:textId="77777777" w:rsidR="00E56E3E" w:rsidRDefault="00E56E3E" w:rsidP="00C96E3B">
      <w:pPr>
        <w:rPr>
          <w:lang w:val="en-US" w:eastAsia="ko-KR"/>
        </w:rPr>
      </w:pPr>
    </w:p>
    <w:p w14:paraId="5BD8EE11" w14:textId="54E303DC" w:rsidR="00A24590" w:rsidRDefault="007C06BA" w:rsidP="007C06BA">
      <w:pPr>
        <w:rPr>
          <w:lang w:val="en-US" w:eastAsia="ko-KR"/>
        </w:rPr>
      </w:pPr>
      <w:r>
        <w:rPr>
          <w:lang w:val="en-US" w:eastAsia="ko-KR"/>
        </w:rPr>
        <w:t>Assuming NRS is available in every subframe, s</w:t>
      </w:r>
      <w:r w:rsidR="00CB2545">
        <w:rPr>
          <w:lang w:val="en-US" w:eastAsia="ko-KR"/>
        </w:rPr>
        <w:t xml:space="preserve">imulation </w:t>
      </w:r>
      <w:r w:rsidR="00DB09DE">
        <w:rPr>
          <w:lang w:val="en-US" w:eastAsia="ko-KR"/>
        </w:rPr>
        <w:t xml:space="preserve">analaysis </w:t>
      </w:r>
      <w:r w:rsidR="00CB2545">
        <w:rPr>
          <w:lang w:val="en-US" w:eastAsia="ko-KR"/>
        </w:rPr>
        <w:t xml:space="preserve">of </w:t>
      </w:r>
      <w:r>
        <w:rPr>
          <w:lang w:val="en-US" w:eastAsia="ko-KR"/>
        </w:rPr>
        <w:t xml:space="preserve">convergence time of </w:t>
      </w:r>
      <w:r w:rsidR="00CB2545">
        <w:rPr>
          <w:lang w:val="en-US" w:eastAsia="ko-KR"/>
        </w:rPr>
        <w:t xml:space="preserve">downlink </w:t>
      </w:r>
      <w:r>
        <w:rPr>
          <w:lang w:val="en-US" w:eastAsia="ko-KR"/>
        </w:rPr>
        <w:t>signal quality</w:t>
      </w:r>
      <w:r w:rsidR="00DB09DE">
        <w:rPr>
          <w:lang w:val="en-US" w:eastAsia="ko-KR"/>
        </w:rPr>
        <w:t>(SINR)</w:t>
      </w:r>
      <w:r>
        <w:rPr>
          <w:lang w:val="en-US" w:eastAsia="ko-KR"/>
        </w:rPr>
        <w:t xml:space="preserve"> estimation suggests that when SNR drops from 15dB to -15dB in extended coverage, </w:t>
      </w:r>
      <w:r w:rsidRPr="007C06BA">
        <w:rPr>
          <w:lang w:val="en-US" w:eastAsia="ko-KR"/>
        </w:rPr>
        <w:t xml:space="preserve">SNR estimation </w:t>
      </w:r>
      <w:r>
        <w:rPr>
          <w:lang w:val="en-US" w:eastAsia="ko-KR"/>
        </w:rPr>
        <w:t>takes nearly 5 seconds to converge</w:t>
      </w:r>
      <w:r w:rsidR="00DB09DE">
        <w:rPr>
          <w:lang w:val="en-US" w:eastAsia="ko-KR"/>
        </w:rPr>
        <w:t xml:space="preserve"> with a bias or around 1dB with respect to actual SNR</w:t>
      </w:r>
      <w:r>
        <w:rPr>
          <w:lang w:val="en-US" w:eastAsia="ko-KR"/>
        </w:rPr>
        <w:t>. This is already longer than the 4 second requirement specified</w:t>
      </w:r>
      <w:r w:rsidR="009E08A3">
        <w:rPr>
          <w:lang w:val="en-US" w:eastAsia="ko-KR"/>
        </w:rPr>
        <w:t xml:space="preserve"> for </w:t>
      </w:r>
      <w:r w:rsidR="009E08A3" w:rsidRPr="00E56E3E">
        <w:rPr>
          <w:lang w:val="en-US" w:eastAsia="ko-KR"/>
        </w:rPr>
        <w:t>T</w:t>
      </w:r>
      <w:r w:rsidR="009E08A3" w:rsidRPr="00ED03CE">
        <w:rPr>
          <w:sz w:val="16"/>
          <w:lang w:val="en-US" w:eastAsia="ko-KR"/>
        </w:rPr>
        <w:t>Evaluate_Qout_NB-IoT</w:t>
      </w:r>
      <w:r w:rsidR="009E08A3">
        <w:rPr>
          <w:sz w:val="16"/>
          <w:lang w:val="en-US" w:eastAsia="ko-KR"/>
        </w:rPr>
        <w:t xml:space="preserve"> </w:t>
      </w:r>
      <w:r w:rsidR="009E08A3" w:rsidRPr="009E08A3">
        <w:rPr>
          <w:lang w:val="en-US" w:eastAsia="ko-KR"/>
        </w:rPr>
        <w:t xml:space="preserve">in </w:t>
      </w:r>
      <w:r w:rsidR="009E08A3">
        <w:rPr>
          <w:lang w:val="en-US" w:eastAsia="ko-KR"/>
        </w:rPr>
        <w:t>extended</w:t>
      </w:r>
      <w:r w:rsidR="009E08A3" w:rsidRPr="009E08A3">
        <w:rPr>
          <w:lang w:val="en-US" w:eastAsia="ko-KR"/>
        </w:rPr>
        <w:t xml:space="preserve"> coverage</w:t>
      </w:r>
      <w:r>
        <w:rPr>
          <w:lang w:val="en-US" w:eastAsia="ko-KR"/>
        </w:rPr>
        <w:t xml:space="preserve">. </w:t>
      </w:r>
      <w:r w:rsidR="00A24590">
        <w:rPr>
          <w:lang w:val="en-US" w:eastAsia="ko-KR"/>
        </w:rPr>
        <w:t xml:space="preserve">Also, </w:t>
      </w:r>
      <w:r w:rsidR="00A24590" w:rsidRPr="007C06BA">
        <w:rPr>
          <w:lang w:val="en-US" w:eastAsia="ko-KR"/>
        </w:rPr>
        <w:t xml:space="preserve">SNR estimation </w:t>
      </w:r>
      <w:r w:rsidR="00A24590">
        <w:rPr>
          <w:lang w:val="en-US" w:eastAsia="ko-KR"/>
        </w:rPr>
        <w:t>bias is around 2-3dB of actual SNR and takes nearly 2.5 seconds to converge.</w:t>
      </w:r>
    </w:p>
    <w:p w14:paraId="2CF805B5" w14:textId="3B084877" w:rsidR="007C06BA" w:rsidRPr="007C06BA" w:rsidRDefault="006B7C4F" w:rsidP="007C06BA">
      <w:pPr>
        <w:rPr>
          <w:lang w:val="en-US" w:eastAsia="ko-KR"/>
        </w:rPr>
      </w:pPr>
      <w:r>
        <w:rPr>
          <w:lang w:val="en-US" w:eastAsia="ko-KR"/>
        </w:rPr>
        <w:lastRenderedPageBreak/>
        <w:t>Moreover,</w:t>
      </w:r>
      <w:r w:rsidR="00E54F93">
        <w:rPr>
          <w:lang w:val="en-US" w:eastAsia="ko-KR"/>
        </w:rPr>
        <w:t xml:space="preserve"> assuming NRS is available in every subframe,</w:t>
      </w:r>
      <w:r>
        <w:rPr>
          <w:lang w:val="en-US" w:eastAsia="ko-KR"/>
        </w:rPr>
        <w:t xml:space="preserve"> sim</w:t>
      </w:r>
      <w:r w:rsidR="00E54F93">
        <w:rPr>
          <w:lang w:val="en-US" w:eastAsia="ko-KR"/>
        </w:rPr>
        <w:t>ula</w:t>
      </w:r>
      <w:r>
        <w:rPr>
          <w:lang w:val="en-US" w:eastAsia="ko-KR"/>
        </w:rPr>
        <w:t>tions suggest that w</w:t>
      </w:r>
      <w:r w:rsidR="007C06BA">
        <w:rPr>
          <w:lang w:val="en-US" w:eastAsia="ko-KR"/>
        </w:rPr>
        <w:t xml:space="preserve">hen SNR jumps from -15dB to 15dB in normal coverage, </w:t>
      </w:r>
      <w:r w:rsidR="007C06BA" w:rsidRPr="007C06BA">
        <w:rPr>
          <w:lang w:val="en-US" w:eastAsia="ko-KR"/>
        </w:rPr>
        <w:t xml:space="preserve">SNR estimation </w:t>
      </w:r>
      <w:r w:rsidR="007C06BA">
        <w:rPr>
          <w:lang w:val="en-US" w:eastAsia="ko-KR"/>
        </w:rPr>
        <w:t xml:space="preserve">converges to within 1dB of actual SNR and takes nearly </w:t>
      </w:r>
      <w:r w:rsidR="00E54F93">
        <w:rPr>
          <w:lang w:val="en-US" w:eastAsia="ko-KR"/>
        </w:rPr>
        <w:t>200</w:t>
      </w:r>
      <w:r w:rsidR="007C06BA">
        <w:rPr>
          <w:lang w:val="en-US" w:eastAsia="ko-KR"/>
        </w:rPr>
        <w:t xml:space="preserve"> ms to converge. This fits in the </w:t>
      </w:r>
      <w:r w:rsidR="009E08A3">
        <w:rPr>
          <w:lang w:val="en-US" w:eastAsia="ko-KR"/>
        </w:rPr>
        <w:t>400ms</w:t>
      </w:r>
      <w:r w:rsidR="007C06BA">
        <w:rPr>
          <w:lang w:val="en-US" w:eastAsia="ko-KR"/>
        </w:rPr>
        <w:t xml:space="preserve"> requirement specified</w:t>
      </w:r>
      <w:r w:rsidR="009E08A3">
        <w:rPr>
          <w:lang w:val="en-US" w:eastAsia="ko-KR"/>
        </w:rPr>
        <w:t xml:space="preserve"> for </w:t>
      </w:r>
      <w:r w:rsidR="009E08A3" w:rsidRPr="00E56E3E">
        <w:rPr>
          <w:lang w:val="en-US" w:eastAsia="ko-KR"/>
        </w:rPr>
        <w:t>T</w:t>
      </w:r>
      <w:r w:rsidR="009E08A3" w:rsidRPr="00ED03CE">
        <w:rPr>
          <w:sz w:val="16"/>
          <w:lang w:val="en-US" w:eastAsia="ko-KR"/>
        </w:rPr>
        <w:t>Evaluate_Qout_NB-IoT</w:t>
      </w:r>
      <w:r w:rsidR="009E08A3">
        <w:rPr>
          <w:sz w:val="16"/>
          <w:lang w:val="en-US" w:eastAsia="ko-KR"/>
        </w:rPr>
        <w:t xml:space="preserve"> </w:t>
      </w:r>
      <w:r w:rsidR="009E08A3" w:rsidRPr="009E08A3">
        <w:rPr>
          <w:lang w:val="en-US" w:eastAsia="ko-KR"/>
        </w:rPr>
        <w:t>in normal coverage</w:t>
      </w:r>
      <w:r w:rsidR="007C06BA">
        <w:rPr>
          <w:lang w:val="en-US" w:eastAsia="ko-KR"/>
        </w:rPr>
        <w:t>.</w:t>
      </w:r>
    </w:p>
    <w:p w14:paraId="5804115D" w14:textId="2479C939" w:rsidR="007C06BA" w:rsidRDefault="00E54F93" w:rsidP="00C96E3B">
      <w:pPr>
        <w:rPr>
          <w:lang w:val="en-US" w:eastAsia="ko-KR"/>
        </w:rPr>
      </w:pPr>
      <w:r>
        <w:rPr>
          <w:lang w:val="en-US" w:eastAsia="ko-KR"/>
        </w:rPr>
        <w:t>The important aspect to note here is that the convergence times and SINR estimation bias mentioned assume NRS available in every subframe. This is a fair assumption in the case of Stand-alone deployment mode but not necessairy a good assumption for in-band case since the worst case availability of NRS in subframes is in SF#0, SF#4 of every frame and SF#9 in every other frame to account for presence of NSSS. For the in-band case with worst case availability of NRS in subframes, the convergence times stated above could atleast 4 times longer for a specific SINR estimation bias.</w:t>
      </w:r>
    </w:p>
    <w:p w14:paraId="75791A13" w14:textId="41EA3A52" w:rsidR="00646DD3" w:rsidRDefault="00646DD3" w:rsidP="00C96E3B">
      <w:pPr>
        <w:rPr>
          <w:lang w:val="en-US" w:eastAsia="ko-KR"/>
        </w:rPr>
      </w:pPr>
      <w:r>
        <w:rPr>
          <w:lang w:val="en-US" w:eastAsia="ko-KR"/>
        </w:rPr>
        <w:t>Also number of NRS tones available per sub frame is much smaller than CRS tones available in eMTC. Thus the SINR estimation accuracy is much lower for NB-IoT compared to eMTC.</w:t>
      </w:r>
    </w:p>
    <w:p w14:paraId="438B3D0B" w14:textId="657AB84A" w:rsidR="00B95979" w:rsidRPr="00292243" w:rsidRDefault="00E54F93" w:rsidP="00C96E3B">
      <w:pPr>
        <w:rPr>
          <w:lang w:val="en-US" w:eastAsia="ko-KR"/>
        </w:rPr>
      </w:pPr>
      <w:r>
        <w:rPr>
          <w:lang w:val="en-US" w:eastAsia="ko-KR"/>
        </w:rPr>
        <w:t>Thus there are tw</w:t>
      </w:r>
      <w:r w:rsidR="00292243">
        <w:rPr>
          <w:lang w:val="en-US" w:eastAsia="ko-KR"/>
        </w:rPr>
        <w:t xml:space="preserve">o options to address this issue. </w:t>
      </w:r>
      <w:r w:rsidR="00B95979" w:rsidRPr="00292243">
        <w:rPr>
          <w:lang w:val="en-US" w:eastAsia="ko-KR"/>
        </w:rPr>
        <w:t>RAN4 should discuss the impact of NRS availability on evaluation period and decide on one of the following two options:</w:t>
      </w:r>
    </w:p>
    <w:p w14:paraId="6F296114" w14:textId="44D6FCB4" w:rsidR="00E54F93" w:rsidRPr="00292243" w:rsidRDefault="00E54F93" w:rsidP="00B95979">
      <w:pPr>
        <w:ind w:left="284"/>
        <w:rPr>
          <w:lang w:val="en-US" w:eastAsia="ko-KR"/>
        </w:rPr>
      </w:pPr>
      <w:r w:rsidRPr="00292243">
        <w:rPr>
          <w:lang w:val="en-US" w:eastAsia="ko-KR"/>
        </w:rPr>
        <w:t>Option 1: Explicitly state in the core requirements that requirements apply only for the case when NRS is available in all sub frames</w:t>
      </w:r>
    </w:p>
    <w:p w14:paraId="07864378" w14:textId="0E32478A" w:rsidR="00E54F93" w:rsidRPr="00292243" w:rsidRDefault="00E54F93" w:rsidP="00B95979">
      <w:pPr>
        <w:ind w:left="284"/>
        <w:rPr>
          <w:lang w:val="en-US" w:eastAsia="ko-KR"/>
        </w:rPr>
      </w:pPr>
      <w:r w:rsidRPr="00292243">
        <w:rPr>
          <w:lang w:val="en-US" w:eastAsia="ko-KR"/>
        </w:rPr>
        <w:t xml:space="preserve">Option 2: </w:t>
      </w:r>
      <w:r w:rsidR="0027240A">
        <w:rPr>
          <w:lang w:val="en-US" w:eastAsia="ko-KR"/>
        </w:rPr>
        <w:t>Increase</w:t>
      </w:r>
      <w:r w:rsidRPr="00292243">
        <w:rPr>
          <w:lang w:val="en-US" w:eastAsia="ko-KR"/>
        </w:rPr>
        <w:t xml:space="preserve"> evaluation period requirements</w:t>
      </w:r>
      <w:r w:rsidR="0027240A">
        <w:rPr>
          <w:lang w:val="en-US" w:eastAsia="ko-KR"/>
        </w:rPr>
        <w:t xml:space="preserve"> by a factor of 2</w:t>
      </w:r>
      <w:r w:rsidRPr="00292243">
        <w:rPr>
          <w:lang w:val="en-US" w:eastAsia="ko-KR"/>
        </w:rPr>
        <w:t xml:space="preserve"> to account for the worst case NRS availability</w:t>
      </w:r>
    </w:p>
    <w:p w14:paraId="2B2F6E2A" w14:textId="18A499B0" w:rsidR="00292243" w:rsidRPr="0027240A" w:rsidRDefault="00292243" w:rsidP="00F214E0">
      <w:pPr>
        <w:rPr>
          <w:b/>
          <w:lang w:val="en-US" w:eastAsia="ko-KR"/>
        </w:rPr>
      </w:pPr>
      <w:r w:rsidRPr="00B95979">
        <w:rPr>
          <w:b/>
          <w:lang w:val="en-US" w:eastAsia="ko-KR"/>
        </w:rPr>
        <w:t>Proposal</w:t>
      </w:r>
      <w:r w:rsidR="006C7D62">
        <w:rPr>
          <w:b/>
          <w:lang w:val="en-US" w:eastAsia="ko-KR"/>
        </w:rPr>
        <w:t xml:space="preserve"> 2</w:t>
      </w:r>
      <w:r w:rsidRPr="00B95979">
        <w:rPr>
          <w:b/>
          <w:lang w:val="en-US" w:eastAsia="ko-KR"/>
        </w:rPr>
        <w:t>:</w:t>
      </w:r>
      <w:r>
        <w:rPr>
          <w:b/>
          <w:lang w:val="en-US" w:eastAsia="ko-KR"/>
        </w:rPr>
        <w:t xml:space="preserve"> </w:t>
      </w:r>
      <w:r w:rsidR="0027240A">
        <w:rPr>
          <w:b/>
          <w:lang w:val="en-US" w:eastAsia="ko-KR"/>
        </w:rPr>
        <w:t>Increase</w:t>
      </w:r>
      <w:r w:rsidR="00F44DF0" w:rsidRPr="0027240A">
        <w:rPr>
          <w:b/>
          <w:lang w:val="en-US" w:eastAsia="ko-KR"/>
        </w:rPr>
        <w:t xml:space="preserve"> evaluation period requirements </w:t>
      </w:r>
      <w:r w:rsidR="0027240A">
        <w:rPr>
          <w:b/>
          <w:lang w:val="en-US" w:eastAsia="ko-KR"/>
        </w:rPr>
        <w:t xml:space="preserve">by a factor of 2 </w:t>
      </w:r>
      <w:r w:rsidR="00F44DF0" w:rsidRPr="0027240A">
        <w:rPr>
          <w:b/>
          <w:lang w:val="en-US" w:eastAsia="ko-KR"/>
        </w:rPr>
        <w:t>to account for the worst case NRS availability</w:t>
      </w:r>
    </w:p>
    <w:p w14:paraId="1061EF50" w14:textId="4CC4BC64" w:rsidR="00F214E0" w:rsidRDefault="00F214E0" w:rsidP="00F214E0">
      <w:pPr>
        <w:rPr>
          <w:lang w:val="en-US" w:eastAsia="ko-KR"/>
        </w:rPr>
      </w:pPr>
      <w:r>
        <w:rPr>
          <w:lang w:val="en-US" w:eastAsia="ko-KR"/>
        </w:rPr>
        <w:t xml:space="preserve">Based on the above analysis on convergence time for DL SINR, waiting for SINR to converge to within 1dB of actual SINR will result in very long convergence times in the order of many seconds resulting higher current consumption. This is undesirable for NB-IoT UEs which are designed to operate only for one second or two seconds on an average in a day in order to </w:t>
      </w:r>
      <w:r w:rsidR="008023F3">
        <w:rPr>
          <w:lang w:val="en-US" w:eastAsia="ko-KR"/>
        </w:rPr>
        <w:t>ensure 10 year battery life. Thu</w:t>
      </w:r>
      <w:r>
        <w:rPr>
          <w:lang w:val="en-US" w:eastAsia="ko-KR"/>
        </w:rPr>
        <w:t>s reducing the convergence time implies accepting certain amount of SINR estimation bias of more than 2dB or 3dB. But such a high bias when the UE is operating around the coverage mode boundary of -6dB SNR results in incorrect selection of coverage mode. Thus a UE with actual SNR of -7dB should ideally use extended coverage mode evaluation time requirements but may use normal coverage mode evaluation time r</w:t>
      </w:r>
      <w:r w:rsidR="00D3146F">
        <w:rPr>
          <w:lang w:val="en-US" w:eastAsia="ko-KR"/>
        </w:rPr>
        <w:t>equirements since the estimated</w:t>
      </w:r>
      <w:r>
        <w:rPr>
          <w:lang w:val="en-US" w:eastAsia="ko-KR"/>
        </w:rPr>
        <w:t xml:space="preserve"> SINR may be -5dB due to estimation bias.</w:t>
      </w:r>
    </w:p>
    <w:p w14:paraId="655A15FB" w14:textId="77777777" w:rsidR="00C81E95" w:rsidRDefault="00F214E0" w:rsidP="00F214E0">
      <w:pPr>
        <w:rPr>
          <w:lang w:val="en-US" w:eastAsia="ko-KR"/>
        </w:rPr>
      </w:pPr>
      <w:r>
        <w:rPr>
          <w:lang w:val="en-US" w:eastAsia="ko-KR"/>
        </w:rPr>
        <w:t>Thus the proposal is to remove normal coverage mode evaluation time requirements and only have one set of evaluation time requirements corresponding to enhanced coverage.</w:t>
      </w:r>
      <w:r w:rsidR="00C81E95">
        <w:rPr>
          <w:lang w:val="en-US" w:eastAsia="ko-KR"/>
        </w:rPr>
        <w:t xml:space="preserve"> It is in the UE vendors interest to ensure least possible evaluation time in order to optimize current consumption even though the requirement for normal coverage mode seems relaxed.</w:t>
      </w:r>
    </w:p>
    <w:p w14:paraId="0970A8F5" w14:textId="4DBE74BC" w:rsidR="00D02127" w:rsidRDefault="00C81E95" w:rsidP="00F214E0">
      <w:pPr>
        <w:rPr>
          <w:b/>
          <w:lang w:val="en-US" w:eastAsia="ko-KR"/>
        </w:rPr>
      </w:pPr>
      <w:r w:rsidRPr="00C81E95">
        <w:rPr>
          <w:b/>
          <w:lang w:val="en-US" w:eastAsia="ko-KR"/>
        </w:rPr>
        <w:t xml:space="preserve">Proposal </w:t>
      </w:r>
      <w:r w:rsidR="006C7D62">
        <w:rPr>
          <w:b/>
          <w:lang w:val="en-US" w:eastAsia="ko-KR"/>
        </w:rPr>
        <w:t>3</w:t>
      </w:r>
      <w:r w:rsidRPr="00C81E95">
        <w:rPr>
          <w:b/>
          <w:lang w:val="en-US" w:eastAsia="ko-KR"/>
        </w:rPr>
        <w:t xml:space="preserve">: RAN4 should agree to remove normal coverage mode evaluation </w:t>
      </w:r>
      <w:r w:rsidR="00003DCB">
        <w:rPr>
          <w:b/>
          <w:lang w:val="en-US" w:eastAsia="ko-KR"/>
        </w:rPr>
        <w:t>period</w:t>
      </w:r>
      <w:r w:rsidRPr="00C81E95">
        <w:rPr>
          <w:b/>
          <w:lang w:val="en-US" w:eastAsia="ko-KR"/>
        </w:rPr>
        <w:t xml:space="preserve"> requirements and only have one set of evaluation </w:t>
      </w:r>
      <w:r w:rsidR="004D6169">
        <w:rPr>
          <w:b/>
          <w:lang w:val="en-US" w:eastAsia="ko-KR"/>
        </w:rPr>
        <w:t>period</w:t>
      </w:r>
      <w:r w:rsidRPr="00C81E95">
        <w:rPr>
          <w:b/>
          <w:lang w:val="en-US" w:eastAsia="ko-KR"/>
        </w:rPr>
        <w:t xml:space="preserve"> requirements corresponding to enhanced coverage</w:t>
      </w:r>
    </w:p>
    <w:p w14:paraId="77F0A2A8" w14:textId="6EC42525" w:rsidR="00771C94" w:rsidRPr="00EE5944" w:rsidRDefault="00771C94" w:rsidP="00771C94">
      <w:pPr>
        <w:pStyle w:val="Heading1"/>
        <w:rPr>
          <w:lang w:val="en-US" w:eastAsia="ko-KR"/>
        </w:rPr>
      </w:pPr>
      <w:r>
        <w:rPr>
          <w:lang w:val="en-US" w:eastAsia="ko-KR"/>
        </w:rPr>
        <w:t>4</w:t>
      </w:r>
      <w:r>
        <w:rPr>
          <w:lang w:val="en-US" w:eastAsia="ko-KR"/>
        </w:rPr>
        <w:tab/>
      </w:r>
      <w:r w:rsidRPr="00EE5944">
        <w:rPr>
          <w:lang w:val="en-US" w:eastAsia="ko-KR"/>
        </w:rPr>
        <w:t>Evaluation period requirement when DRX is used</w:t>
      </w:r>
    </w:p>
    <w:p w14:paraId="659D0549" w14:textId="77777777" w:rsidR="00771C94" w:rsidRPr="00EE5944" w:rsidRDefault="00771C94" w:rsidP="00771C94">
      <w:pPr>
        <w:rPr>
          <w:color w:val="000000"/>
          <w:lang w:val="en-US"/>
        </w:rPr>
      </w:pPr>
      <w:r w:rsidRPr="00EE5944">
        <w:rPr>
          <w:color w:val="000000"/>
          <w:lang w:val="en-US"/>
        </w:rPr>
        <w:t xml:space="preserve">In [2], </w:t>
      </w:r>
      <w:r w:rsidRPr="00EE5944">
        <w:rPr>
          <w:snapToGrid w:val="0"/>
        </w:rPr>
        <w:t>Q</w:t>
      </w:r>
      <w:r w:rsidRPr="00EE5944">
        <w:rPr>
          <w:snapToGrid w:val="0"/>
          <w:vertAlign w:val="subscript"/>
        </w:rPr>
        <w:t>out</w:t>
      </w:r>
      <w:r w:rsidRPr="00EE5944">
        <w:rPr>
          <w:snapToGrid w:val="0"/>
        </w:rPr>
        <w:t xml:space="preserve"> and Q</w:t>
      </w:r>
      <w:r w:rsidRPr="00EE5944">
        <w:rPr>
          <w:snapToGrid w:val="0"/>
          <w:vertAlign w:val="subscript"/>
        </w:rPr>
        <w:t>in</w:t>
      </w:r>
      <w:r w:rsidRPr="00EE5944">
        <w:rPr>
          <w:snapToGrid w:val="0"/>
        </w:rPr>
        <w:t xml:space="preserve"> </w:t>
      </w:r>
      <w:r>
        <w:rPr>
          <w:color w:val="000000"/>
          <w:lang w:val="en-US"/>
        </w:rPr>
        <w:t>e</w:t>
      </w:r>
      <w:r w:rsidRPr="00EE5944">
        <w:rPr>
          <w:color w:val="000000"/>
          <w:lang w:val="en-US"/>
        </w:rPr>
        <w:t xml:space="preserve">valuation period </w:t>
      </w:r>
      <w:r>
        <w:rPr>
          <w:color w:val="000000"/>
          <w:lang w:val="en-US"/>
        </w:rPr>
        <w:t xml:space="preserve">requirements </w:t>
      </w:r>
      <w:r w:rsidRPr="00EE5944">
        <w:rPr>
          <w:color w:val="000000"/>
          <w:lang w:val="en-US"/>
        </w:rPr>
        <w:t>when DRX is used</w:t>
      </w:r>
      <w:r>
        <w:rPr>
          <w:color w:val="000000"/>
          <w:lang w:val="en-US"/>
        </w:rPr>
        <w:t xml:space="preserve"> is specified as 5 DRX cycles regardless of DRX cycle length. Thus the total evaluation time varies between 1.28 seconds for 0.256 seconds DRX cycle length and 46.08 seconds for 9.216 seconds DRX cycle length. The 46.08 second requirement is an order of magnitude higher than the 4 second requirement in enhanced coverage when DRX in not used.</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3222"/>
        <w:gridCol w:w="2824"/>
        <w:gridCol w:w="17"/>
      </w:tblGrid>
      <w:tr w:rsidR="00771C94" w:rsidRPr="00EE5944" w14:paraId="5EDF8464" w14:textId="77777777" w:rsidTr="007264ED">
        <w:trPr>
          <w:cantSplit/>
          <w:trHeight w:val="309"/>
          <w:jc w:val="center"/>
        </w:trPr>
        <w:tc>
          <w:tcPr>
            <w:tcW w:w="1425" w:type="pct"/>
            <w:vMerge w:val="restart"/>
            <w:tcBorders>
              <w:top w:val="single" w:sz="4" w:space="0" w:color="auto"/>
              <w:left w:val="single" w:sz="4" w:space="0" w:color="auto"/>
              <w:bottom w:val="single" w:sz="4" w:space="0" w:color="auto"/>
              <w:right w:val="single" w:sz="4" w:space="0" w:color="auto"/>
            </w:tcBorders>
            <w:hideMark/>
          </w:tcPr>
          <w:p w14:paraId="53E09DE8" w14:textId="77777777" w:rsidR="00771C94" w:rsidRPr="00EE5944" w:rsidRDefault="00771C94" w:rsidP="007264ED">
            <w:pPr>
              <w:pStyle w:val="TAH"/>
              <w:rPr>
                <w:color w:val="auto"/>
              </w:rPr>
            </w:pPr>
            <w:r w:rsidRPr="00EE5944">
              <w:rPr>
                <w:color w:val="auto"/>
              </w:rPr>
              <w:t>DRX cycle length (s)</w:t>
            </w:r>
          </w:p>
        </w:tc>
        <w:tc>
          <w:tcPr>
            <w:tcW w:w="3575" w:type="pct"/>
            <w:gridSpan w:val="3"/>
            <w:tcBorders>
              <w:top w:val="single" w:sz="4" w:space="0" w:color="auto"/>
              <w:left w:val="single" w:sz="4" w:space="0" w:color="auto"/>
              <w:bottom w:val="single" w:sz="4" w:space="0" w:color="auto"/>
              <w:right w:val="single" w:sz="4" w:space="0" w:color="auto"/>
            </w:tcBorders>
            <w:hideMark/>
          </w:tcPr>
          <w:p w14:paraId="6B16A5B2" w14:textId="77777777" w:rsidR="00771C94" w:rsidRPr="00EE5944" w:rsidRDefault="00771C94" w:rsidP="007264ED">
            <w:pPr>
              <w:pStyle w:val="TAH"/>
              <w:rPr>
                <w:color w:val="auto"/>
              </w:rPr>
            </w:pPr>
            <w:r w:rsidRPr="00EE5944">
              <w:rPr>
                <w:color w:val="auto"/>
              </w:rPr>
              <w:t>T</w:t>
            </w:r>
            <w:r w:rsidRPr="00EE5944">
              <w:rPr>
                <w:color w:val="auto"/>
                <w:vertAlign w:val="subscript"/>
              </w:rPr>
              <w:t>Evaluate_</w:t>
            </w:r>
            <w:r w:rsidRPr="00EE5944">
              <w:rPr>
                <w:color w:val="auto"/>
              </w:rPr>
              <w:t>Q</w:t>
            </w:r>
            <w:r w:rsidRPr="00EE5944">
              <w:rPr>
                <w:color w:val="auto"/>
                <w:vertAlign w:val="subscript"/>
              </w:rPr>
              <w:t>out_DRX_NB-IoT</w:t>
            </w:r>
            <w:r w:rsidRPr="00EE5944">
              <w:rPr>
                <w:color w:val="auto"/>
              </w:rPr>
              <w:t xml:space="preserve"> and T</w:t>
            </w:r>
            <w:r w:rsidRPr="00EE5944">
              <w:rPr>
                <w:color w:val="auto"/>
                <w:vertAlign w:val="subscript"/>
              </w:rPr>
              <w:t>Evaluate_</w:t>
            </w:r>
            <w:r w:rsidRPr="00EE5944">
              <w:rPr>
                <w:color w:val="auto"/>
              </w:rPr>
              <w:t>Q</w:t>
            </w:r>
            <w:r w:rsidRPr="00EE5944">
              <w:rPr>
                <w:color w:val="auto"/>
                <w:vertAlign w:val="subscript"/>
              </w:rPr>
              <w:t>in_DRX_NB-IoT</w:t>
            </w:r>
            <w:r w:rsidRPr="00EE5944">
              <w:rPr>
                <w:color w:val="auto"/>
              </w:rPr>
              <w:t xml:space="preserve"> (s) </w:t>
            </w:r>
          </w:p>
        </w:tc>
      </w:tr>
      <w:tr w:rsidR="00771C94" w:rsidRPr="00EE5944" w14:paraId="3DD6C9AF" w14:textId="77777777" w:rsidTr="007264ED">
        <w:trPr>
          <w:gridAfter w:val="1"/>
          <w:wAfter w:w="10" w:type="pct"/>
          <w:cantSplit/>
          <w:trHeight w:val="5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6CB5E" w14:textId="77777777" w:rsidR="00771C94" w:rsidRPr="00EE5944" w:rsidRDefault="00771C94" w:rsidP="007264ED">
            <w:pPr>
              <w:spacing w:after="0"/>
              <w:rPr>
                <w:rFonts w:ascii="Arial" w:hAnsi="Arial"/>
                <w:b/>
                <w:sz w:val="18"/>
              </w:rPr>
            </w:pPr>
          </w:p>
        </w:tc>
        <w:tc>
          <w:tcPr>
            <w:tcW w:w="1900" w:type="pct"/>
            <w:tcBorders>
              <w:top w:val="single" w:sz="4" w:space="0" w:color="auto"/>
              <w:left w:val="single" w:sz="4" w:space="0" w:color="auto"/>
              <w:bottom w:val="single" w:sz="4" w:space="0" w:color="auto"/>
              <w:right w:val="single" w:sz="4" w:space="0" w:color="auto"/>
            </w:tcBorders>
            <w:hideMark/>
          </w:tcPr>
          <w:p w14:paraId="1414A33A" w14:textId="77777777" w:rsidR="00771C94" w:rsidRPr="00EE5944" w:rsidRDefault="00771C94" w:rsidP="007264ED">
            <w:pPr>
              <w:pStyle w:val="TAH"/>
              <w:rPr>
                <w:color w:val="auto"/>
              </w:rPr>
            </w:pPr>
            <w:r w:rsidRPr="00EE5944">
              <w:rPr>
                <w:color w:val="auto"/>
              </w:rPr>
              <w:t>DRX cycles for Normal coverage</w:t>
            </w:r>
          </w:p>
        </w:tc>
        <w:tc>
          <w:tcPr>
            <w:tcW w:w="1665" w:type="pct"/>
            <w:tcBorders>
              <w:top w:val="single" w:sz="4" w:space="0" w:color="auto"/>
              <w:left w:val="single" w:sz="4" w:space="0" w:color="auto"/>
              <w:bottom w:val="single" w:sz="4" w:space="0" w:color="auto"/>
              <w:right w:val="single" w:sz="4" w:space="0" w:color="auto"/>
            </w:tcBorders>
            <w:hideMark/>
          </w:tcPr>
          <w:p w14:paraId="76C6A5E2" w14:textId="77777777" w:rsidR="00771C94" w:rsidRPr="00EE5944" w:rsidRDefault="00771C94" w:rsidP="007264ED">
            <w:pPr>
              <w:pStyle w:val="TAH"/>
              <w:rPr>
                <w:color w:val="auto"/>
              </w:rPr>
            </w:pPr>
            <w:r w:rsidRPr="00EE5944">
              <w:rPr>
                <w:color w:val="auto"/>
              </w:rPr>
              <w:t>DRX cycles for Enhanced coverage</w:t>
            </w:r>
          </w:p>
        </w:tc>
      </w:tr>
      <w:tr w:rsidR="00771C94" w:rsidRPr="00EE5944" w14:paraId="79C29671" w14:textId="77777777" w:rsidTr="007264ED">
        <w:trPr>
          <w:cantSplit/>
          <w:trHeight w:val="489"/>
          <w:jc w:val="center"/>
        </w:trPr>
        <w:tc>
          <w:tcPr>
            <w:tcW w:w="1425" w:type="pct"/>
            <w:tcBorders>
              <w:top w:val="single" w:sz="4" w:space="0" w:color="auto"/>
              <w:left w:val="single" w:sz="4" w:space="0" w:color="auto"/>
              <w:bottom w:val="single" w:sz="4" w:space="0" w:color="auto"/>
              <w:right w:val="single" w:sz="4" w:space="0" w:color="auto"/>
            </w:tcBorders>
            <w:hideMark/>
          </w:tcPr>
          <w:p w14:paraId="74041EB4" w14:textId="77777777" w:rsidR="00771C94" w:rsidRPr="00EE5944" w:rsidRDefault="00771C94" w:rsidP="007264ED">
            <w:pPr>
              <w:pStyle w:val="TAC"/>
              <w:rPr>
                <w:color w:val="auto"/>
              </w:rPr>
            </w:pPr>
            <w:r w:rsidRPr="00EE5944">
              <w:rPr>
                <w:color w:val="auto"/>
              </w:rPr>
              <w:t>0.256 &lt; DRX cycle ≤ 9.216</w:t>
            </w:r>
          </w:p>
        </w:tc>
        <w:tc>
          <w:tcPr>
            <w:tcW w:w="1900" w:type="pct"/>
            <w:tcBorders>
              <w:top w:val="single" w:sz="4" w:space="0" w:color="auto"/>
              <w:left w:val="single" w:sz="4" w:space="0" w:color="auto"/>
              <w:bottom w:val="single" w:sz="4" w:space="0" w:color="auto"/>
              <w:right w:val="single" w:sz="4" w:space="0" w:color="auto"/>
            </w:tcBorders>
            <w:hideMark/>
          </w:tcPr>
          <w:p w14:paraId="5D1AE151" w14:textId="77777777" w:rsidR="00771C94" w:rsidRPr="00EE5944" w:rsidRDefault="00771C94" w:rsidP="007264ED">
            <w:pPr>
              <w:pStyle w:val="TAC"/>
              <w:rPr>
                <w:color w:val="auto"/>
              </w:rPr>
            </w:pPr>
            <w:r w:rsidRPr="00EE5944">
              <w:rPr>
                <w:color w:val="auto"/>
              </w:rPr>
              <w:t>Note 2 ([5])</w:t>
            </w:r>
          </w:p>
        </w:tc>
        <w:tc>
          <w:tcPr>
            <w:tcW w:w="1675" w:type="pct"/>
            <w:gridSpan w:val="2"/>
            <w:tcBorders>
              <w:top w:val="single" w:sz="4" w:space="0" w:color="auto"/>
              <w:left w:val="single" w:sz="4" w:space="0" w:color="auto"/>
              <w:bottom w:val="single" w:sz="4" w:space="0" w:color="auto"/>
              <w:right w:val="single" w:sz="4" w:space="0" w:color="auto"/>
            </w:tcBorders>
            <w:hideMark/>
          </w:tcPr>
          <w:p w14:paraId="6B42B910" w14:textId="77777777" w:rsidR="00771C94" w:rsidRPr="00EE5944" w:rsidRDefault="00771C94" w:rsidP="007264ED">
            <w:pPr>
              <w:pStyle w:val="TAC"/>
              <w:rPr>
                <w:color w:val="auto"/>
              </w:rPr>
            </w:pPr>
            <w:r w:rsidRPr="00EE5944">
              <w:rPr>
                <w:color w:val="auto"/>
              </w:rPr>
              <w:t>Note 2 ([5])</w:t>
            </w:r>
          </w:p>
        </w:tc>
      </w:tr>
      <w:tr w:rsidR="00771C94" w:rsidRPr="00EE5944" w14:paraId="779F31BF" w14:textId="77777777" w:rsidTr="007264E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912622A" w14:textId="77777777" w:rsidR="00771C94" w:rsidRPr="00EE5944" w:rsidRDefault="00771C94" w:rsidP="007264ED">
            <w:pPr>
              <w:pStyle w:val="TAN"/>
              <w:rPr>
                <w:color w:val="auto"/>
              </w:rPr>
            </w:pPr>
          </w:p>
          <w:p w14:paraId="114CBB81" w14:textId="77777777" w:rsidR="00771C94" w:rsidRPr="00EE5944" w:rsidRDefault="00771C94" w:rsidP="007264ED">
            <w:pPr>
              <w:pStyle w:val="TAN"/>
              <w:rPr>
                <w:color w:val="auto"/>
              </w:rPr>
            </w:pPr>
            <w:r w:rsidRPr="00EE5944">
              <w:rPr>
                <w:color w:val="auto"/>
              </w:rPr>
              <w:t>NOTE 1:</w:t>
            </w:r>
            <w:r w:rsidRPr="00EE5944">
              <w:rPr>
                <w:color w:val="auto"/>
              </w:rPr>
              <w:tab/>
              <w:t>Evaluation period length in time depends on the length of the DRX cycle in use</w:t>
            </w:r>
          </w:p>
          <w:p w14:paraId="47C1F9F6" w14:textId="77777777" w:rsidR="00771C94" w:rsidRPr="00EE5944" w:rsidRDefault="00771C94" w:rsidP="007264ED">
            <w:pPr>
              <w:pStyle w:val="TAN"/>
              <w:rPr>
                <w:color w:val="auto"/>
              </w:rPr>
            </w:pPr>
          </w:p>
        </w:tc>
      </w:tr>
    </w:tbl>
    <w:p w14:paraId="3144755B" w14:textId="77777777" w:rsidR="00771C94" w:rsidRDefault="00771C94" w:rsidP="00771C94">
      <w:pPr>
        <w:rPr>
          <w:b/>
          <w:color w:val="000000"/>
          <w:lang w:val="en-US"/>
        </w:rPr>
      </w:pPr>
    </w:p>
    <w:p w14:paraId="15D3201B" w14:textId="4B4BB7FE" w:rsidR="001E72EF" w:rsidRDefault="00771C94" w:rsidP="001E72EF">
      <w:pPr>
        <w:rPr>
          <w:lang w:val="en-US" w:eastAsia="ko-KR"/>
        </w:rPr>
      </w:pPr>
      <w:r w:rsidRPr="00E85A83">
        <w:rPr>
          <w:color w:val="000000"/>
          <w:lang w:val="en-US"/>
        </w:rPr>
        <w:t xml:space="preserve">Based on SINR convergence </w:t>
      </w:r>
      <w:r w:rsidR="00E85A83">
        <w:rPr>
          <w:color w:val="000000"/>
          <w:lang w:val="en-US"/>
        </w:rPr>
        <w:t xml:space="preserve">time </w:t>
      </w:r>
      <w:r w:rsidRPr="00E85A83">
        <w:rPr>
          <w:color w:val="000000"/>
          <w:lang w:val="en-US"/>
        </w:rPr>
        <w:t>and estimation bias discussion presented above</w:t>
      </w:r>
      <w:r w:rsidR="00D615CC">
        <w:rPr>
          <w:color w:val="000000"/>
          <w:lang w:val="en-US"/>
        </w:rPr>
        <w:t xml:space="preserve"> i.e. for a convergence time of 2.5 seconds, </w:t>
      </w:r>
      <w:r w:rsidR="00D615CC" w:rsidRPr="007C06BA">
        <w:rPr>
          <w:lang w:val="en-US" w:eastAsia="ko-KR"/>
        </w:rPr>
        <w:t xml:space="preserve">SNR estimation </w:t>
      </w:r>
      <w:r w:rsidR="00D615CC">
        <w:rPr>
          <w:lang w:val="en-US" w:eastAsia="ko-KR"/>
        </w:rPr>
        <w:t>bias is around 2-3dB of actual SNR</w:t>
      </w:r>
      <w:r w:rsidR="00D615CC">
        <w:rPr>
          <w:color w:val="000000"/>
          <w:lang w:val="en-US"/>
        </w:rPr>
        <w:t xml:space="preserve">, as an example, if DRX cycle length of 0.256 seconds is considered, the UE would have to stay awake for 10 consecutive DRX cycles with no opportunity for sleep </w:t>
      </w:r>
      <w:r w:rsidR="007358A5">
        <w:rPr>
          <w:color w:val="000000"/>
          <w:lang w:val="en-US"/>
        </w:rPr>
        <w:t>(</w:t>
      </w:r>
      <w:r w:rsidR="00D615CC">
        <w:rPr>
          <w:color w:val="000000"/>
          <w:lang w:val="en-US"/>
        </w:rPr>
        <w:t xml:space="preserve">and </w:t>
      </w:r>
      <w:r w:rsidR="00D615CC">
        <w:rPr>
          <w:color w:val="000000"/>
          <w:lang w:val="en-US"/>
        </w:rPr>
        <w:lastRenderedPageBreak/>
        <w:t>current savings</w:t>
      </w:r>
      <w:r w:rsidR="007358A5">
        <w:rPr>
          <w:color w:val="000000"/>
          <w:lang w:val="en-US"/>
        </w:rPr>
        <w:t>)</w:t>
      </w:r>
      <w:r w:rsidR="00D615CC">
        <w:rPr>
          <w:color w:val="000000"/>
          <w:lang w:val="en-US"/>
        </w:rPr>
        <w:t xml:space="preserve"> and yet arrive at an SINR estimate with a bias of around 2-3dB.</w:t>
      </w:r>
      <w:r w:rsidR="007358A5">
        <w:rPr>
          <w:color w:val="000000"/>
          <w:lang w:val="en-US"/>
        </w:rPr>
        <w:t xml:space="preserve"> Potentially, the requirement could be 20 DRX cycles assuming 50% DRX ON time per cycle or 40 DRX cycles assuming 25% DRX ON time per cycle assuming frequency </w:t>
      </w:r>
      <w:r w:rsidR="00E55598">
        <w:rPr>
          <w:color w:val="000000"/>
          <w:lang w:val="en-US"/>
        </w:rPr>
        <w:t>drift</w:t>
      </w:r>
      <w:r w:rsidR="007358A5">
        <w:rPr>
          <w:color w:val="000000"/>
          <w:lang w:val="en-US"/>
        </w:rPr>
        <w:t xml:space="preserve"> and time drift between DRX ON times</w:t>
      </w:r>
      <w:r w:rsidR="00E55598">
        <w:rPr>
          <w:color w:val="000000"/>
          <w:lang w:val="en-US"/>
        </w:rPr>
        <w:t xml:space="preserve"> can be compensated</w:t>
      </w:r>
      <w:r w:rsidR="007358A5">
        <w:rPr>
          <w:color w:val="000000"/>
          <w:lang w:val="en-US"/>
        </w:rPr>
        <w:t>. Thus 5 DRX cycles is clearly insufficient for DRX cycle length of 0.256 seconds.</w:t>
      </w:r>
      <w:r w:rsidR="001E72EF">
        <w:rPr>
          <w:color w:val="000000"/>
          <w:lang w:val="en-US"/>
        </w:rPr>
        <w:t xml:space="preserve"> </w:t>
      </w:r>
      <w:r w:rsidR="004D3656">
        <w:rPr>
          <w:color w:val="000000"/>
          <w:lang w:val="en-US"/>
        </w:rPr>
        <w:t>Moreover, eNB cannot configure small DRX cycle lengths such as 0.256s in enhanced coverage with Rmax=256 or 512. So specifying evaluation period requirement for such a combination is useless. Thus, as discussed in proposal 3</w:t>
      </w:r>
      <w:r w:rsidR="001E72EF">
        <w:rPr>
          <w:color w:val="000000"/>
          <w:lang w:val="en-US"/>
        </w:rPr>
        <w:t xml:space="preserve">, </w:t>
      </w:r>
      <w:r w:rsidR="00522296" w:rsidRPr="00522296">
        <w:rPr>
          <w:lang w:val="en-US" w:eastAsia="ko-KR"/>
        </w:rPr>
        <w:t>RAN4 should agree to remove normal coverage mode evaluation period requirements and only have one set of evaluation period requirements corresponding to enhanced coverage</w:t>
      </w:r>
      <w:r w:rsidR="00F87CFD">
        <w:rPr>
          <w:lang w:val="en-US" w:eastAsia="ko-KR"/>
        </w:rPr>
        <w:t>.</w:t>
      </w:r>
      <w:r w:rsidR="004D3656">
        <w:rPr>
          <w:lang w:val="en-US" w:eastAsia="ko-KR"/>
        </w:rPr>
        <w:t xml:space="preserve"> </w:t>
      </w:r>
    </w:p>
    <w:p w14:paraId="07879876" w14:textId="7BF33285" w:rsidR="00771C94" w:rsidRDefault="006C7D62" w:rsidP="00F214E0">
      <w:pPr>
        <w:rPr>
          <w:b/>
          <w:color w:val="000000"/>
          <w:lang w:val="en-US"/>
        </w:rPr>
      </w:pPr>
      <w:r>
        <w:rPr>
          <w:b/>
          <w:color w:val="000000"/>
          <w:lang w:val="en-US"/>
        </w:rPr>
        <w:t>Proposal 4</w:t>
      </w:r>
      <w:r w:rsidR="00771C94">
        <w:rPr>
          <w:b/>
          <w:color w:val="000000"/>
          <w:lang w:val="en-US"/>
        </w:rPr>
        <w:t>: RAN4 should further analyze the RLM evaluation period requirements when DRX is used</w:t>
      </w:r>
      <w:r w:rsidR="004D3656">
        <w:rPr>
          <w:b/>
          <w:color w:val="000000"/>
          <w:lang w:val="en-US"/>
        </w:rPr>
        <w:t xml:space="preserve"> and consider specifying the requirement as follows:</w:t>
      </w:r>
      <w:r w:rsidR="00771C94">
        <w:rPr>
          <w:b/>
          <w:color w:val="000000"/>
          <w:lang w:val="en-US"/>
        </w:rPr>
        <w:t xml:space="preserve"> </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5652"/>
      </w:tblGrid>
      <w:tr w:rsidR="004D3656" w14:paraId="6161B306" w14:textId="77777777" w:rsidTr="0050318A">
        <w:trPr>
          <w:cantSplit/>
          <w:trHeight w:val="309"/>
          <w:jc w:val="center"/>
        </w:trPr>
        <w:tc>
          <w:tcPr>
            <w:tcW w:w="1667" w:type="pct"/>
            <w:tcBorders>
              <w:top w:val="single" w:sz="4" w:space="0" w:color="auto"/>
              <w:left w:val="single" w:sz="4" w:space="0" w:color="auto"/>
              <w:bottom w:val="single" w:sz="4" w:space="0" w:color="auto"/>
              <w:right w:val="single" w:sz="4" w:space="0" w:color="auto"/>
            </w:tcBorders>
            <w:hideMark/>
          </w:tcPr>
          <w:p w14:paraId="2183904A" w14:textId="77777777" w:rsidR="004D3656" w:rsidRPr="004D3656" w:rsidRDefault="004D3656" w:rsidP="0050318A">
            <w:pPr>
              <w:pStyle w:val="TAH"/>
              <w:rPr>
                <w:color w:val="auto"/>
              </w:rPr>
            </w:pPr>
            <w:r w:rsidRPr="004D3656">
              <w:rPr>
                <w:color w:val="auto"/>
              </w:rPr>
              <w:t>DRX cycle length (s)</w:t>
            </w:r>
          </w:p>
        </w:tc>
        <w:tc>
          <w:tcPr>
            <w:tcW w:w="3333" w:type="pct"/>
            <w:tcBorders>
              <w:top w:val="single" w:sz="4" w:space="0" w:color="auto"/>
              <w:left w:val="single" w:sz="4" w:space="0" w:color="auto"/>
              <w:bottom w:val="single" w:sz="4" w:space="0" w:color="auto"/>
              <w:right w:val="single" w:sz="4" w:space="0" w:color="auto"/>
            </w:tcBorders>
            <w:hideMark/>
          </w:tcPr>
          <w:p w14:paraId="4F433C00" w14:textId="77777777" w:rsidR="004D3656" w:rsidRPr="004D3656" w:rsidRDefault="004D3656" w:rsidP="0050318A">
            <w:pPr>
              <w:pStyle w:val="TAH"/>
              <w:rPr>
                <w:color w:val="auto"/>
              </w:rPr>
            </w:pPr>
            <w:r w:rsidRPr="004D3656">
              <w:rPr>
                <w:color w:val="auto"/>
              </w:rPr>
              <w:t>T</w:t>
            </w:r>
            <w:r w:rsidRPr="004D3656">
              <w:rPr>
                <w:color w:val="auto"/>
                <w:vertAlign w:val="subscript"/>
              </w:rPr>
              <w:t>Evaluate_</w:t>
            </w:r>
            <w:r w:rsidRPr="004D3656">
              <w:rPr>
                <w:color w:val="auto"/>
              </w:rPr>
              <w:t>Q</w:t>
            </w:r>
            <w:r w:rsidRPr="004D3656">
              <w:rPr>
                <w:color w:val="auto"/>
                <w:vertAlign w:val="subscript"/>
              </w:rPr>
              <w:t>out_DRX_NB-IoT</w:t>
            </w:r>
            <w:r w:rsidRPr="004D3656">
              <w:rPr>
                <w:color w:val="auto"/>
              </w:rPr>
              <w:t xml:space="preserve"> and T</w:t>
            </w:r>
            <w:r w:rsidRPr="004D3656">
              <w:rPr>
                <w:color w:val="auto"/>
                <w:vertAlign w:val="subscript"/>
              </w:rPr>
              <w:t>Evaluate_</w:t>
            </w:r>
            <w:r w:rsidRPr="004D3656">
              <w:rPr>
                <w:color w:val="auto"/>
              </w:rPr>
              <w:t>Q</w:t>
            </w:r>
            <w:r w:rsidRPr="004D3656">
              <w:rPr>
                <w:color w:val="auto"/>
                <w:vertAlign w:val="subscript"/>
              </w:rPr>
              <w:t>in_DRX_NB-IoT</w:t>
            </w:r>
            <w:r w:rsidRPr="004D3656">
              <w:rPr>
                <w:color w:val="auto"/>
              </w:rPr>
              <w:t xml:space="preserve"> (s) </w:t>
            </w:r>
          </w:p>
        </w:tc>
      </w:tr>
      <w:tr w:rsidR="004D3656" w14:paraId="0F519491" w14:textId="77777777" w:rsidTr="0050318A">
        <w:trPr>
          <w:cantSplit/>
          <w:trHeight w:val="489"/>
          <w:jc w:val="center"/>
        </w:trPr>
        <w:tc>
          <w:tcPr>
            <w:tcW w:w="1667" w:type="pct"/>
            <w:tcBorders>
              <w:top w:val="single" w:sz="4" w:space="0" w:color="auto"/>
              <w:left w:val="single" w:sz="4" w:space="0" w:color="auto"/>
              <w:bottom w:val="single" w:sz="4" w:space="0" w:color="auto"/>
              <w:right w:val="single" w:sz="4" w:space="0" w:color="auto"/>
            </w:tcBorders>
            <w:hideMark/>
          </w:tcPr>
          <w:p w14:paraId="7C1DE403" w14:textId="77777777" w:rsidR="004D3656" w:rsidRPr="004D3656" w:rsidRDefault="004D3656" w:rsidP="0050318A">
            <w:pPr>
              <w:pStyle w:val="TAC"/>
              <w:rPr>
                <w:color w:val="auto"/>
              </w:rPr>
            </w:pPr>
            <w:r w:rsidRPr="004D3656">
              <w:rPr>
                <w:color w:val="auto"/>
              </w:rPr>
              <w:t>0.256 &lt; DRX cycle ≤ [1.024]</w:t>
            </w:r>
          </w:p>
        </w:tc>
        <w:tc>
          <w:tcPr>
            <w:tcW w:w="3333" w:type="pct"/>
            <w:tcBorders>
              <w:top w:val="single" w:sz="4" w:space="0" w:color="auto"/>
              <w:left w:val="single" w:sz="4" w:space="0" w:color="auto"/>
              <w:bottom w:val="single" w:sz="4" w:space="0" w:color="auto"/>
              <w:right w:val="single" w:sz="4" w:space="0" w:color="auto"/>
            </w:tcBorders>
            <w:hideMark/>
          </w:tcPr>
          <w:p w14:paraId="21C14A71" w14:textId="77777777" w:rsidR="004D3656" w:rsidRPr="004D3656" w:rsidRDefault="004D3656" w:rsidP="0050318A">
            <w:pPr>
              <w:pStyle w:val="TAC"/>
              <w:rPr>
                <w:color w:val="auto"/>
              </w:rPr>
            </w:pPr>
            <w:r w:rsidRPr="004D3656">
              <w:rPr>
                <w:color w:val="auto"/>
              </w:rPr>
              <w:t>Note 1 ([40])</w:t>
            </w:r>
          </w:p>
        </w:tc>
      </w:tr>
      <w:tr w:rsidR="004D3656" w14:paraId="235E55A2" w14:textId="77777777" w:rsidTr="0050318A">
        <w:trPr>
          <w:cantSplit/>
          <w:trHeight w:val="489"/>
          <w:jc w:val="center"/>
        </w:trPr>
        <w:tc>
          <w:tcPr>
            <w:tcW w:w="1667" w:type="pct"/>
            <w:tcBorders>
              <w:top w:val="single" w:sz="4" w:space="0" w:color="auto"/>
              <w:left w:val="single" w:sz="4" w:space="0" w:color="auto"/>
              <w:bottom w:val="single" w:sz="4" w:space="0" w:color="auto"/>
              <w:right w:val="single" w:sz="4" w:space="0" w:color="auto"/>
            </w:tcBorders>
            <w:hideMark/>
          </w:tcPr>
          <w:p w14:paraId="47BD250A" w14:textId="77777777" w:rsidR="004D3656" w:rsidRPr="004D3656" w:rsidRDefault="004D3656" w:rsidP="0050318A">
            <w:pPr>
              <w:pStyle w:val="TAC"/>
              <w:rPr>
                <w:color w:val="auto"/>
              </w:rPr>
            </w:pPr>
            <w:r w:rsidRPr="004D3656">
              <w:rPr>
                <w:color w:val="auto"/>
              </w:rPr>
              <w:t>[1.024] &lt; DRX cycle ≤ [3.072]</w:t>
            </w:r>
          </w:p>
        </w:tc>
        <w:tc>
          <w:tcPr>
            <w:tcW w:w="3333" w:type="pct"/>
            <w:tcBorders>
              <w:top w:val="single" w:sz="4" w:space="0" w:color="auto"/>
              <w:left w:val="single" w:sz="4" w:space="0" w:color="auto"/>
              <w:bottom w:val="single" w:sz="4" w:space="0" w:color="auto"/>
              <w:right w:val="single" w:sz="4" w:space="0" w:color="auto"/>
            </w:tcBorders>
            <w:hideMark/>
          </w:tcPr>
          <w:p w14:paraId="3E42CA79" w14:textId="77777777" w:rsidR="004D3656" w:rsidRPr="004D3656" w:rsidRDefault="004D3656" w:rsidP="0050318A">
            <w:pPr>
              <w:pStyle w:val="TAC"/>
              <w:rPr>
                <w:color w:val="auto"/>
              </w:rPr>
            </w:pPr>
            <w:r w:rsidRPr="004D3656">
              <w:rPr>
                <w:color w:val="auto"/>
              </w:rPr>
              <w:t>Note 1 ([20])</w:t>
            </w:r>
          </w:p>
        </w:tc>
      </w:tr>
      <w:tr w:rsidR="004D3656" w14:paraId="37F24A7C" w14:textId="77777777" w:rsidTr="0050318A">
        <w:trPr>
          <w:cantSplit/>
          <w:trHeight w:val="489"/>
          <w:jc w:val="center"/>
        </w:trPr>
        <w:tc>
          <w:tcPr>
            <w:tcW w:w="1667" w:type="pct"/>
            <w:tcBorders>
              <w:top w:val="single" w:sz="4" w:space="0" w:color="auto"/>
              <w:left w:val="single" w:sz="4" w:space="0" w:color="auto"/>
              <w:bottom w:val="single" w:sz="4" w:space="0" w:color="auto"/>
              <w:right w:val="single" w:sz="4" w:space="0" w:color="auto"/>
            </w:tcBorders>
            <w:hideMark/>
          </w:tcPr>
          <w:p w14:paraId="7507DAE0" w14:textId="77777777" w:rsidR="004D3656" w:rsidRPr="004D3656" w:rsidRDefault="004D3656" w:rsidP="0050318A">
            <w:pPr>
              <w:pStyle w:val="TAC"/>
              <w:rPr>
                <w:color w:val="auto"/>
              </w:rPr>
            </w:pPr>
            <w:r w:rsidRPr="004D3656">
              <w:rPr>
                <w:color w:val="auto"/>
              </w:rPr>
              <w:t>[4.096] &lt; DRX cycle ≤ 9.216</w:t>
            </w:r>
          </w:p>
        </w:tc>
        <w:tc>
          <w:tcPr>
            <w:tcW w:w="3333" w:type="pct"/>
            <w:tcBorders>
              <w:top w:val="single" w:sz="4" w:space="0" w:color="auto"/>
              <w:left w:val="single" w:sz="4" w:space="0" w:color="auto"/>
              <w:bottom w:val="single" w:sz="4" w:space="0" w:color="auto"/>
              <w:right w:val="single" w:sz="4" w:space="0" w:color="auto"/>
            </w:tcBorders>
            <w:hideMark/>
          </w:tcPr>
          <w:p w14:paraId="4964B7F7" w14:textId="77777777" w:rsidR="004D3656" w:rsidRPr="004D3656" w:rsidRDefault="004D3656" w:rsidP="0050318A">
            <w:pPr>
              <w:pStyle w:val="TAC"/>
              <w:rPr>
                <w:color w:val="auto"/>
              </w:rPr>
            </w:pPr>
            <w:r w:rsidRPr="004D3656">
              <w:rPr>
                <w:color w:val="auto"/>
              </w:rPr>
              <w:t>Note 1 ([5])</w:t>
            </w:r>
          </w:p>
        </w:tc>
      </w:tr>
    </w:tbl>
    <w:p w14:paraId="20BA2E01" w14:textId="77777777" w:rsidR="004D3656" w:rsidRPr="008F2323" w:rsidRDefault="004D3656" w:rsidP="00F214E0">
      <w:pPr>
        <w:rPr>
          <w:b/>
          <w:color w:val="000000"/>
          <w:lang w:val="en-US"/>
        </w:rPr>
      </w:pPr>
    </w:p>
    <w:p w14:paraId="1EF972BB" w14:textId="43F17A21" w:rsidR="007C70E2" w:rsidRDefault="00EE5944" w:rsidP="00993ADC">
      <w:pPr>
        <w:pStyle w:val="Heading1"/>
        <w:rPr>
          <w:lang w:val="en-US" w:eastAsia="ko-KR"/>
        </w:rPr>
      </w:pPr>
      <w:r>
        <w:rPr>
          <w:lang w:val="en-US" w:eastAsia="ko-KR"/>
        </w:rPr>
        <w:t>5</w:t>
      </w:r>
      <w:r w:rsidR="00C96E3B">
        <w:rPr>
          <w:lang w:val="en-US" w:eastAsia="ko-KR"/>
        </w:rPr>
        <w:tab/>
      </w:r>
      <w:r w:rsidR="00993ADC" w:rsidRPr="00993ADC">
        <w:rPr>
          <w:lang w:val="en-US" w:eastAsia="ko-KR"/>
        </w:rPr>
        <w:t xml:space="preserve">Conclusions </w:t>
      </w:r>
    </w:p>
    <w:p w14:paraId="610672FF" w14:textId="42051999" w:rsidR="00993ADC" w:rsidRDefault="00C11A40" w:rsidP="00993ADC">
      <w:pPr>
        <w:rPr>
          <w:lang w:val="en-US" w:eastAsia="ko-KR"/>
        </w:rPr>
      </w:pPr>
      <w:r>
        <w:rPr>
          <w:lang w:val="en-US" w:eastAsia="ko-KR"/>
        </w:rPr>
        <w:t>This paper has introduced the following proposal</w:t>
      </w:r>
      <w:r w:rsidR="000B2E1E">
        <w:rPr>
          <w:lang w:val="en-US" w:eastAsia="ko-KR"/>
        </w:rPr>
        <w:t>s</w:t>
      </w:r>
      <w:r>
        <w:rPr>
          <w:lang w:val="en-US" w:eastAsia="ko-KR"/>
        </w:rPr>
        <w:t xml:space="preserve"> </w:t>
      </w:r>
      <w:r w:rsidR="00B84478">
        <w:rPr>
          <w:lang w:val="en-US" w:eastAsia="ko-KR"/>
        </w:rPr>
        <w:t>for RLM</w:t>
      </w:r>
      <w:r w:rsidR="00D955C9">
        <w:rPr>
          <w:lang w:val="en-US" w:eastAsia="ko-KR"/>
        </w:rPr>
        <w:t xml:space="preserve"> requirements</w:t>
      </w:r>
      <w:r>
        <w:rPr>
          <w:lang w:val="en-US" w:eastAsia="ko-KR"/>
        </w:rPr>
        <w:t>:</w:t>
      </w:r>
    </w:p>
    <w:p w14:paraId="3B10746C" w14:textId="77777777" w:rsidR="00F27361" w:rsidRPr="00C96E3B" w:rsidRDefault="00F27361" w:rsidP="00F27361">
      <w:pPr>
        <w:rPr>
          <w:b/>
          <w:color w:val="000000"/>
          <w:lang w:val="en-US"/>
        </w:rPr>
      </w:pPr>
      <w:r w:rsidRPr="00C96E3B">
        <w:rPr>
          <w:b/>
          <w:color w:val="000000"/>
          <w:lang w:val="en-US"/>
        </w:rPr>
        <w:t>Proposal</w:t>
      </w:r>
      <w:r>
        <w:rPr>
          <w:b/>
          <w:color w:val="000000"/>
          <w:lang w:val="en-US"/>
        </w:rPr>
        <w:t xml:space="preserve"> 1</w:t>
      </w:r>
      <w:r w:rsidRPr="00C96E3B">
        <w:rPr>
          <w:b/>
          <w:color w:val="000000"/>
          <w:lang w:val="en-US"/>
        </w:rPr>
        <w:t xml:space="preserve">: RAN4 should agree that </w:t>
      </w:r>
      <w:r w:rsidRPr="00C96E3B">
        <w:rPr>
          <w:b/>
          <w:lang w:val="en-US" w:eastAsia="ko-KR"/>
        </w:rPr>
        <w:t xml:space="preserve">the maximum NPDCCH repetition level for in-sync is </w:t>
      </w:r>
      <w:r w:rsidRPr="00C96E3B">
        <w:rPr>
          <w:rFonts w:eastAsia="MS Mincho"/>
          <w:b/>
          <w:lang w:eastAsia="ja-JP"/>
        </w:rPr>
        <w:t>R</w:t>
      </w:r>
      <w:r w:rsidRPr="00C96E3B">
        <w:rPr>
          <w:rFonts w:eastAsia="MS Mincho"/>
          <w:b/>
          <w:vertAlign w:val="subscript"/>
          <w:lang w:eastAsia="ja-JP"/>
        </w:rPr>
        <w:t>max</w:t>
      </w:r>
      <w:r w:rsidRPr="00C96E3B">
        <w:rPr>
          <w:rFonts w:eastAsia="MS Mincho"/>
          <w:b/>
          <w:lang w:eastAsia="ja-JP"/>
        </w:rPr>
        <w:t>/4 and remove square brackets aro</w:t>
      </w:r>
      <w:bookmarkStart w:id="1" w:name="_GoBack"/>
      <w:bookmarkEnd w:id="1"/>
      <w:r w:rsidRPr="00C96E3B">
        <w:rPr>
          <w:rFonts w:eastAsia="MS Mincho"/>
          <w:b/>
          <w:lang w:eastAsia="ja-JP"/>
        </w:rPr>
        <w:t>und 4.</w:t>
      </w:r>
    </w:p>
    <w:p w14:paraId="177187D5" w14:textId="355BBDCE" w:rsidR="00292243" w:rsidRDefault="00292243" w:rsidP="00292243">
      <w:pPr>
        <w:rPr>
          <w:lang w:val="en-US" w:eastAsia="ko-KR"/>
        </w:rPr>
      </w:pPr>
      <w:r w:rsidRPr="00B95979">
        <w:rPr>
          <w:b/>
          <w:lang w:val="en-US" w:eastAsia="ko-KR"/>
        </w:rPr>
        <w:t>Proposal</w:t>
      </w:r>
      <w:r w:rsidR="006C7D62">
        <w:rPr>
          <w:b/>
          <w:lang w:val="en-US" w:eastAsia="ko-KR"/>
        </w:rPr>
        <w:t xml:space="preserve"> 2</w:t>
      </w:r>
      <w:r w:rsidRPr="00B95979">
        <w:rPr>
          <w:b/>
          <w:lang w:val="en-US" w:eastAsia="ko-KR"/>
        </w:rPr>
        <w:t>:</w:t>
      </w:r>
      <w:r>
        <w:rPr>
          <w:b/>
          <w:lang w:val="en-US" w:eastAsia="ko-KR"/>
        </w:rPr>
        <w:t xml:space="preserve"> </w:t>
      </w:r>
      <w:r w:rsidR="0027240A">
        <w:rPr>
          <w:b/>
          <w:lang w:val="en-US" w:eastAsia="ko-KR"/>
        </w:rPr>
        <w:t>Increase</w:t>
      </w:r>
      <w:r w:rsidR="0027240A" w:rsidRPr="0027240A">
        <w:rPr>
          <w:b/>
          <w:lang w:val="en-US" w:eastAsia="ko-KR"/>
        </w:rPr>
        <w:t xml:space="preserve"> evaluation period requirements </w:t>
      </w:r>
      <w:r w:rsidR="0027240A">
        <w:rPr>
          <w:b/>
          <w:lang w:val="en-US" w:eastAsia="ko-KR"/>
        </w:rPr>
        <w:t xml:space="preserve">by a factor of 2 </w:t>
      </w:r>
      <w:r w:rsidR="0027240A" w:rsidRPr="0027240A">
        <w:rPr>
          <w:b/>
          <w:lang w:val="en-US" w:eastAsia="ko-KR"/>
        </w:rPr>
        <w:t>to account for the worst case NRS availability</w:t>
      </w:r>
    </w:p>
    <w:p w14:paraId="603A60EE" w14:textId="19D1FC8F" w:rsidR="00B95979" w:rsidRDefault="006C7D62" w:rsidP="00993ADC">
      <w:pPr>
        <w:rPr>
          <w:b/>
          <w:lang w:val="en-US" w:eastAsia="ko-KR"/>
        </w:rPr>
      </w:pPr>
      <w:r>
        <w:rPr>
          <w:b/>
          <w:lang w:val="en-US" w:eastAsia="ko-KR"/>
        </w:rPr>
        <w:t>Proposal 3</w:t>
      </w:r>
      <w:r w:rsidR="00C81E95" w:rsidRPr="00C81E95">
        <w:rPr>
          <w:b/>
          <w:lang w:val="en-US" w:eastAsia="ko-KR"/>
        </w:rPr>
        <w:t xml:space="preserve">: RAN4 should agree to remove normal coverage mode evaluation </w:t>
      </w:r>
      <w:r w:rsidR="00003DCB">
        <w:rPr>
          <w:b/>
          <w:lang w:val="en-US" w:eastAsia="ko-KR"/>
        </w:rPr>
        <w:t>period</w:t>
      </w:r>
      <w:r w:rsidR="00C81E95" w:rsidRPr="00C81E95">
        <w:rPr>
          <w:b/>
          <w:lang w:val="en-US" w:eastAsia="ko-KR"/>
        </w:rPr>
        <w:t xml:space="preserve"> requirements and only have one set of evaluation </w:t>
      </w:r>
      <w:r w:rsidR="004D6169">
        <w:rPr>
          <w:b/>
          <w:lang w:val="en-US" w:eastAsia="ko-KR"/>
        </w:rPr>
        <w:t>period</w:t>
      </w:r>
      <w:r w:rsidR="00C81E95" w:rsidRPr="00C81E95">
        <w:rPr>
          <w:b/>
          <w:lang w:val="en-US" w:eastAsia="ko-KR"/>
        </w:rPr>
        <w:t xml:space="preserve"> requirements corresponding to enhanced coverage</w:t>
      </w:r>
    </w:p>
    <w:p w14:paraId="210F6C7D" w14:textId="77777777" w:rsidR="004D3656" w:rsidRDefault="004D3656" w:rsidP="004D3656">
      <w:pPr>
        <w:rPr>
          <w:b/>
          <w:color w:val="000000"/>
          <w:lang w:val="en-US"/>
        </w:rPr>
      </w:pPr>
      <w:r>
        <w:rPr>
          <w:b/>
          <w:color w:val="000000"/>
          <w:lang w:val="en-US"/>
        </w:rPr>
        <w:t xml:space="preserve">Proposal 4: RAN4 should further analyze the RLM evaluation period requirements when DRX is used and consider specifying the requirement as follows: </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5652"/>
      </w:tblGrid>
      <w:tr w:rsidR="004D3656" w14:paraId="78A914AA" w14:textId="77777777" w:rsidTr="0050318A">
        <w:trPr>
          <w:cantSplit/>
          <w:trHeight w:val="309"/>
          <w:jc w:val="center"/>
        </w:trPr>
        <w:tc>
          <w:tcPr>
            <w:tcW w:w="1667" w:type="pct"/>
            <w:tcBorders>
              <w:top w:val="single" w:sz="4" w:space="0" w:color="auto"/>
              <w:left w:val="single" w:sz="4" w:space="0" w:color="auto"/>
              <w:bottom w:val="single" w:sz="4" w:space="0" w:color="auto"/>
              <w:right w:val="single" w:sz="4" w:space="0" w:color="auto"/>
            </w:tcBorders>
            <w:hideMark/>
          </w:tcPr>
          <w:p w14:paraId="67C1C748" w14:textId="77777777" w:rsidR="004D3656" w:rsidRPr="004D3656" w:rsidRDefault="004D3656" w:rsidP="0050318A">
            <w:pPr>
              <w:pStyle w:val="TAH"/>
              <w:rPr>
                <w:color w:val="auto"/>
              </w:rPr>
            </w:pPr>
            <w:r w:rsidRPr="004D3656">
              <w:rPr>
                <w:color w:val="auto"/>
              </w:rPr>
              <w:t>DRX cycle length (s)</w:t>
            </w:r>
          </w:p>
        </w:tc>
        <w:tc>
          <w:tcPr>
            <w:tcW w:w="3333" w:type="pct"/>
            <w:tcBorders>
              <w:top w:val="single" w:sz="4" w:space="0" w:color="auto"/>
              <w:left w:val="single" w:sz="4" w:space="0" w:color="auto"/>
              <w:bottom w:val="single" w:sz="4" w:space="0" w:color="auto"/>
              <w:right w:val="single" w:sz="4" w:space="0" w:color="auto"/>
            </w:tcBorders>
            <w:hideMark/>
          </w:tcPr>
          <w:p w14:paraId="10070720" w14:textId="77777777" w:rsidR="004D3656" w:rsidRPr="004D3656" w:rsidRDefault="004D3656" w:rsidP="0050318A">
            <w:pPr>
              <w:pStyle w:val="TAH"/>
              <w:rPr>
                <w:color w:val="auto"/>
              </w:rPr>
            </w:pPr>
            <w:r w:rsidRPr="004D3656">
              <w:rPr>
                <w:color w:val="auto"/>
              </w:rPr>
              <w:t>T</w:t>
            </w:r>
            <w:r w:rsidRPr="004D3656">
              <w:rPr>
                <w:color w:val="auto"/>
                <w:vertAlign w:val="subscript"/>
              </w:rPr>
              <w:t>Evaluate_</w:t>
            </w:r>
            <w:r w:rsidRPr="004D3656">
              <w:rPr>
                <w:color w:val="auto"/>
              </w:rPr>
              <w:t>Q</w:t>
            </w:r>
            <w:r w:rsidRPr="004D3656">
              <w:rPr>
                <w:color w:val="auto"/>
                <w:vertAlign w:val="subscript"/>
              </w:rPr>
              <w:t>out_DRX_NB-IoT</w:t>
            </w:r>
            <w:r w:rsidRPr="004D3656">
              <w:rPr>
                <w:color w:val="auto"/>
              </w:rPr>
              <w:t xml:space="preserve"> and T</w:t>
            </w:r>
            <w:r w:rsidRPr="004D3656">
              <w:rPr>
                <w:color w:val="auto"/>
                <w:vertAlign w:val="subscript"/>
              </w:rPr>
              <w:t>Evaluate_</w:t>
            </w:r>
            <w:r w:rsidRPr="004D3656">
              <w:rPr>
                <w:color w:val="auto"/>
              </w:rPr>
              <w:t>Q</w:t>
            </w:r>
            <w:r w:rsidRPr="004D3656">
              <w:rPr>
                <w:color w:val="auto"/>
                <w:vertAlign w:val="subscript"/>
              </w:rPr>
              <w:t>in_DRX_NB-IoT</w:t>
            </w:r>
            <w:r w:rsidRPr="004D3656">
              <w:rPr>
                <w:color w:val="auto"/>
              </w:rPr>
              <w:t xml:space="preserve"> (s) </w:t>
            </w:r>
          </w:p>
        </w:tc>
      </w:tr>
      <w:tr w:rsidR="004D3656" w14:paraId="1DD7CA92" w14:textId="77777777" w:rsidTr="0050318A">
        <w:trPr>
          <w:cantSplit/>
          <w:trHeight w:val="489"/>
          <w:jc w:val="center"/>
        </w:trPr>
        <w:tc>
          <w:tcPr>
            <w:tcW w:w="1667" w:type="pct"/>
            <w:tcBorders>
              <w:top w:val="single" w:sz="4" w:space="0" w:color="auto"/>
              <w:left w:val="single" w:sz="4" w:space="0" w:color="auto"/>
              <w:bottom w:val="single" w:sz="4" w:space="0" w:color="auto"/>
              <w:right w:val="single" w:sz="4" w:space="0" w:color="auto"/>
            </w:tcBorders>
            <w:hideMark/>
          </w:tcPr>
          <w:p w14:paraId="098AA6E3" w14:textId="77777777" w:rsidR="004D3656" w:rsidRPr="004D3656" w:rsidRDefault="004D3656" w:rsidP="0050318A">
            <w:pPr>
              <w:pStyle w:val="TAC"/>
              <w:rPr>
                <w:color w:val="auto"/>
              </w:rPr>
            </w:pPr>
            <w:r w:rsidRPr="004D3656">
              <w:rPr>
                <w:color w:val="auto"/>
              </w:rPr>
              <w:t>0.256 &lt; DRX cycle ≤ [1.024]</w:t>
            </w:r>
          </w:p>
        </w:tc>
        <w:tc>
          <w:tcPr>
            <w:tcW w:w="3333" w:type="pct"/>
            <w:tcBorders>
              <w:top w:val="single" w:sz="4" w:space="0" w:color="auto"/>
              <w:left w:val="single" w:sz="4" w:space="0" w:color="auto"/>
              <w:bottom w:val="single" w:sz="4" w:space="0" w:color="auto"/>
              <w:right w:val="single" w:sz="4" w:space="0" w:color="auto"/>
            </w:tcBorders>
            <w:hideMark/>
          </w:tcPr>
          <w:p w14:paraId="2730FFF3" w14:textId="77777777" w:rsidR="004D3656" w:rsidRPr="004D3656" w:rsidRDefault="004D3656" w:rsidP="0050318A">
            <w:pPr>
              <w:pStyle w:val="TAC"/>
              <w:rPr>
                <w:color w:val="auto"/>
              </w:rPr>
            </w:pPr>
            <w:r w:rsidRPr="004D3656">
              <w:rPr>
                <w:color w:val="auto"/>
              </w:rPr>
              <w:t>Note 1 ([40])</w:t>
            </w:r>
          </w:p>
        </w:tc>
      </w:tr>
      <w:tr w:rsidR="004D3656" w14:paraId="151AD1EF" w14:textId="77777777" w:rsidTr="0050318A">
        <w:trPr>
          <w:cantSplit/>
          <w:trHeight w:val="489"/>
          <w:jc w:val="center"/>
        </w:trPr>
        <w:tc>
          <w:tcPr>
            <w:tcW w:w="1667" w:type="pct"/>
            <w:tcBorders>
              <w:top w:val="single" w:sz="4" w:space="0" w:color="auto"/>
              <w:left w:val="single" w:sz="4" w:space="0" w:color="auto"/>
              <w:bottom w:val="single" w:sz="4" w:space="0" w:color="auto"/>
              <w:right w:val="single" w:sz="4" w:space="0" w:color="auto"/>
            </w:tcBorders>
            <w:hideMark/>
          </w:tcPr>
          <w:p w14:paraId="7A830CD7" w14:textId="77777777" w:rsidR="004D3656" w:rsidRPr="004D3656" w:rsidRDefault="004D3656" w:rsidP="0050318A">
            <w:pPr>
              <w:pStyle w:val="TAC"/>
              <w:rPr>
                <w:color w:val="auto"/>
              </w:rPr>
            </w:pPr>
            <w:r w:rsidRPr="004D3656">
              <w:rPr>
                <w:color w:val="auto"/>
              </w:rPr>
              <w:t>[1.024] &lt; DRX cycle ≤ [3.072]</w:t>
            </w:r>
          </w:p>
        </w:tc>
        <w:tc>
          <w:tcPr>
            <w:tcW w:w="3333" w:type="pct"/>
            <w:tcBorders>
              <w:top w:val="single" w:sz="4" w:space="0" w:color="auto"/>
              <w:left w:val="single" w:sz="4" w:space="0" w:color="auto"/>
              <w:bottom w:val="single" w:sz="4" w:space="0" w:color="auto"/>
              <w:right w:val="single" w:sz="4" w:space="0" w:color="auto"/>
            </w:tcBorders>
            <w:hideMark/>
          </w:tcPr>
          <w:p w14:paraId="10909117" w14:textId="77777777" w:rsidR="004D3656" w:rsidRPr="004D3656" w:rsidRDefault="004D3656" w:rsidP="0050318A">
            <w:pPr>
              <w:pStyle w:val="TAC"/>
              <w:rPr>
                <w:color w:val="auto"/>
              </w:rPr>
            </w:pPr>
            <w:r w:rsidRPr="004D3656">
              <w:rPr>
                <w:color w:val="auto"/>
              </w:rPr>
              <w:t>Note 1 ([20])</w:t>
            </w:r>
          </w:p>
        </w:tc>
      </w:tr>
      <w:tr w:rsidR="004D3656" w14:paraId="4E64FF54" w14:textId="77777777" w:rsidTr="0050318A">
        <w:trPr>
          <w:cantSplit/>
          <w:trHeight w:val="489"/>
          <w:jc w:val="center"/>
        </w:trPr>
        <w:tc>
          <w:tcPr>
            <w:tcW w:w="1667" w:type="pct"/>
            <w:tcBorders>
              <w:top w:val="single" w:sz="4" w:space="0" w:color="auto"/>
              <w:left w:val="single" w:sz="4" w:space="0" w:color="auto"/>
              <w:bottom w:val="single" w:sz="4" w:space="0" w:color="auto"/>
              <w:right w:val="single" w:sz="4" w:space="0" w:color="auto"/>
            </w:tcBorders>
            <w:hideMark/>
          </w:tcPr>
          <w:p w14:paraId="40F4889A" w14:textId="77777777" w:rsidR="004D3656" w:rsidRPr="004D3656" w:rsidRDefault="004D3656" w:rsidP="0050318A">
            <w:pPr>
              <w:pStyle w:val="TAC"/>
              <w:rPr>
                <w:color w:val="auto"/>
              </w:rPr>
            </w:pPr>
            <w:r w:rsidRPr="004D3656">
              <w:rPr>
                <w:color w:val="auto"/>
              </w:rPr>
              <w:t>[4.096] &lt; DRX cycle ≤ 9.216</w:t>
            </w:r>
          </w:p>
        </w:tc>
        <w:tc>
          <w:tcPr>
            <w:tcW w:w="3333" w:type="pct"/>
            <w:tcBorders>
              <w:top w:val="single" w:sz="4" w:space="0" w:color="auto"/>
              <w:left w:val="single" w:sz="4" w:space="0" w:color="auto"/>
              <w:bottom w:val="single" w:sz="4" w:space="0" w:color="auto"/>
              <w:right w:val="single" w:sz="4" w:space="0" w:color="auto"/>
            </w:tcBorders>
            <w:hideMark/>
          </w:tcPr>
          <w:p w14:paraId="0029606E" w14:textId="77777777" w:rsidR="004D3656" w:rsidRPr="004D3656" w:rsidRDefault="004D3656" w:rsidP="0050318A">
            <w:pPr>
              <w:pStyle w:val="TAC"/>
              <w:rPr>
                <w:color w:val="auto"/>
              </w:rPr>
            </w:pPr>
            <w:r w:rsidRPr="004D3656">
              <w:rPr>
                <w:color w:val="auto"/>
              </w:rPr>
              <w:t>Note 1 ([5])</w:t>
            </w:r>
          </w:p>
        </w:tc>
      </w:tr>
    </w:tbl>
    <w:p w14:paraId="5CD40D43" w14:textId="78767B27" w:rsidR="003E5671" w:rsidRPr="003E5671" w:rsidRDefault="00EE5944" w:rsidP="003E5671">
      <w:pPr>
        <w:pStyle w:val="Heading1"/>
        <w:rPr>
          <w:lang w:val="en-US" w:eastAsia="ko-KR"/>
        </w:rPr>
      </w:pPr>
      <w:r>
        <w:rPr>
          <w:lang w:val="en-US" w:eastAsia="ko-KR"/>
        </w:rPr>
        <w:t>6</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4194290F" w14:textId="25D77F2B" w:rsidR="00E56E3E" w:rsidRDefault="00E56E3E" w:rsidP="004E47E2">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rsidRPr="00E56E3E">
        <w:t>R4-164901, “CR on Radio Link Monitoring for NB-IoT”</w:t>
      </w:r>
    </w:p>
    <w:p w14:paraId="1F1496E7" w14:textId="2AC8B267" w:rsidR="00E16C01" w:rsidRDefault="00736866" w:rsidP="004E47E2">
      <w:pPr>
        <w:numPr>
          <w:ilvl w:val="0"/>
          <w:numId w:val="3"/>
        </w:numPr>
        <w:tabs>
          <w:tab w:val="left" w:pos="1080"/>
        </w:tabs>
        <w:overflowPunct/>
        <w:autoSpaceDE/>
        <w:autoSpaceDN/>
        <w:adjustRightInd/>
        <w:textAlignment w:val="auto"/>
      </w:pPr>
      <w:r>
        <w:t>TS36.133</w:t>
      </w:r>
      <w:r w:rsidR="009B6738">
        <w:t xml:space="preserve"> v13.2.0</w:t>
      </w:r>
      <w:r w:rsidR="00E16C01">
        <w:t>, “</w:t>
      </w:r>
      <w:r w:rsidR="009B6738">
        <w:t>Requirements for support of radio resource management”</w:t>
      </w:r>
      <w:r w:rsidR="00E16C01">
        <w:t xml:space="preserve"> </w:t>
      </w:r>
    </w:p>
    <w:bookmarkEnd w:id="2"/>
    <w:bookmarkEnd w:id="3"/>
    <w:bookmarkEnd w:id="4"/>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13"/>
      <w:footerReference w:type="default" r:id="rId14"/>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4CEE9" w14:textId="77777777" w:rsidR="00BA4FA0" w:rsidRDefault="00BA4FA0">
      <w:r>
        <w:separator/>
      </w:r>
    </w:p>
    <w:p w14:paraId="4D72BB87" w14:textId="77777777" w:rsidR="00BA4FA0" w:rsidRDefault="00BA4FA0"/>
  </w:endnote>
  <w:endnote w:type="continuationSeparator" w:id="0">
    <w:p w14:paraId="66ADCE03" w14:textId="77777777" w:rsidR="00BA4FA0" w:rsidRDefault="00BA4FA0">
      <w:r>
        <w:continuationSeparator/>
      </w:r>
    </w:p>
    <w:p w14:paraId="34C54971" w14:textId="77777777" w:rsidR="00BA4FA0" w:rsidRDefault="00BA4FA0"/>
  </w:endnote>
  <w:endnote w:type="continuationNotice" w:id="1">
    <w:p w14:paraId="6E594B8A" w14:textId="77777777" w:rsidR="00BA4FA0" w:rsidRDefault="00BA4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3656">
      <w:rPr>
        <w:rStyle w:val="PageNumber"/>
      </w:rPr>
      <w:t>4</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5F529" w14:textId="77777777" w:rsidR="00BA4FA0" w:rsidRDefault="00BA4FA0">
      <w:r>
        <w:separator/>
      </w:r>
    </w:p>
    <w:p w14:paraId="481B18FC" w14:textId="77777777" w:rsidR="00BA4FA0" w:rsidRDefault="00BA4FA0"/>
  </w:footnote>
  <w:footnote w:type="continuationSeparator" w:id="0">
    <w:p w14:paraId="05CA88A4" w14:textId="77777777" w:rsidR="00BA4FA0" w:rsidRDefault="00BA4FA0">
      <w:r>
        <w:continuationSeparator/>
      </w:r>
    </w:p>
    <w:p w14:paraId="45E8AE9B" w14:textId="77777777" w:rsidR="00BA4FA0" w:rsidRDefault="00BA4FA0"/>
  </w:footnote>
  <w:footnote w:type="continuationNotice" w:id="1">
    <w:p w14:paraId="4E8ED985" w14:textId="77777777" w:rsidR="00BA4FA0" w:rsidRDefault="00BA4F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8031D"/>
    <w:multiLevelType w:val="hybridMultilevel"/>
    <w:tmpl w:val="5B006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E60A4"/>
    <w:multiLevelType w:val="hybridMultilevel"/>
    <w:tmpl w:val="07D86418"/>
    <w:lvl w:ilvl="0" w:tplc="E8B2AD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17169"/>
    <w:multiLevelType w:val="hybridMultilevel"/>
    <w:tmpl w:val="546AF7D6"/>
    <w:lvl w:ilvl="0" w:tplc="53287728">
      <w:start w:val="1"/>
      <w:numFmt w:val="bullet"/>
      <w:lvlText w:val="•"/>
      <w:lvlJc w:val="left"/>
      <w:pPr>
        <w:tabs>
          <w:tab w:val="num" w:pos="720"/>
        </w:tabs>
        <w:ind w:left="720" w:hanging="360"/>
      </w:pPr>
      <w:rPr>
        <w:rFonts w:ascii="Arial" w:hAnsi="Arial" w:hint="default"/>
      </w:rPr>
    </w:lvl>
    <w:lvl w:ilvl="1" w:tplc="DA101D7A">
      <w:start w:val="52"/>
      <w:numFmt w:val="bullet"/>
      <w:lvlText w:val="–"/>
      <w:lvlJc w:val="left"/>
      <w:pPr>
        <w:tabs>
          <w:tab w:val="num" w:pos="1440"/>
        </w:tabs>
        <w:ind w:left="1440" w:hanging="360"/>
      </w:pPr>
      <w:rPr>
        <w:rFonts w:ascii="Arial" w:hAnsi="Arial" w:hint="default"/>
      </w:rPr>
    </w:lvl>
    <w:lvl w:ilvl="2" w:tplc="3E2EF4D0" w:tentative="1">
      <w:start w:val="1"/>
      <w:numFmt w:val="bullet"/>
      <w:lvlText w:val="•"/>
      <w:lvlJc w:val="left"/>
      <w:pPr>
        <w:tabs>
          <w:tab w:val="num" w:pos="2160"/>
        </w:tabs>
        <w:ind w:left="2160" w:hanging="360"/>
      </w:pPr>
      <w:rPr>
        <w:rFonts w:ascii="Arial" w:hAnsi="Arial" w:hint="default"/>
      </w:rPr>
    </w:lvl>
    <w:lvl w:ilvl="3" w:tplc="503C6340" w:tentative="1">
      <w:start w:val="1"/>
      <w:numFmt w:val="bullet"/>
      <w:lvlText w:val="•"/>
      <w:lvlJc w:val="left"/>
      <w:pPr>
        <w:tabs>
          <w:tab w:val="num" w:pos="2880"/>
        </w:tabs>
        <w:ind w:left="2880" w:hanging="360"/>
      </w:pPr>
      <w:rPr>
        <w:rFonts w:ascii="Arial" w:hAnsi="Arial" w:hint="default"/>
      </w:rPr>
    </w:lvl>
    <w:lvl w:ilvl="4" w:tplc="00622664" w:tentative="1">
      <w:start w:val="1"/>
      <w:numFmt w:val="bullet"/>
      <w:lvlText w:val="•"/>
      <w:lvlJc w:val="left"/>
      <w:pPr>
        <w:tabs>
          <w:tab w:val="num" w:pos="3600"/>
        </w:tabs>
        <w:ind w:left="3600" w:hanging="360"/>
      </w:pPr>
      <w:rPr>
        <w:rFonts w:ascii="Arial" w:hAnsi="Arial" w:hint="default"/>
      </w:rPr>
    </w:lvl>
    <w:lvl w:ilvl="5" w:tplc="126E730A" w:tentative="1">
      <w:start w:val="1"/>
      <w:numFmt w:val="bullet"/>
      <w:lvlText w:val="•"/>
      <w:lvlJc w:val="left"/>
      <w:pPr>
        <w:tabs>
          <w:tab w:val="num" w:pos="4320"/>
        </w:tabs>
        <w:ind w:left="4320" w:hanging="360"/>
      </w:pPr>
      <w:rPr>
        <w:rFonts w:ascii="Arial" w:hAnsi="Arial" w:hint="default"/>
      </w:rPr>
    </w:lvl>
    <w:lvl w:ilvl="6" w:tplc="D2302F8E" w:tentative="1">
      <w:start w:val="1"/>
      <w:numFmt w:val="bullet"/>
      <w:lvlText w:val="•"/>
      <w:lvlJc w:val="left"/>
      <w:pPr>
        <w:tabs>
          <w:tab w:val="num" w:pos="5040"/>
        </w:tabs>
        <w:ind w:left="5040" w:hanging="360"/>
      </w:pPr>
      <w:rPr>
        <w:rFonts w:ascii="Arial" w:hAnsi="Arial" w:hint="default"/>
      </w:rPr>
    </w:lvl>
    <w:lvl w:ilvl="7" w:tplc="E6CCE5C2" w:tentative="1">
      <w:start w:val="1"/>
      <w:numFmt w:val="bullet"/>
      <w:lvlText w:val="•"/>
      <w:lvlJc w:val="left"/>
      <w:pPr>
        <w:tabs>
          <w:tab w:val="num" w:pos="5760"/>
        </w:tabs>
        <w:ind w:left="5760" w:hanging="360"/>
      </w:pPr>
      <w:rPr>
        <w:rFonts w:ascii="Arial" w:hAnsi="Arial" w:hint="default"/>
      </w:rPr>
    </w:lvl>
    <w:lvl w:ilvl="8" w:tplc="F36AE0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33"/>
  </w:num>
  <w:num w:numId="3">
    <w:abstractNumId w:val="23"/>
  </w:num>
  <w:num w:numId="4">
    <w:abstractNumId w:val="20"/>
  </w:num>
  <w:num w:numId="5">
    <w:abstractNumId w:val="28"/>
  </w:num>
  <w:num w:numId="6">
    <w:abstractNumId w:val="26"/>
  </w:num>
  <w:num w:numId="7">
    <w:abstractNumId w:val="2"/>
  </w:num>
  <w:num w:numId="8">
    <w:abstractNumId w:val="5"/>
  </w:num>
  <w:num w:numId="9">
    <w:abstractNumId w:val="25"/>
  </w:num>
  <w:num w:numId="10">
    <w:abstractNumId w:val="3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num>
  <w:num w:numId="14">
    <w:abstractNumId w:val="4"/>
  </w:num>
  <w:num w:numId="15">
    <w:abstractNumId w:val="19"/>
  </w:num>
  <w:num w:numId="16">
    <w:abstractNumId w:val="16"/>
  </w:num>
  <w:num w:numId="17">
    <w:abstractNumId w:val="1"/>
  </w:num>
  <w:num w:numId="18">
    <w:abstractNumId w:val="14"/>
  </w:num>
  <w:num w:numId="19">
    <w:abstractNumId w:val="8"/>
  </w:num>
  <w:num w:numId="20">
    <w:abstractNumId w:val="17"/>
  </w:num>
  <w:num w:numId="21">
    <w:abstractNumId w:val="29"/>
  </w:num>
  <w:num w:numId="22">
    <w:abstractNumId w:val="9"/>
  </w:num>
  <w:num w:numId="23">
    <w:abstractNumId w:val="27"/>
  </w:num>
  <w:num w:numId="24">
    <w:abstractNumId w:val="0"/>
  </w:num>
  <w:num w:numId="25">
    <w:abstractNumId w:val="21"/>
  </w:num>
  <w:num w:numId="26">
    <w:abstractNumId w:val="15"/>
  </w:num>
  <w:num w:numId="27">
    <w:abstractNumId w:val="3"/>
  </w:num>
  <w:num w:numId="28">
    <w:abstractNumId w:val="22"/>
  </w:num>
  <w:num w:numId="29">
    <w:abstractNumId w:val="24"/>
  </w:num>
  <w:num w:numId="30">
    <w:abstractNumId w:val="34"/>
  </w:num>
  <w:num w:numId="31">
    <w:abstractNumId w:val="13"/>
  </w:num>
  <w:num w:numId="32">
    <w:abstractNumId w:val="32"/>
  </w:num>
  <w:num w:numId="33">
    <w:abstractNumId w:val="10"/>
  </w:num>
  <w:num w:numId="34">
    <w:abstractNumId w:val="12"/>
  </w:num>
  <w:num w:numId="35">
    <w:abstractNumId w:val="18"/>
  </w:num>
  <w:num w:numId="3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930"/>
    <w:rsid w:val="00000C80"/>
    <w:rsid w:val="0000117D"/>
    <w:rsid w:val="000022C1"/>
    <w:rsid w:val="0000277C"/>
    <w:rsid w:val="000028B8"/>
    <w:rsid w:val="000036D8"/>
    <w:rsid w:val="00003DCB"/>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04A"/>
    <w:rsid w:val="000411DF"/>
    <w:rsid w:val="0004131D"/>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149"/>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2E1E"/>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230"/>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36CD"/>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5B"/>
    <w:rsid w:val="00125B8E"/>
    <w:rsid w:val="00125C50"/>
    <w:rsid w:val="00125CEB"/>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386"/>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28"/>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70C"/>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2EF"/>
    <w:rsid w:val="001E7A98"/>
    <w:rsid w:val="001E7C44"/>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95F"/>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14E7"/>
    <w:rsid w:val="002320B5"/>
    <w:rsid w:val="002328BA"/>
    <w:rsid w:val="00232AE1"/>
    <w:rsid w:val="00233022"/>
    <w:rsid w:val="00233341"/>
    <w:rsid w:val="00233440"/>
    <w:rsid w:val="0023346B"/>
    <w:rsid w:val="00233657"/>
    <w:rsid w:val="00233888"/>
    <w:rsid w:val="002348E2"/>
    <w:rsid w:val="00234CD0"/>
    <w:rsid w:val="002355D7"/>
    <w:rsid w:val="00235D73"/>
    <w:rsid w:val="002365B6"/>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67D"/>
    <w:rsid w:val="002637CB"/>
    <w:rsid w:val="00263C48"/>
    <w:rsid w:val="00263E2F"/>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40A"/>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E8E"/>
    <w:rsid w:val="00281208"/>
    <w:rsid w:val="00281DDC"/>
    <w:rsid w:val="002820D3"/>
    <w:rsid w:val="002820FD"/>
    <w:rsid w:val="00282427"/>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243"/>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A9D"/>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5AD3"/>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5D9"/>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215"/>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0AE9"/>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352"/>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56"/>
    <w:rsid w:val="004D36BE"/>
    <w:rsid w:val="004D3D38"/>
    <w:rsid w:val="004D4020"/>
    <w:rsid w:val="004D4468"/>
    <w:rsid w:val="004D4738"/>
    <w:rsid w:val="004D48DA"/>
    <w:rsid w:val="004D4DE6"/>
    <w:rsid w:val="004D4E79"/>
    <w:rsid w:val="004D616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2296"/>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463"/>
    <w:rsid w:val="00537801"/>
    <w:rsid w:val="005401DB"/>
    <w:rsid w:val="005409ED"/>
    <w:rsid w:val="00540AAE"/>
    <w:rsid w:val="00540D0F"/>
    <w:rsid w:val="00541290"/>
    <w:rsid w:val="005414BE"/>
    <w:rsid w:val="00541C88"/>
    <w:rsid w:val="00541CF6"/>
    <w:rsid w:val="0054227B"/>
    <w:rsid w:val="00542904"/>
    <w:rsid w:val="0054329F"/>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A9B"/>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CEE"/>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C03E7"/>
    <w:rsid w:val="005C0865"/>
    <w:rsid w:val="005C0D99"/>
    <w:rsid w:val="005C13A0"/>
    <w:rsid w:val="005C1562"/>
    <w:rsid w:val="005C1773"/>
    <w:rsid w:val="005C1932"/>
    <w:rsid w:val="005C1C6E"/>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27794"/>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36AF"/>
    <w:rsid w:val="00643BBF"/>
    <w:rsid w:val="0064449E"/>
    <w:rsid w:val="00645080"/>
    <w:rsid w:val="00645F83"/>
    <w:rsid w:val="00646D21"/>
    <w:rsid w:val="00646DD3"/>
    <w:rsid w:val="00647F17"/>
    <w:rsid w:val="0065096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A65"/>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E4F"/>
    <w:rsid w:val="00692F75"/>
    <w:rsid w:val="006931DD"/>
    <w:rsid w:val="0069322B"/>
    <w:rsid w:val="006933B8"/>
    <w:rsid w:val="006942AE"/>
    <w:rsid w:val="0069440E"/>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74E"/>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B7C4F"/>
    <w:rsid w:val="006C1205"/>
    <w:rsid w:val="006C1442"/>
    <w:rsid w:val="006C1443"/>
    <w:rsid w:val="006C24B2"/>
    <w:rsid w:val="006C25C4"/>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D62"/>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3B3F"/>
    <w:rsid w:val="006E4039"/>
    <w:rsid w:val="006E418C"/>
    <w:rsid w:val="006E420C"/>
    <w:rsid w:val="006E42CA"/>
    <w:rsid w:val="006E446F"/>
    <w:rsid w:val="006E46E2"/>
    <w:rsid w:val="006E577D"/>
    <w:rsid w:val="006E5E58"/>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58A5"/>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8ED"/>
    <w:rsid w:val="00745B2B"/>
    <w:rsid w:val="00745E0A"/>
    <w:rsid w:val="00746580"/>
    <w:rsid w:val="007469EF"/>
    <w:rsid w:val="0074750F"/>
    <w:rsid w:val="00747542"/>
    <w:rsid w:val="00747A5B"/>
    <w:rsid w:val="00747AC6"/>
    <w:rsid w:val="00747F11"/>
    <w:rsid w:val="00750009"/>
    <w:rsid w:val="007506D8"/>
    <w:rsid w:val="007509AE"/>
    <w:rsid w:val="0075137A"/>
    <w:rsid w:val="00751B0E"/>
    <w:rsid w:val="00751F07"/>
    <w:rsid w:val="00752374"/>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C94"/>
    <w:rsid w:val="00771F3D"/>
    <w:rsid w:val="0077280E"/>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0B6"/>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7F"/>
    <w:rsid w:val="007A75E3"/>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6BA"/>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0E2"/>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04C"/>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23F3"/>
    <w:rsid w:val="00803077"/>
    <w:rsid w:val="00803AAF"/>
    <w:rsid w:val="008051C8"/>
    <w:rsid w:val="00805656"/>
    <w:rsid w:val="00805DCF"/>
    <w:rsid w:val="008070AB"/>
    <w:rsid w:val="008070CF"/>
    <w:rsid w:val="008079E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0E"/>
    <w:rsid w:val="00831732"/>
    <w:rsid w:val="00831998"/>
    <w:rsid w:val="008324C4"/>
    <w:rsid w:val="008329EE"/>
    <w:rsid w:val="00832AB5"/>
    <w:rsid w:val="00832E35"/>
    <w:rsid w:val="008337BE"/>
    <w:rsid w:val="00833B7E"/>
    <w:rsid w:val="008340CD"/>
    <w:rsid w:val="00834191"/>
    <w:rsid w:val="008342A7"/>
    <w:rsid w:val="0083482B"/>
    <w:rsid w:val="00834ABB"/>
    <w:rsid w:val="00834AD5"/>
    <w:rsid w:val="00834C8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58CB"/>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E84"/>
    <w:rsid w:val="00887F14"/>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1B7"/>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323"/>
    <w:rsid w:val="008F2669"/>
    <w:rsid w:val="008F30C8"/>
    <w:rsid w:val="008F3248"/>
    <w:rsid w:val="008F393F"/>
    <w:rsid w:val="008F3DF3"/>
    <w:rsid w:val="008F42DA"/>
    <w:rsid w:val="008F46F4"/>
    <w:rsid w:val="008F56B0"/>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5124"/>
    <w:rsid w:val="0091538B"/>
    <w:rsid w:val="009153F9"/>
    <w:rsid w:val="00915556"/>
    <w:rsid w:val="00915F8E"/>
    <w:rsid w:val="009162E3"/>
    <w:rsid w:val="0091682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245"/>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967"/>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1871"/>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643"/>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3ADC"/>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738"/>
    <w:rsid w:val="009B6BDF"/>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49C9"/>
    <w:rsid w:val="009C5307"/>
    <w:rsid w:val="009C5477"/>
    <w:rsid w:val="009C54AA"/>
    <w:rsid w:val="009C5A53"/>
    <w:rsid w:val="009C5CDE"/>
    <w:rsid w:val="009C6E75"/>
    <w:rsid w:val="009C7699"/>
    <w:rsid w:val="009C76AF"/>
    <w:rsid w:val="009C792D"/>
    <w:rsid w:val="009C7DCC"/>
    <w:rsid w:val="009C7F51"/>
    <w:rsid w:val="009D0161"/>
    <w:rsid w:val="009D0545"/>
    <w:rsid w:val="009D0A04"/>
    <w:rsid w:val="009D132F"/>
    <w:rsid w:val="009D1331"/>
    <w:rsid w:val="009D1B04"/>
    <w:rsid w:val="009D2187"/>
    <w:rsid w:val="009D2332"/>
    <w:rsid w:val="009D2384"/>
    <w:rsid w:val="009D23BF"/>
    <w:rsid w:val="009D25E2"/>
    <w:rsid w:val="009D26FF"/>
    <w:rsid w:val="009D33F1"/>
    <w:rsid w:val="009D36FB"/>
    <w:rsid w:val="009D3871"/>
    <w:rsid w:val="009D3CA8"/>
    <w:rsid w:val="009D3FC3"/>
    <w:rsid w:val="009D4081"/>
    <w:rsid w:val="009D47C4"/>
    <w:rsid w:val="009D5187"/>
    <w:rsid w:val="009D5C63"/>
    <w:rsid w:val="009D5D25"/>
    <w:rsid w:val="009D61DB"/>
    <w:rsid w:val="009D6F6B"/>
    <w:rsid w:val="009D700C"/>
    <w:rsid w:val="009D7744"/>
    <w:rsid w:val="009D788A"/>
    <w:rsid w:val="009D7E65"/>
    <w:rsid w:val="009E0110"/>
    <w:rsid w:val="009E08A3"/>
    <w:rsid w:val="009E0B92"/>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63C"/>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54C"/>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590"/>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4E37"/>
    <w:rsid w:val="00A74F25"/>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78E"/>
    <w:rsid w:val="00AB7C3D"/>
    <w:rsid w:val="00AC00F9"/>
    <w:rsid w:val="00AC037E"/>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97D"/>
    <w:rsid w:val="00AC5A22"/>
    <w:rsid w:val="00AC650A"/>
    <w:rsid w:val="00AC7183"/>
    <w:rsid w:val="00AC759A"/>
    <w:rsid w:val="00AC7941"/>
    <w:rsid w:val="00AD0B06"/>
    <w:rsid w:val="00AD10DC"/>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41C"/>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4A14"/>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8A6"/>
    <w:rsid w:val="00B22A06"/>
    <w:rsid w:val="00B23BCD"/>
    <w:rsid w:val="00B23DFF"/>
    <w:rsid w:val="00B23E7D"/>
    <w:rsid w:val="00B24033"/>
    <w:rsid w:val="00B24702"/>
    <w:rsid w:val="00B24978"/>
    <w:rsid w:val="00B24D37"/>
    <w:rsid w:val="00B24D78"/>
    <w:rsid w:val="00B2587E"/>
    <w:rsid w:val="00B25F9B"/>
    <w:rsid w:val="00B2654E"/>
    <w:rsid w:val="00B26D7B"/>
    <w:rsid w:val="00B27ED7"/>
    <w:rsid w:val="00B3005C"/>
    <w:rsid w:val="00B30A55"/>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0BD"/>
    <w:rsid w:val="00B45419"/>
    <w:rsid w:val="00B460D2"/>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AF8"/>
    <w:rsid w:val="00B8339F"/>
    <w:rsid w:val="00B83A57"/>
    <w:rsid w:val="00B83A7F"/>
    <w:rsid w:val="00B83E18"/>
    <w:rsid w:val="00B8415F"/>
    <w:rsid w:val="00B841D4"/>
    <w:rsid w:val="00B84478"/>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979"/>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3B2B"/>
    <w:rsid w:val="00BA43C5"/>
    <w:rsid w:val="00BA4513"/>
    <w:rsid w:val="00BA4A8A"/>
    <w:rsid w:val="00BA4FA0"/>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915"/>
    <w:rsid w:val="00BE49D5"/>
    <w:rsid w:val="00BE4B2E"/>
    <w:rsid w:val="00BE4C06"/>
    <w:rsid w:val="00BE4DC4"/>
    <w:rsid w:val="00BE5397"/>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3BE"/>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A40"/>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7FC"/>
    <w:rsid w:val="00C2092F"/>
    <w:rsid w:val="00C20945"/>
    <w:rsid w:val="00C20A1C"/>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4715"/>
    <w:rsid w:val="00C251A4"/>
    <w:rsid w:val="00C2570E"/>
    <w:rsid w:val="00C258D2"/>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370"/>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43F"/>
    <w:rsid w:val="00C71CA4"/>
    <w:rsid w:val="00C71ED1"/>
    <w:rsid w:val="00C72232"/>
    <w:rsid w:val="00C724F8"/>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1E95"/>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34"/>
    <w:rsid w:val="00C86975"/>
    <w:rsid w:val="00C869AE"/>
    <w:rsid w:val="00C86B70"/>
    <w:rsid w:val="00C86CFD"/>
    <w:rsid w:val="00C86DF8"/>
    <w:rsid w:val="00C86F1A"/>
    <w:rsid w:val="00C907ED"/>
    <w:rsid w:val="00C908CA"/>
    <w:rsid w:val="00C912F0"/>
    <w:rsid w:val="00C91450"/>
    <w:rsid w:val="00C91758"/>
    <w:rsid w:val="00C91B96"/>
    <w:rsid w:val="00C91DB1"/>
    <w:rsid w:val="00C92430"/>
    <w:rsid w:val="00C92761"/>
    <w:rsid w:val="00C93AC8"/>
    <w:rsid w:val="00C94C6B"/>
    <w:rsid w:val="00C950F5"/>
    <w:rsid w:val="00C95296"/>
    <w:rsid w:val="00C9581B"/>
    <w:rsid w:val="00C95AC9"/>
    <w:rsid w:val="00C95F87"/>
    <w:rsid w:val="00C9602D"/>
    <w:rsid w:val="00C96699"/>
    <w:rsid w:val="00C96E3B"/>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576"/>
    <w:rsid w:val="00CB2545"/>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60E"/>
    <w:rsid w:val="00CF5DB4"/>
    <w:rsid w:val="00CF6290"/>
    <w:rsid w:val="00CF63F8"/>
    <w:rsid w:val="00CF658D"/>
    <w:rsid w:val="00CF6B49"/>
    <w:rsid w:val="00CF7410"/>
    <w:rsid w:val="00CF7EC1"/>
    <w:rsid w:val="00D000BE"/>
    <w:rsid w:val="00D005DF"/>
    <w:rsid w:val="00D006B5"/>
    <w:rsid w:val="00D00BC6"/>
    <w:rsid w:val="00D01170"/>
    <w:rsid w:val="00D02127"/>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1AF2"/>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46F"/>
    <w:rsid w:val="00D31A5E"/>
    <w:rsid w:val="00D31BB9"/>
    <w:rsid w:val="00D31CBF"/>
    <w:rsid w:val="00D325BE"/>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482"/>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570"/>
    <w:rsid w:val="00D5571E"/>
    <w:rsid w:val="00D55F18"/>
    <w:rsid w:val="00D56582"/>
    <w:rsid w:val="00D56CB6"/>
    <w:rsid w:val="00D603FC"/>
    <w:rsid w:val="00D615C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0C1"/>
    <w:rsid w:val="00D84271"/>
    <w:rsid w:val="00D84767"/>
    <w:rsid w:val="00D84977"/>
    <w:rsid w:val="00D84BCF"/>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5C9"/>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9DE"/>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44"/>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64B"/>
    <w:rsid w:val="00DC17BE"/>
    <w:rsid w:val="00DC18BA"/>
    <w:rsid w:val="00DC1A61"/>
    <w:rsid w:val="00DC2882"/>
    <w:rsid w:val="00DC2B56"/>
    <w:rsid w:val="00DC2D8D"/>
    <w:rsid w:val="00DC3934"/>
    <w:rsid w:val="00DC41F1"/>
    <w:rsid w:val="00DC4C82"/>
    <w:rsid w:val="00DC4F3E"/>
    <w:rsid w:val="00DC4F8D"/>
    <w:rsid w:val="00DC4FBC"/>
    <w:rsid w:val="00DC52CA"/>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07"/>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96B"/>
    <w:rsid w:val="00DE1D92"/>
    <w:rsid w:val="00DE22DD"/>
    <w:rsid w:val="00DE3003"/>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4F93"/>
    <w:rsid w:val="00E5551E"/>
    <w:rsid w:val="00E55598"/>
    <w:rsid w:val="00E5572C"/>
    <w:rsid w:val="00E55E74"/>
    <w:rsid w:val="00E561B9"/>
    <w:rsid w:val="00E56465"/>
    <w:rsid w:val="00E56610"/>
    <w:rsid w:val="00E567F5"/>
    <w:rsid w:val="00E5688F"/>
    <w:rsid w:val="00E569A1"/>
    <w:rsid w:val="00E56BBC"/>
    <w:rsid w:val="00E56E3E"/>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A83"/>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7B"/>
    <w:rsid w:val="00EA2A29"/>
    <w:rsid w:val="00EA31EE"/>
    <w:rsid w:val="00EA333A"/>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3CE"/>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44"/>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BD1"/>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4E0"/>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361"/>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21A1"/>
    <w:rsid w:val="00F42217"/>
    <w:rsid w:val="00F426DE"/>
    <w:rsid w:val="00F4289D"/>
    <w:rsid w:val="00F42BD0"/>
    <w:rsid w:val="00F42C5E"/>
    <w:rsid w:val="00F43629"/>
    <w:rsid w:val="00F44135"/>
    <w:rsid w:val="00F441AB"/>
    <w:rsid w:val="00F4430B"/>
    <w:rsid w:val="00F44DF0"/>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7A"/>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1953"/>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CFD"/>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5EBA"/>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78790334">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60545460">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04929944">
      <w:bodyDiv w:val="1"/>
      <w:marLeft w:val="0"/>
      <w:marRight w:val="0"/>
      <w:marTop w:val="0"/>
      <w:marBottom w:val="0"/>
      <w:divBdr>
        <w:top w:val="none" w:sz="0" w:space="0" w:color="auto"/>
        <w:left w:val="none" w:sz="0" w:space="0" w:color="auto"/>
        <w:bottom w:val="none" w:sz="0" w:space="0" w:color="auto"/>
        <w:right w:val="none" w:sz="0" w:space="0" w:color="auto"/>
      </w:divBdr>
      <w:divsChild>
        <w:div w:id="229468459">
          <w:marLeft w:val="403"/>
          <w:marRight w:val="0"/>
          <w:marTop w:val="90"/>
          <w:marBottom w:val="0"/>
          <w:divBdr>
            <w:top w:val="none" w:sz="0" w:space="0" w:color="auto"/>
            <w:left w:val="none" w:sz="0" w:space="0" w:color="auto"/>
            <w:bottom w:val="none" w:sz="0" w:space="0" w:color="auto"/>
            <w:right w:val="none" w:sz="0" w:space="0" w:color="auto"/>
          </w:divBdr>
        </w:div>
        <w:div w:id="1694307254">
          <w:marLeft w:val="950"/>
          <w:marRight w:val="0"/>
          <w:marTop w:val="60"/>
          <w:marBottom w:val="0"/>
          <w:divBdr>
            <w:top w:val="none" w:sz="0" w:space="0" w:color="auto"/>
            <w:left w:val="none" w:sz="0" w:space="0" w:color="auto"/>
            <w:bottom w:val="none" w:sz="0" w:space="0" w:color="auto"/>
            <w:right w:val="none" w:sz="0" w:space="0" w:color="auto"/>
          </w:divBdr>
        </w:div>
        <w:div w:id="685789956">
          <w:marLeft w:val="950"/>
          <w:marRight w:val="0"/>
          <w:marTop w:val="60"/>
          <w:marBottom w:val="0"/>
          <w:divBdr>
            <w:top w:val="none" w:sz="0" w:space="0" w:color="auto"/>
            <w:left w:val="none" w:sz="0" w:space="0" w:color="auto"/>
            <w:bottom w:val="none" w:sz="0" w:space="0" w:color="auto"/>
            <w:right w:val="none" w:sz="0" w:space="0" w:color="auto"/>
          </w:divBdr>
        </w:div>
        <w:div w:id="1104419031">
          <w:marLeft w:val="950"/>
          <w:marRight w:val="0"/>
          <w:marTop w:val="60"/>
          <w:marBottom w:val="0"/>
          <w:divBdr>
            <w:top w:val="none" w:sz="0" w:space="0" w:color="auto"/>
            <w:left w:val="none" w:sz="0" w:space="0" w:color="auto"/>
            <w:bottom w:val="none" w:sz="0" w:space="0" w:color="auto"/>
            <w:right w:val="none" w:sz="0" w:space="0" w:color="auto"/>
          </w:divBdr>
        </w:div>
        <w:div w:id="1279413720">
          <w:marLeft w:val="403"/>
          <w:marRight w:val="0"/>
          <w:marTop w:val="90"/>
          <w:marBottom w:val="0"/>
          <w:divBdr>
            <w:top w:val="none" w:sz="0" w:space="0" w:color="auto"/>
            <w:left w:val="none" w:sz="0" w:space="0" w:color="auto"/>
            <w:bottom w:val="none" w:sz="0" w:space="0" w:color="auto"/>
            <w:right w:val="none" w:sz="0" w:space="0" w:color="auto"/>
          </w:divBdr>
        </w:div>
        <w:div w:id="1289237207">
          <w:marLeft w:val="950"/>
          <w:marRight w:val="0"/>
          <w:marTop w:val="60"/>
          <w:marBottom w:val="0"/>
          <w:divBdr>
            <w:top w:val="none" w:sz="0" w:space="0" w:color="auto"/>
            <w:left w:val="none" w:sz="0" w:space="0" w:color="auto"/>
            <w:bottom w:val="none" w:sz="0" w:space="0" w:color="auto"/>
            <w:right w:val="none" w:sz="0" w:space="0" w:color="auto"/>
          </w:divBdr>
        </w:div>
        <w:div w:id="1263687578">
          <w:marLeft w:val="403"/>
          <w:marRight w:val="0"/>
          <w:marTop w:val="90"/>
          <w:marBottom w:val="0"/>
          <w:divBdr>
            <w:top w:val="none" w:sz="0" w:space="0" w:color="auto"/>
            <w:left w:val="none" w:sz="0" w:space="0" w:color="auto"/>
            <w:bottom w:val="none" w:sz="0" w:space="0" w:color="auto"/>
            <w:right w:val="none" w:sz="0" w:space="0" w:color="auto"/>
          </w:divBdr>
        </w:div>
        <w:div w:id="537744659">
          <w:marLeft w:val="950"/>
          <w:marRight w:val="0"/>
          <w:marTop w:val="60"/>
          <w:marBottom w:val="0"/>
          <w:divBdr>
            <w:top w:val="none" w:sz="0" w:space="0" w:color="auto"/>
            <w:left w:val="none" w:sz="0" w:space="0" w:color="auto"/>
            <w:bottom w:val="none" w:sz="0" w:space="0" w:color="auto"/>
            <w:right w:val="none" w:sz="0" w:space="0" w:color="auto"/>
          </w:divBdr>
        </w:div>
        <w:div w:id="1479299411">
          <w:marLeft w:val="403"/>
          <w:marRight w:val="0"/>
          <w:marTop w:val="90"/>
          <w:marBottom w:val="0"/>
          <w:divBdr>
            <w:top w:val="none" w:sz="0" w:space="0" w:color="auto"/>
            <w:left w:val="none" w:sz="0" w:space="0" w:color="auto"/>
            <w:bottom w:val="none" w:sz="0" w:space="0" w:color="auto"/>
            <w:right w:val="none" w:sz="0" w:space="0" w:color="auto"/>
          </w:divBdr>
        </w:div>
        <w:div w:id="10566634">
          <w:marLeft w:val="950"/>
          <w:marRight w:val="0"/>
          <w:marTop w:val="60"/>
          <w:marBottom w:val="0"/>
          <w:divBdr>
            <w:top w:val="none" w:sz="0" w:space="0" w:color="auto"/>
            <w:left w:val="none" w:sz="0" w:space="0" w:color="auto"/>
            <w:bottom w:val="none" w:sz="0" w:space="0" w:color="auto"/>
            <w:right w:val="none" w:sz="0" w:space="0" w:color="auto"/>
          </w:divBdr>
        </w:div>
        <w:div w:id="1021081107">
          <w:marLeft w:val="403"/>
          <w:marRight w:val="0"/>
          <w:marTop w:val="90"/>
          <w:marBottom w:val="0"/>
          <w:divBdr>
            <w:top w:val="none" w:sz="0" w:space="0" w:color="auto"/>
            <w:left w:val="none" w:sz="0" w:space="0" w:color="auto"/>
            <w:bottom w:val="none" w:sz="0" w:space="0" w:color="auto"/>
            <w:right w:val="none" w:sz="0" w:space="0" w:color="auto"/>
          </w:divBdr>
        </w:div>
      </w:divsChild>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59230">
      <w:bodyDiv w:val="1"/>
      <w:marLeft w:val="0"/>
      <w:marRight w:val="0"/>
      <w:marTop w:val="0"/>
      <w:marBottom w:val="0"/>
      <w:divBdr>
        <w:top w:val="none" w:sz="0" w:space="0" w:color="auto"/>
        <w:left w:val="none" w:sz="0" w:space="0" w:color="auto"/>
        <w:bottom w:val="none" w:sz="0" w:space="0" w:color="auto"/>
        <w:right w:val="none" w:sz="0" w:space="0" w:color="auto"/>
      </w:divBdr>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1598235">
      <w:bodyDiv w:val="1"/>
      <w:marLeft w:val="0"/>
      <w:marRight w:val="0"/>
      <w:marTop w:val="0"/>
      <w:marBottom w:val="0"/>
      <w:divBdr>
        <w:top w:val="none" w:sz="0" w:space="0" w:color="auto"/>
        <w:left w:val="none" w:sz="0" w:space="0" w:color="auto"/>
        <w:bottom w:val="none" w:sz="0" w:space="0" w:color="auto"/>
        <w:right w:val="none" w:sz="0" w:space="0" w:color="auto"/>
      </w:divBdr>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7790">
      <w:bodyDiv w:val="1"/>
      <w:marLeft w:val="0"/>
      <w:marRight w:val="0"/>
      <w:marTop w:val="0"/>
      <w:marBottom w:val="0"/>
      <w:divBdr>
        <w:top w:val="none" w:sz="0" w:space="0" w:color="auto"/>
        <w:left w:val="none" w:sz="0" w:space="0" w:color="auto"/>
        <w:bottom w:val="none" w:sz="0" w:space="0" w:color="auto"/>
        <w:right w:val="none" w:sz="0" w:space="0" w:color="auto"/>
      </w:divBdr>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37646717">
      <w:bodyDiv w:val="1"/>
      <w:marLeft w:val="0"/>
      <w:marRight w:val="0"/>
      <w:marTop w:val="0"/>
      <w:marBottom w:val="0"/>
      <w:divBdr>
        <w:top w:val="none" w:sz="0" w:space="0" w:color="auto"/>
        <w:left w:val="none" w:sz="0" w:space="0" w:color="auto"/>
        <w:bottom w:val="none" w:sz="0" w:space="0" w:color="auto"/>
        <w:right w:val="none" w:sz="0" w:space="0" w:color="auto"/>
      </w:divBdr>
    </w:div>
    <w:div w:id="1847361462">
      <w:bodyDiv w:val="1"/>
      <w:marLeft w:val="0"/>
      <w:marRight w:val="0"/>
      <w:marTop w:val="0"/>
      <w:marBottom w:val="0"/>
      <w:divBdr>
        <w:top w:val="none" w:sz="0" w:space="0" w:color="auto"/>
        <w:left w:val="none" w:sz="0" w:space="0" w:color="auto"/>
        <w:bottom w:val="none" w:sz="0" w:space="0" w:color="auto"/>
        <w:right w:val="none" w:sz="0" w:space="0" w:color="auto"/>
      </w:divBdr>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20-%20Gothenburg,%20Sweden\Before%20Meeting\Demod%20Perf%20-%203\R4-16xxxx%20Summary%20of%20NB-IoT%20UE%20simulation%20results%20-%20with_RF_Margi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20-%20Gothenburg,%20Sweden\Before%20Meeting\Demod%20Perf%20-%203\R4-16xxxx%20Summary%20of%20NB-IoT%20UE%20simulation%20results%20-%20with_RF_Margi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98083553656681"/>
          <c:y val="4.8832373010327584E-2"/>
          <c:w val="0.69711579373626209"/>
          <c:h val="0.83439663448081536"/>
        </c:manualLayout>
      </c:layout>
      <c:scatterChart>
        <c:scatterStyle val="lineMarker"/>
        <c:varyColors val="0"/>
        <c:ser>
          <c:idx val="0"/>
          <c:order val="0"/>
          <c:tx>
            <c:strRef>
              <c:f>'NPDCCH Case 1 ALL REPS'!$B$35</c:f>
              <c:strCache>
                <c:ptCount val="1"/>
                <c:pt idx="0">
                  <c:v>Rep16</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REPS'!$B$41:$B$56</c:f>
              <c:numCache>
                <c:formatCode>General</c:formatCode>
                <c:ptCount val="16"/>
                <c:pt idx="2" formatCode="0.00%">
                  <c:v>0.617838877680289</c:v>
                </c:pt>
                <c:pt idx="3" formatCode="0.00%">
                  <c:v>0.49453385257823862</c:v>
                </c:pt>
                <c:pt idx="4" formatCode="0.00%">
                  <c:v>0.37884759759759762</c:v>
                </c:pt>
                <c:pt idx="5" formatCode="0.00%">
                  <c:v>0.27909159159159158</c:v>
                </c:pt>
                <c:pt idx="6" formatCode="0.00%">
                  <c:v>0.20223348348348349</c:v>
                </c:pt>
                <c:pt idx="7" formatCode="0.00%">
                  <c:v>0.14344031531531531</c:v>
                </c:pt>
                <c:pt idx="8" formatCode="0.00%">
                  <c:v>0.10008445945945946</c:v>
                </c:pt>
                <c:pt idx="9" formatCode="0.00%">
                  <c:v>6.9397522522522528E-2</c:v>
                </c:pt>
                <c:pt idx="10" formatCode="0.00%">
                  <c:v>4.8470345345345348E-2</c:v>
                </c:pt>
                <c:pt idx="11" formatCode="0.00%">
                  <c:v>3.3267642642642641E-2</c:v>
                </c:pt>
                <c:pt idx="12" formatCode="0.00%">
                  <c:v>2.3789414414414414E-2</c:v>
                </c:pt>
                <c:pt idx="13" formatCode="0.00%">
                  <c:v>1.7454954954954954E-2</c:v>
                </c:pt>
                <c:pt idx="14" formatCode="0.00%">
                  <c:v>1.1073573573573574E-2</c:v>
                </c:pt>
              </c:numCache>
            </c:numRef>
          </c:yVal>
          <c:smooth val="0"/>
        </c:ser>
        <c:ser>
          <c:idx val="1"/>
          <c:order val="1"/>
          <c:tx>
            <c:strRef>
              <c:f>'NPDCCH Case 1 ALL REPS'!$C$35</c:f>
              <c:strCache>
                <c:ptCount val="1"/>
                <c:pt idx="0">
                  <c:v>Rep32</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REPS'!$C$41:$C$56</c:f>
              <c:numCache>
                <c:formatCode>General</c:formatCode>
                <c:ptCount val="16"/>
                <c:pt idx="2" formatCode="0.00%">
                  <c:v>0.36627252252252251</c:v>
                </c:pt>
                <c:pt idx="3" formatCode="0.00%">
                  <c:v>0.25807057057057059</c:v>
                </c:pt>
                <c:pt idx="4" formatCode="0.00%">
                  <c:v>0.17567567567567569</c:v>
                </c:pt>
                <c:pt idx="5" formatCode="0.00%">
                  <c:v>0.11561561561561562</c:v>
                </c:pt>
                <c:pt idx="6" formatCode="0.00%">
                  <c:v>7.4136636636636638E-2</c:v>
                </c:pt>
                <c:pt idx="7" formatCode="0.00%">
                  <c:v>4.6265015015015017E-2</c:v>
                </c:pt>
                <c:pt idx="8" formatCode="0.00%">
                  <c:v>2.9466966966966966E-2</c:v>
                </c:pt>
                <c:pt idx="9" formatCode="0.00%">
                  <c:v>1.8768768768768769E-2</c:v>
                </c:pt>
                <c:pt idx="10" formatCode="0.00%">
                  <c:v>1.173048048048048E-2</c:v>
                </c:pt>
                <c:pt idx="11" formatCode="0.00%">
                  <c:v>7.2259759759759762E-3</c:v>
                </c:pt>
                <c:pt idx="12" formatCode="0.00%">
                  <c:v>4.410660660660661E-3</c:v>
                </c:pt>
                <c:pt idx="13" formatCode="0.00%">
                  <c:v>2.8153153153153152E-3</c:v>
                </c:pt>
                <c:pt idx="14" formatCode="0.00%">
                  <c:v>1.783033033033033E-3</c:v>
                </c:pt>
              </c:numCache>
            </c:numRef>
          </c:yVal>
          <c:smooth val="0"/>
        </c:ser>
        <c:ser>
          <c:idx val="2"/>
          <c:order val="2"/>
          <c:tx>
            <c:strRef>
              <c:f>'NPDCCH Case 1 ALL REPS'!$D$35</c:f>
              <c:strCache>
                <c:ptCount val="1"/>
                <c:pt idx="0">
                  <c:v>Rep64</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REPS'!$D$41:$D$56</c:f>
              <c:numCache>
                <c:formatCode>General</c:formatCode>
                <c:ptCount val="16"/>
                <c:pt idx="2" formatCode="0.00%">
                  <c:v>0.12837837837837837</c:v>
                </c:pt>
                <c:pt idx="3" formatCode="0.00%">
                  <c:v>6.8506006006006009E-2</c:v>
                </c:pt>
                <c:pt idx="4" formatCode="0.00%">
                  <c:v>3.9226726726726724E-2</c:v>
                </c:pt>
                <c:pt idx="5" formatCode="0.00%">
                  <c:v>1.8393393393393392E-2</c:v>
                </c:pt>
                <c:pt idx="6" formatCode="0.00%">
                  <c:v>8.4459459459459464E-3</c:v>
                </c:pt>
                <c:pt idx="7" formatCode="0.00%">
                  <c:v>4.6921921921921923E-3</c:v>
                </c:pt>
                <c:pt idx="8" formatCode="0.00%">
                  <c:v>2.0645645645645644E-3</c:v>
                </c:pt>
                <c:pt idx="9" formatCode="0.00%">
                  <c:v>1.1261261261261261E-3</c:v>
                </c:pt>
                <c:pt idx="10" formatCode="0.00%">
                  <c:v>3.7537537537537537E-4</c:v>
                </c:pt>
                <c:pt idx="11" formatCode="0.00%">
                  <c:v>3.7537537537537537E-4</c:v>
                </c:pt>
                <c:pt idx="12" formatCode="0.00%">
                  <c:v>1.8768768768768769E-4</c:v>
                </c:pt>
                <c:pt idx="13" formatCode="0.00%">
                  <c:v>1.8768768768768769E-4</c:v>
                </c:pt>
                <c:pt idx="14" formatCode="0.00%">
                  <c:v>1.8768768768768769E-4</c:v>
                </c:pt>
              </c:numCache>
            </c:numRef>
          </c:yVal>
          <c:smooth val="0"/>
        </c:ser>
        <c:ser>
          <c:idx val="3"/>
          <c:order val="3"/>
          <c:tx>
            <c:strRef>
              <c:f>'NPDCCH Case 1 ALL REPS'!$E$35</c:f>
              <c:strCache>
                <c:ptCount val="1"/>
                <c:pt idx="0">
                  <c:v>Rep128</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REPS'!$E$41:$E$56</c:f>
              <c:numCache>
                <c:formatCode>General</c:formatCode>
                <c:ptCount val="16"/>
                <c:pt idx="2" formatCode="0.00%">
                  <c:v>1.5765765765765764E-2</c:v>
                </c:pt>
                <c:pt idx="3" formatCode="0.00%">
                  <c:v>4.8798798798798801E-3</c:v>
                </c:pt>
                <c:pt idx="4" formatCode="0.00%">
                  <c:v>1.5015015015015015E-3</c:v>
                </c:pt>
                <c:pt idx="5" formatCode="0.00%">
                  <c:v>1.1261261261261261E-3</c:v>
                </c:pt>
                <c:pt idx="6" formatCode="0.00%">
                  <c:v>7.5075075075075074E-4</c:v>
                </c:pt>
                <c:pt idx="7" formatCode="0.00%">
                  <c:v>0</c:v>
                </c:pt>
                <c:pt idx="8" formatCode="0.00%">
                  <c:v>0</c:v>
                </c:pt>
                <c:pt idx="9" formatCode="0.00%">
                  <c:v>0</c:v>
                </c:pt>
                <c:pt idx="10" formatCode="0.00%">
                  <c:v>0</c:v>
                </c:pt>
                <c:pt idx="11" formatCode="0.00%">
                  <c:v>0</c:v>
                </c:pt>
                <c:pt idx="12" formatCode="0.00%">
                  <c:v>0</c:v>
                </c:pt>
                <c:pt idx="13" formatCode="0.00%">
                  <c:v>0</c:v>
                </c:pt>
                <c:pt idx="14" formatCode="0.00%">
                  <c:v>0</c:v>
                </c:pt>
              </c:numCache>
            </c:numRef>
          </c:yVal>
          <c:smooth val="0"/>
        </c:ser>
        <c:ser>
          <c:idx val="4"/>
          <c:order val="4"/>
          <c:tx>
            <c:strRef>
              <c:f>'NPDCCH Case 1 ALL REPS'!$F$35</c:f>
              <c:strCache>
                <c:ptCount val="1"/>
                <c:pt idx="0">
                  <c:v>Rep256</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REPS'!$F$41:$F$56</c:f>
              <c:numCache>
                <c:formatCode>General</c:formatCode>
                <c:ptCount val="16"/>
                <c:pt idx="2" formatCode="0.00%">
                  <c:v>0</c:v>
                </c:pt>
                <c:pt idx="3" formatCode="0.00%">
                  <c:v>7.5075075075075074E-4</c:v>
                </c:pt>
                <c:pt idx="4" formatCode="0.00%">
                  <c:v>7.5075075075075074E-4</c:v>
                </c:pt>
                <c:pt idx="5" formatCode="0.00%">
                  <c:v>0</c:v>
                </c:pt>
                <c:pt idx="6" formatCode="0.00%">
                  <c:v>0</c:v>
                </c:pt>
                <c:pt idx="7" formatCode="0.00%">
                  <c:v>0</c:v>
                </c:pt>
                <c:pt idx="8" formatCode="0.00%">
                  <c:v>0</c:v>
                </c:pt>
                <c:pt idx="9" formatCode="0.00%">
                  <c:v>0</c:v>
                </c:pt>
                <c:pt idx="10" formatCode="0.00%">
                  <c:v>0</c:v>
                </c:pt>
                <c:pt idx="11" formatCode="0.00%">
                  <c:v>0</c:v>
                </c:pt>
                <c:pt idx="12" formatCode="0.00%">
                  <c:v>7.5075075075075074E-4</c:v>
                </c:pt>
                <c:pt idx="13" formatCode="0.00%">
                  <c:v>0</c:v>
                </c:pt>
                <c:pt idx="14" formatCode="0.00%">
                  <c:v>0</c:v>
                </c:pt>
              </c:numCache>
            </c:numRef>
          </c:yVal>
          <c:smooth val="0"/>
        </c:ser>
        <c:ser>
          <c:idx val="5"/>
          <c:order val="5"/>
          <c:tx>
            <c:strRef>
              <c:f>'NPDCCH Case 1 ALL REPS'!$G$35</c:f>
              <c:strCache>
                <c:ptCount val="1"/>
                <c:pt idx="0">
                  <c:v>Rep512</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REPS'!$G$41:$G$56</c:f>
              <c:numCache>
                <c:formatCode>General</c:formatCode>
                <c:ptCount val="16"/>
                <c:pt idx="2" formatCode="0.00%">
                  <c:v>0</c:v>
                </c:pt>
                <c:pt idx="3" formatCode="0.00%">
                  <c:v>0</c:v>
                </c:pt>
                <c:pt idx="4" formatCode="0.00%">
                  <c:v>0</c:v>
                </c:pt>
                <c:pt idx="5" formatCode="0.00%">
                  <c:v>0</c:v>
                </c:pt>
                <c:pt idx="6" formatCode="0.00%">
                  <c:v>0</c:v>
                </c:pt>
                <c:pt idx="7" formatCode="0.00%">
                  <c:v>0</c:v>
                </c:pt>
                <c:pt idx="8" formatCode="0.00%">
                  <c:v>0</c:v>
                </c:pt>
                <c:pt idx="9" formatCode="0.00%">
                  <c:v>0</c:v>
                </c:pt>
                <c:pt idx="10" formatCode="0.00%">
                  <c:v>0</c:v>
                </c:pt>
                <c:pt idx="11" formatCode="0.00%">
                  <c:v>0</c:v>
                </c:pt>
                <c:pt idx="12" formatCode="0.00%">
                  <c:v>0</c:v>
                </c:pt>
                <c:pt idx="13" formatCode="0.00%">
                  <c:v>0</c:v>
                </c:pt>
                <c:pt idx="14" formatCode="0.00%">
                  <c:v>0</c:v>
                </c:pt>
              </c:numCache>
            </c:numRef>
          </c:yVal>
          <c:smooth val="0"/>
        </c:ser>
        <c:dLbls>
          <c:showLegendKey val="0"/>
          <c:showVal val="0"/>
          <c:showCatName val="0"/>
          <c:showSerName val="0"/>
          <c:showPercent val="0"/>
          <c:showBubbleSize val="0"/>
        </c:dLbls>
        <c:axId val="214164328"/>
        <c:axId val="214164720"/>
        <c:extLst>
          <c:ext xmlns:c15="http://schemas.microsoft.com/office/drawing/2012/chart" uri="{02D57815-91ED-43cb-92C2-25804820EDAC}">
            <c15:filteredScatterSeries>
              <c15:ser>
                <c:idx val="6"/>
                <c:order val="6"/>
                <c:tx>
                  <c:strRef>
                    <c:extLst>
                      <c:ext uri="{02D57815-91ED-43cb-92C2-25804820EDAC}">
                        <c15:formulaRef>
                          <c15:sqref>'NPDCCH Case 1 ALL REPS'!$H$35</c15:sqref>
                        </c15:formulaRef>
                      </c:ext>
                    </c:extLst>
                    <c:strCache>
                      <c:ptCount val="1"/>
                      <c:pt idx="0">
                        <c:v>Company6</c:v>
                      </c:pt>
                    </c:strCache>
                  </c:strRef>
                </c:tx>
                <c:xVal>
                  <c:numRef>
                    <c:extLst>
                      <c:ex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c:ext uri="{02D57815-91ED-43cb-92C2-25804820EDAC}">
                        <c15:formulaRef>
                          <c15:sqref>'NPDCCH Case 1 ALL REPS'!$H$41:$H$56</c15:sqref>
                        </c15:formulaRef>
                      </c:ext>
                    </c:extLst>
                    <c:numCache>
                      <c:formatCode>General</c:formatCode>
                      <c:ptCount val="16"/>
                    </c:numCache>
                  </c:numRef>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'NPDCCH Case 1 ALL REPS'!$I$35</c15:sqref>
                        </c15:formulaRef>
                      </c:ext>
                    </c:extLst>
                    <c:strCache>
                      <c:ptCount val="1"/>
                      <c:pt idx="0">
                        <c:v>Company7</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REPS'!$I$41:$I$56</c15:sqref>
                        </c15:formulaRef>
                      </c:ext>
                    </c:extLst>
                    <c:numCache>
                      <c:formatCode>General</c:formatCode>
                      <c:ptCount val="16"/>
                    </c:numCache>
                  </c:numRef>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'NPDCCH Case 1 ALL REPS'!$J$35</c15:sqref>
                        </c15:formulaRef>
                      </c:ext>
                    </c:extLst>
                    <c:strCache>
                      <c:ptCount val="1"/>
                      <c:pt idx="0">
                        <c:v>Company8</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REPS'!$J$41:$J$56</c15:sqref>
                        </c15:formulaRef>
                      </c:ext>
                    </c:extLst>
                    <c:numCache>
                      <c:formatCode>General</c:formatCode>
                      <c:ptCount val="16"/>
                    </c:numCache>
                  </c:numRef>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'NPDCCH Case 1 ALL REPS'!$K$35</c15:sqref>
                        </c15:formulaRef>
                      </c:ext>
                    </c:extLst>
                    <c:strCache>
                      <c:ptCount val="1"/>
                      <c:pt idx="0">
                        <c:v>Company9</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REPS'!$K$41:$K$56</c15:sqref>
                        </c15:formulaRef>
                      </c:ext>
                    </c:extLst>
                    <c:numCache>
                      <c:formatCode>General</c:formatCode>
                      <c:ptCount val="16"/>
                    </c:numCache>
                  </c:numRef>
                </c:yVal>
                <c:smooth val="0"/>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'NPDCCH Case 1 ALL REPS'!$L$35</c15:sqref>
                        </c15:formulaRef>
                      </c:ext>
                    </c:extLst>
                    <c:strCache>
                      <c:ptCount val="1"/>
                      <c:pt idx="0">
                        <c:v>Company10</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REPS'!$L$41:$L$56</c15:sqref>
                        </c15:formulaRef>
                      </c:ext>
                    </c:extLst>
                    <c:numCache>
                      <c:formatCode>General</c:formatCode>
                      <c:ptCount val="16"/>
                    </c:numCache>
                  </c:numRef>
                </c:yVal>
                <c:smooth val="0"/>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'NPDCCH Case 1 ALL REPS'!$M$35</c15:sqref>
                        </c15:formulaRef>
                      </c:ext>
                    </c:extLst>
                    <c:strCache>
                      <c:ptCount val="1"/>
                      <c:pt idx="0">
                        <c:v>Company11</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REPS'!$M$41:$M$56</c15:sqref>
                        </c15:formulaRef>
                      </c:ext>
                    </c:extLst>
                    <c:numCache>
                      <c:formatCode>General</c:formatCode>
                      <c:ptCount val="16"/>
                    </c:numCache>
                  </c:numRef>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'NPDCCH Case 1 ALL REPS'!$N$35</c15:sqref>
                        </c15:formulaRef>
                      </c:ext>
                    </c:extLst>
                    <c:strCache>
                      <c:ptCount val="1"/>
                      <c:pt idx="0">
                        <c:v>Company12</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REPS'!$N$41:$N$56</c15:sqref>
                        </c15:formulaRef>
                      </c:ext>
                    </c:extLst>
                    <c:numCache>
                      <c:formatCode>General</c:formatCode>
                      <c:ptCount val="16"/>
                    </c:numCache>
                  </c:numRef>
                </c:yVal>
                <c:smooth val="0"/>
              </c15:ser>
            </c15:filteredScatterSeries>
          </c:ext>
        </c:extLst>
      </c:scatterChart>
      <c:valAx>
        <c:axId val="214164328"/>
        <c:scaling>
          <c:orientation val="minMax"/>
          <c:min val="-15"/>
        </c:scaling>
        <c:delete val="0"/>
        <c:axPos val="b"/>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altLang="en-US"/>
                  <a:t>SNR [dB]</a:t>
                </a:r>
              </a:p>
            </c:rich>
          </c:tx>
          <c:layout>
            <c:manualLayout>
              <c:xMode val="edge"/>
              <c:yMode val="edge"/>
              <c:x val="0.42908679083383916"/>
              <c:y val="0.9448003076048627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214164720"/>
        <c:crossesAt val="1.0000000000000026E-4"/>
        <c:crossBetween val="midCat"/>
      </c:valAx>
      <c:valAx>
        <c:axId val="214164720"/>
        <c:scaling>
          <c:logBase val="10"/>
          <c:orientation val="minMax"/>
          <c:max val="1"/>
          <c:min val="1.0000000000000026E-3"/>
        </c:scaling>
        <c:delete val="0"/>
        <c:axPos val="l"/>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sz="875" b="1" i="0" u="none" strike="noStrike" baseline="0">
                    <a:effectLst/>
                  </a:rPr>
                  <a:t>NPDCCH BLER</a:t>
                </a:r>
                <a:endParaRPr lang="en-US" altLang="en-US"/>
              </a:p>
            </c:rich>
          </c:tx>
          <c:layout>
            <c:manualLayout>
              <c:xMode val="edge"/>
              <c:yMode val="edge"/>
              <c:x val="1.8028846153846152E-2"/>
              <c:y val="0.39278220795649066"/>
            </c:manualLayout>
          </c:layout>
          <c:overlay val="0"/>
          <c:spPr>
            <a:noFill/>
            <a:ln w="25400">
              <a:noFill/>
            </a:ln>
          </c:spPr>
        </c:title>
        <c:numFmt formatCode="0.0\ %" sourceLinked="0"/>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214164328"/>
        <c:crossesAt val="-15"/>
        <c:crossBetween val="midCat"/>
        <c:majorUnit val="10"/>
        <c:minorUnit val="10"/>
      </c:valAx>
      <c:spPr>
        <a:solidFill>
          <a:srgbClr val="C0C0C0"/>
        </a:solidFill>
        <a:ln w="12700">
          <a:solidFill>
            <a:srgbClr val="808080"/>
          </a:solidFill>
          <a:prstDash val="solid"/>
        </a:ln>
      </c:spPr>
    </c:plotArea>
    <c:legend>
      <c:legendPos val="r"/>
      <c:layout>
        <c:manualLayout>
          <c:xMode val="edge"/>
          <c:yMode val="edge"/>
          <c:x val="0.84014473551383184"/>
          <c:y val="7.2187059420120311E-2"/>
          <c:w val="0.11493630528873691"/>
          <c:h val="0.50149132329332624"/>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98083553656681"/>
          <c:y val="4.8832373010327584E-2"/>
          <c:w val="0.69711579373626165"/>
          <c:h val="0.83439663448081602"/>
        </c:manualLayout>
      </c:layout>
      <c:scatterChart>
        <c:scatterStyle val="lineMarker"/>
        <c:varyColors val="0"/>
        <c:ser>
          <c:idx val="0"/>
          <c:order val="0"/>
          <c:tx>
            <c:strRef>
              <c:f>'NPDCCH Case 4 ALL REPS'!$B$35</c:f>
              <c:strCache>
                <c:ptCount val="1"/>
                <c:pt idx="0">
                  <c:v>Rep16</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REPS'!$B$36:$B$76</c:f>
              <c:numCache>
                <c:formatCode>General</c:formatCode>
                <c:ptCount val="41"/>
                <c:pt idx="7" formatCode="0.00%">
                  <c:v>0.56057620120120122</c:v>
                </c:pt>
                <c:pt idx="8" formatCode="0.00%">
                  <c:v>0.47754786036036034</c:v>
                </c:pt>
                <c:pt idx="9" formatCode="0.00%">
                  <c:v>0.40376313813813813</c:v>
                </c:pt>
                <c:pt idx="10" formatCode="0.00%">
                  <c:v>0.33577327327327328</c:v>
                </c:pt>
                <c:pt idx="11" formatCode="0.00%">
                  <c:v>0.27413489736070379</c:v>
                </c:pt>
                <c:pt idx="12" formatCode="0.00%">
                  <c:v>0.22271490240240241</c:v>
                </c:pt>
                <c:pt idx="13" formatCode="0.00%">
                  <c:v>0.18170514264264265</c:v>
                </c:pt>
                <c:pt idx="14" formatCode="0.00%">
                  <c:v>0.14677177177177178</c:v>
                </c:pt>
                <c:pt idx="15" formatCode="0.00%">
                  <c:v>0.11873592342342343</c:v>
                </c:pt>
                <c:pt idx="16" formatCode="0.00%">
                  <c:v>9.5016891891891886E-2</c:v>
                </c:pt>
                <c:pt idx="17" formatCode="0.00%">
                  <c:v>7.4699699699699695E-2</c:v>
                </c:pt>
                <c:pt idx="18" formatCode="0.00%">
                  <c:v>5.7244744744744745E-2</c:v>
                </c:pt>
                <c:pt idx="19" formatCode="0.00%">
                  <c:v>4.3027402402402402E-2</c:v>
                </c:pt>
              </c:numCache>
            </c:numRef>
          </c:yVal>
          <c:smooth val="0"/>
        </c:ser>
        <c:ser>
          <c:idx val="1"/>
          <c:order val="1"/>
          <c:tx>
            <c:strRef>
              <c:f>'NPDCCH Case 4 ALL REPS'!$C$35</c:f>
              <c:strCache>
                <c:ptCount val="1"/>
                <c:pt idx="0">
                  <c:v>Rep32</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REPS'!$C$36:$C$76</c:f>
              <c:numCache>
                <c:formatCode>General</c:formatCode>
                <c:ptCount val="41"/>
                <c:pt idx="7" formatCode="0.00%">
                  <c:v>0.41042605105105107</c:v>
                </c:pt>
                <c:pt idx="8" formatCode="0.00%">
                  <c:v>0.33647710210210208</c:v>
                </c:pt>
                <c:pt idx="9" formatCode="0.00%">
                  <c:v>0.27172484984984985</c:v>
                </c:pt>
                <c:pt idx="10" formatCode="0.00%">
                  <c:v>0.22104917417417416</c:v>
                </c:pt>
                <c:pt idx="11" formatCode="0.00%">
                  <c:v>0.1768018018018018</c:v>
                </c:pt>
                <c:pt idx="12" formatCode="0.00%">
                  <c:v>0.14076576576576577</c:v>
                </c:pt>
                <c:pt idx="13" formatCode="0.00%">
                  <c:v>0.1111111111111111</c:v>
                </c:pt>
                <c:pt idx="14" formatCode="0.00%">
                  <c:v>8.6711711711711714E-2</c:v>
                </c:pt>
                <c:pt idx="15" formatCode="0.00%">
                  <c:v>6.5878378378378372E-2</c:v>
                </c:pt>
                <c:pt idx="16" formatCode="0.00%">
                  <c:v>4.9268018018018021E-2</c:v>
                </c:pt>
                <c:pt idx="17" formatCode="0.00%">
                  <c:v>3.6456622718528599E-2</c:v>
                </c:pt>
                <c:pt idx="18" formatCode="0.00%">
                  <c:v>2.5430488434288932E-2</c:v>
                </c:pt>
                <c:pt idx="19" formatCode="0.00%">
                  <c:v>1.87209684230282E-2</c:v>
                </c:pt>
              </c:numCache>
            </c:numRef>
          </c:yVal>
          <c:smooth val="0"/>
        </c:ser>
        <c:ser>
          <c:idx val="2"/>
          <c:order val="2"/>
          <c:tx>
            <c:strRef>
              <c:f>'NPDCCH Case 4 ALL REPS'!$D$35</c:f>
              <c:strCache>
                <c:ptCount val="1"/>
                <c:pt idx="0">
                  <c:v>Rep64</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REPS'!$D$36:$D$76</c:f>
              <c:numCache>
                <c:formatCode>General</c:formatCode>
                <c:ptCount val="41"/>
                <c:pt idx="7" formatCode="0.00%">
                  <c:v>0.28237612612612611</c:v>
                </c:pt>
                <c:pt idx="8" formatCode="0.00%">
                  <c:v>0.22231606606606608</c:v>
                </c:pt>
                <c:pt idx="9" formatCode="0.00%">
                  <c:v>0.17792792792792791</c:v>
                </c:pt>
                <c:pt idx="10" formatCode="0.00%">
                  <c:v>0.14001501501501501</c:v>
                </c:pt>
                <c:pt idx="11" formatCode="0.00%">
                  <c:v>0.10688813813813813</c:v>
                </c:pt>
                <c:pt idx="12" formatCode="0.00%">
                  <c:v>8.2019519519519524E-2</c:v>
                </c:pt>
                <c:pt idx="13" formatCode="0.00%">
                  <c:v>6.268768768768769E-2</c:v>
                </c:pt>
                <c:pt idx="14" formatCode="0.00%">
                  <c:v>4.5326576576576579E-2</c:v>
                </c:pt>
                <c:pt idx="15" formatCode="0.00%">
                  <c:v>3.2469969969969967E-2</c:v>
                </c:pt>
                <c:pt idx="16" formatCode="0.00%">
                  <c:v>2.2334834834834835E-2</c:v>
                </c:pt>
                <c:pt idx="17" formatCode="0.00%">
                  <c:v>1.6422672672672674E-2</c:v>
                </c:pt>
                <c:pt idx="18" formatCode="0.00%">
                  <c:v>1.0322822822822823E-2</c:v>
                </c:pt>
                <c:pt idx="19" formatCode="0.00%">
                  <c:v>5.7244744744744747E-3</c:v>
                </c:pt>
              </c:numCache>
            </c:numRef>
          </c:yVal>
          <c:smooth val="0"/>
        </c:ser>
        <c:ser>
          <c:idx val="3"/>
          <c:order val="3"/>
          <c:tx>
            <c:strRef>
              <c:f>'NPDCCH Case 4 ALL REPS'!$E$35</c:f>
              <c:strCache>
                <c:ptCount val="1"/>
                <c:pt idx="0">
                  <c:v>Rep128</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REPS'!$E$36:$E$76</c:f>
              <c:numCache>
                <c:formatCode>General</c:formatCode>
                <c:ptCount val="41"/>
                <c:pt idx="7" formatCode="0.00%">
                  <c:v>0.17623873873873874</c:v>
                </c:pt>
                <c:pt idx="8" formatCode="0.00%">
                  <c:v>0.12929255019703509</c:v>
                </c:pt>
                <c:pt idx="9" formatCode="0.00%">
                  <c:v>9.1779279279279286E-2</c:v>
                </c:pt>
                <c:pt idx="10" formatCode="0.00%">
                  <c:v>6.5315315315315314E-2</c:v>
                </c:pt>
                <c:pt idx="11" formatCode="0.00%">
                  <c:v>4.1854354354354355E-2</c:v>
                </c:pt>
                <c:pt idx="12" formatCode="0.00%">
                  <c:v>2.9273784950272098E-2</c:v>
                </c:pt>
                <c:pt idx="13" formatCode="0.00%">
                  <c:v>2.0833333333333332E-2</c:v>
                </c:pt>
                <c:pt idx="14" formatCode="0.00%">
                  <c:v>1.4264264264264264E-2</c:v>
                </c:pt>
                <c:pt idx="15" formatCode="0.00%">
                  <c:v>8.4459459459459464E-3</c:v>
                </c:pt>
                <c:pt idx="16" formatCode="0.00%">
                  <c:v>5.0675675675675678E-3</c:v>
                </c:pt>
                <c:pt idx="17" formatCode="0.00%">
                  <c:v>3.5660660660660659E-3</c:v>
                </c:pt>
                <c:pt idx="18" formatCode="0.00%">
                  <c:v>2.2522522522522522E-3</c:v>
                </c:pt>
                <c:pt idx="19" formatCode="0.00%">
                  <c:v>1.3138138138138139E-3</c:v>
                </c:pt>
              </c:numCache>
            </c:numRef>
          </c:yVal>
          <c:smooth val="0"/>
        </c:ser>
        <c:ser>
          <c:idx val="4"/>
          <c:order val="4"/>
          <c:tx>
            <c:strRef>
              <c:f>'NPDCCH Case 4 ALL REPS'!$F$35</c:f>
              <c:strCache>
                <c:ptCount val="1"/>
                <c:pt idx="0">
                  <c:v>Rep256</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REPS'!$F$36:$F$76</c:f>
              <c:numCache>
                <c:formatCode>General</c:formatCode>
                <c:ptCount val="41"/>
                <c:pt idx="7" formatCode="0.00%">
                  <c:v>6.86936936936937E-2</c:v>
                </c:pt>
                <c:pt idx="8" formatCode="0.00%">
                  <c:v>4.1666666666666664E-2</c:v>
                </c:pt>
                <c:pt idx="9" formatCode="0.00%">
                  <c:v>2.2897897897897899E-2</c:v>
                </c:pt>
                <c:pt idx="10" formatCode="0.00%">
                  <c:v>1.2387387387387387E-2</c:v>
                </c:pt>
                <c:pt idx="11" formatCode="0.00%">
                  <c:v>7.8828828828828822E-3</c:v>
                </c:pt>
                <c:pt idx="12" formatCode="0.00%">
                  <c:v>5.2552552552552556E-3</c:v>
                </c:pt>
                <c:pt idx="13" formatCode="0.00%">
                  <c:v>2.6276276276276278E-3</c:v>
                </c:pt>
                <c:pt idx="14" formatCode="0.00%">
                  <c:v>1.5015015015015015E-3</c:v>
                </c:pt>
                <c:pt idx="15" formatCode="0.00%">
                  <c:v>0</c:v>
                </c:pt>
                <c:pt idx="16" formatCode="0.00%">
                  <c:v>0</c:v>
                </c:pt>
                <c:pt idx="17" formatCode="0.00%">
                  <c:v>0</c:v>
                </c:pt>
                <c:pt idx="18" formatCode="0.00%">
                  <c:v>0</c:v>
                </c:pt>
                <c:pt idx="19" formatCode="0.00%">
                  <c:v>0</c:v>
                </c:pt>
              </c:numCache>
            </c:numRef>
          </c:yVal>
          <c:smooth val="0"/>
        </c:ser>
        <c:ser>
          <c:idx val="5"/>
          <c:order val="5"/>
          <c:tx>
            <c:strRef>
              <c:f>'NPDCCH Case 4 ALL REPS'!$G$35</c:f>
              <c:strCache>
                <c:ptCount val="1"/>
                <c:pt idx="0">
                  <c:v>Rep512</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REPS'!$G$36:$G$76</c:f>
              <c:numCache>
                <c:formatCode>General</c:formatCode>
                <c:ptCount val="41"/>
                <c:pt idx="7" formatCode="0.00%">
                  <c:v>1.12443778110945E-2</c:v>
                </c:pt>
                <c:pt idx="8" formatCode="0.00%">
                  <c:v>6.746626686656672E-3</c:v>
                </c:pt>
                <c:pt idx="9" formatCode="0.00%">
                  <c:v>2.9985007496251873E-3</c:v>
                </c:pt>
                <c:pt idx="10" formatCode="0.00%">
                  <c:v>2.2488755622188904E-3</c:v>
                </c:pt>
                <c:pt idx="11" formatCode="0.00%">
                  <c:v>0</c:v>
                </c:pt>
                <c:pt idx="12" formatCode="0.00%">
                  <c:v>0</c:v>
                </c:pt>
                <c:pt idx="13" formatCode="0.00%">
                  <c:v>0</c:v>
                </c:pt>
                <c:pt idx="14" formatCode="0.00%">
                  <c:v>0</c:v>
                </c:pt>
                <c:pt idx="15" formatCode="0.00%">
                  <c:v>0</c:v>
                </c:pt>
                <c:pt idx="16" formatCode="0.00%">
                  <c:v>0</c:v>
                </c:pt>
                <c:pt idx="17" formatCode="0.00%">
                  <c:v>0</c:v>
                </c:pt>
                <c:pt idx="18" formatCode="0.00%">
                  <c:v>0</c:v>
                </c:pt>
                <c:pt idx="19" formatCode="0.00%">
                  <c:v>0</c:v>
                </c:pt>
              </c:numCache>
            </c:numRef>
          </c:yVal>
          <c:smooth val="0"/>
        </c:ser>
        <c:dLbls>
          <c:showLegendKey val="0"/>
          <c:showVal val="0"/>
          <c:showCatName val="0"/>
          <c:showSerName val="0"/>
          <c:showPercent val="0"/>
          <c:showBubbleSize val="0"/>
        </c:dLbls>
        <c:axId val="216857272"/>
        <c:axId val="216857664"/>
        <c:extLst>
          <c:ext xmlns:c15="http://schemas.microsoft.com/office/drawing/2012/chart" uri="{02D57815-91ED-43cb-92C2-25804820EDAC}">
            <c15:filteredScatterSeries>
              <c15:ser>
                <c:idx val="6"/>
                <c:order val="6"/>
                <c:tx>
                  <c:strRef>
                    <c:extLst>
                      <c:ext uri="{02D57815-91ED-43cb-92C2-25804820EDAC}">
                        <c15:formulaRef>
                          <c15:sqref>'NPDCCH Case 4 ALL REPS'!$H$35</c15:sqref>
                        </c15:formulaRef>
                      </c:ext>
                    </c:extLst>
                    <c:strCache>
                      <c:ptCount val="1"/>
                      <c:pt idx="0">
                        <c:v>Company6</c:v>
                      </c:pt>
                    </c:strCache>
                  </c:strRef>
                </c:tx>
                <c:xVal>
                  <c:numRef>
                    <c:extLst>
                      <c:ex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c:ext uri="{02D57815-91ED-43cb-92C2-25804820EDAC}">
                        <c15:formulaRef>
                          <c15:sqref>'NPDCCH Case 4 ALL REPS'!$H$36:$H$75</c15:sqref>
                        </c15:formulaRef>
                      </c:ext>
                    </c:extLst>
                    <c:numCache>
                      <c:formatCode>General</c:formatCode>
                      <c:ptCount val="40"/>
                    </c:numCache>
                  </c:numRef>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'NPDCCH Case 4 ALL REPS'!$I$35</c15:sqref>
                        </c15:formulaRef>
                      </c:ext>
                    </c:extLst>
                    <c:strCache>
                      <c:ptCount val="1"/>
                      <c:pt idx="0">
                        <c:v>Company7</c:v>
                      </c:pt>
                    </c:strCache>
                  </c:strRef>
                </c:tx>
                <c:xVal>
                  <c:numRef>
                    <c:extLst xmlns:c15="http://schemas.microsoft.com/office/drawing/2012/chart">
                      <c:ext xmlns:c15="http://schemas.microsoft.com/office/drawing/2012/char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4 ALL REPS'!$I$36:$I$76</c15:sqref>
                        </c15:formulaRef>
                      </c:ext>
                    </c:extLst>
                    <c:numCache>
                      <c:formatCode>General</c:formatCode>
                      <c:ptCount val="41"/>
                    </c:numCache>
                  </c:numRef>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'NPDCCH Case 4 ALL REPS'!$J$35</c15:sqref>
                        </c15:formulaRef>
                      </c:ext>
                    </c:extLst>
                    <c:strCache>
                      <c:ptCount val="1"/>
                      <c:pt idx="0">
                        <c:v>Company8</c:v>
                      </c:pt>
                    </c:strCache>
                  </c:strRef>
                </c:tx>
                <c:xVal>
                  <c:numRef>
                    <c:extLst xmlns:c15="http://schemas.microsoft.com/office/drawing/2012/chart">
                      <c:ext xmlns:c15="http://schemas.microsoft.com/office/drawing/2012/char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4 ALL REPS'!$J$36:$J$76</c15:sqref>
                        </c15:formulaRef>
                      </c:ext>
                    </c:extLst>
                    <c:numCache>
                      <c:formatCode>General</c:formatCode>
                      <c:ptCount val="41"/>
                    </c:numCache>
                  </c:numRef>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'NPDCCH Case 4 ALL REPS'!$K$35</c15:sqref>
                        </c15:formulaRef>
                      </c:ext>
                    </c:extLst>
                    <c:strCache>
                      <c:ptCount val="1"/>
                      <c:pt idx="0">
                        <c:v>Company9</c:v>
                      </c:pt>
                    </c:strCache>
                  </c:strRef>
                </c:tx>
                <c:xVal>
                  <c:numRef>
                    <c:extLst xmlns:c15="http://schemas.microsoft.com/office/drawing/2012/chart">
                      <c:ext xmlns:c15="http://schemas.microsoft.com/office/drawing/2012/char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4 ALL REPS'!$K$36:$K$76</c15:sqref>
                        </c15:formulaRef>
                      </c:ext>
                    </c:extLst>
                    <c:numCache>
                      <c:formatCode>General</c:formatCode>
                      <c:ptCount val="41"/>
                    </c:numCache>
                  </c:numRef>
                </c:yVal>
                <c:smooth val="0"/>
              </c15:ser>
            </c15:filteredScatterSeries>
          </c:ext>
        </c:extLst>
      </c:scatterChart>
      <c:valAx>
        <c:axId val="216857272"/>
        <c:scaling>
          <c:orientation val="minMax"/>
          <c:max val="0"/>
          <c:min val="-15"/>
        </c:scaling>
        <c:delete val="0"/>
        <c:axPos val="b"/>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altLang="en-US"/>
                  <a:t>SNR [dB]</a:t>
                </a:r>
              </a:p>
            </c:rich>
          </c:tx>
          <c:layout>
            <c:manualLayout>
              <c:xMode val="edge"/>
              <c:yMode val="edge"/>
              <c:x val="0.42908679083383955"/>
              <c:y val="0.9448003076048632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216857664"/>
        <c:crossesAt val="1.000000000000004E-4"/>
        <c:crossBetween val="midCat"/>
      </c:valAx>
      <c:valAx>
        <c:axId val="216857664"/>
        <c:scaling>
          <c:logBase val="10"/>
          <c:orientation val="minMax"/>
          <c:max val="1"/>
          <c:min val="1.0000000000000035E-3"/>
        </c:scaling>
        <c:delete val="0"/>
        <c:axPos val="l"/>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sz="875" b="1" i="0" u="none" strike="noStrike" baseline="0">
                    <a:effectLst/>
                  </a:rPr>
                  <a:t>NPDCCH BLER</a:t>
                </a:r>
                <a:endParaRPr lang="en-US" altLang="en-US"/>
              </a:p>
            </c:rich>
          </c:tx>
          <c:layout>
            <c:manualLayout>
              <c:xMode val="edge"/>
              <c:yMode val="edge"/>
              <c:x val="1.8028846153846152E-2"/>
              <c:y val="0.39278220795649105"/>
            </c:manualLayout>
          </c:layout>
          <c:overlay val="0"/>
          <c:spPr>
            <a:noFill/>
            <a:ln w="25400">
              <a:noFill/>
            </a:ln>
          </c:spPr>
        </c:title>
        <c:numFmt formatCode="0.0\ %" sourceLinked="0"/>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216857272"/>
        <c:crossesAt val="-15"/>
        <c:crossBetween val="midCat"/>
        <c:majorUnit val="10"/>
        <c:minorUnit val="10"/>
      </c:valAx>
      <c:spPr>
        <a:solidFill>
          <a:srgbClr val="C0C0C0"/>
        </a:solidFill>
        <a:ln w="12700">
          <a:solidFill>
            <a:srgbClr val="808080"/>
          </a:solidFill>
          <a:prstDash val="solid"/>
        </a:ln>
      </c:spPr>
    </c:plotArea>
    <c:legend>
      <c:legendPos val="r"/>
      <c:layout>
        <c:manualLayout>
          <c:xMode val="edge"/>
          <c:yMode val="edge"/>
          <c:x val="0.84014473551383251"/>
          <c:y val="7.2187059420120311E-2"/>
          <c:w val="0.12930045958403522"/>
          <c:h val="0.38576255637948265"/>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70ED24-EA97-4B99-BA40-296C0BA0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3042</TotalTime>
  <Pages>5</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90</cp:revision>
  <dcterms:created xsi:type="dcterms:W3CDTF">2016-08-09T04:17:00Z</dcterms:created>
  <dcterms:modified xsi:type="dcterms:W3CDTF">2016-08-12T19:51:00Z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