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01F9" w:rsidRPr="003401F9" w:rsidRDefault="003401F9" w:rsidP="00ED7603">
      <w:pPr>
        <w:pStyle w:val="Header"/>
        <w:tabs>
          <w:tab w:val="right" w:pos="9720"/>
          <w:tab w:val="right" w:pos="13323"/>
        </w:tabs>
        <w:ind w:right="11"/>
        <w:rPr>
          <w:rFonts w:cs="Arial"/>
          <w:sz w:val="22"/>
          <w:szCs w:val="22"/>
          <w:lang w:eastAsia="ja-JP"/>
        </w:rPr>
      </w:pPr>
      <w:bookmarkStart w:id="0" w:name="_Toc374930449"/>
      <w:bookmarkStart w:id="1" w:name="_Toc436619240"/>
      <w:bookmarkStart w:id="2" w:name="_Toc451844170"/>
      <w:bookmarkStart w:id="3" w:name="_Toc466346614"/>
      <w:bookmarkStart w:id="4" w:name="_Toc466348847"/>
      <w:bookmarkStart w:id="5" w:name="_Toc466352954"/>
      <w:bookmarkStart w:id="6" w:name="_Toc472222521"/>
      <w:bookmarkStart w:id="7" w:name="_Toc270064812"/>
      <w:bookmarkStart w:id="8" w:name="_Ref399006623"/>
      <w:bookmarkStart w:id="9" w:name="_Toc107399996"/>
      <w:bookmarkStart w:id="10" w:name="_Toc118106256"/>
      <w:bookmarkStart w:id="11" w:name="_Toc127815000"/>
      <w:bookmarkStart w:id="12" w:name="_Toc175717711"/>
      <w:r w:rsidRPr="003401F9">
        <w:rPr>
          <w:rFonts w:cs="Arial"/>
          <w:sz w:val="22"/>
          <w:szCs w:val="22"/>
        </w:rPr>
        <w:t>3GPP TSG-RAN WG4 Meeting #</w:t>
      </w:r>
      <w:r w:rsidRPr="003401F9">
        <w:rPr>
          <w:rFonts w:eastAsia="SimSun" w:cs="Arial" w:hint="eastAsia"/>
          <w:sz w:val="22"/>
          <w:szCs w:val="22"/>
          <w:lang w:eastAsia="zh-CN"/>
        </w:rPr>
        <w:t>80</w:t>
      </w:r>
      <w:r w:rsidRPr="003401F9">
        <w:rPr>
          <w:rFonts w:cs="Arial"/>
          <w:sz w:val="22"/>
          <w:szCs w:val="22"/>
        </w:rPr>
        <w:tab/>
        <w:t>R4-1</w:t>
      </w:r>
      <w:r w:rsidRPr="003401F9">
        <w:rPr>
          <w:rFonts w:eastAsia="SimSun" w:cs="Arial" w:hint="eastAsia"/>
          <w:sz w:val="22"/>
          <w:szCs w:val="22"/>
          <w:lang w:eastAsia="zh-CN"/>
        </w:rPr>
        <w:t>6</w:t>
      </w:r>
      <w:r w:rsidR="005B36D9">
        <w:rPr>
          <w:rFonts w:cs="Arial"/>
          <w:sz w:val="22"/>
          <w:szCs w:val="22"/>
        </w:rPr>
        <w:t>5588</w:t>
      </w:r>
    </w:p>
    <w:p w:rsidR="003401F9" w:rsidRDefault="003401F9" w:rsidP="003401F9">
      <w:pPr>
        <w:pStyle w:val="Header"/>
        <w:tabs>
          <w:tab w:val="right" w:pos="9781"/>
          <w:tab w:val="right" w:pos="13323"/>
        </w:tabs>
        <w:outlineLvl w:val="0"/>
        <w:rPr>
          <w:rFonts w:eastAsia="SimSun"/>
          <w:sz w:val="22"/>
          <w:szCs w:val="22"/>
          <w:lang w:eastAsia="zh-CN"/>
        </w:rPr>
      </w:pPr>
      <w:r w:rsidRPr="003401F9">
        <w:rPr>
          <w:rFonts w:eastAsia="SimSun"/>
          <w:sz w:val="22"/>
          <w:szCs w:val="22"/>
          <w:lang w:eastAsia="zh-CN"/>
        </w:rPr>
        <w:t>Gothenburg</w:t>
      </w:r>
      <w:r w:rsidRPr="003401F9">
        <w:rPr>
          <w:rFonts w:eastAsia="SimSun" w:hint="eastAsia"/>
          <w:sz w:val="22"/>
          <w:szCs w:val="22"/>
          <w:lang w:eastAsia="zh-CN"/>
        </w:rPr>
        <w:t>, Sweden</w:t>
      </w:r>
      <w:r w:rsidRPr="003401F9">
        <w:rPr>
          <w:rFonts w:eastAsia="SimSun"/>
          <w:sz w:val="22"/>
          <w:szCs w:val="22"/>
          <w:lang w:eastAsia="zh-CN"/>
        </w:rPr>
        <w:t xml:space="preserve">, </w:t>
      </w:r>
      <w:r w:rsidRPr="003401F9">
        <w:rPr>
          <w:rFonts w:eastAsia="SimSun" w:hint="eastAsia"/>
          <w:sz w:val="22"/>
          <w:szCs w:val="22"/>
          <w:lang w:eastAsia="zh-CN"/>
        </w:rPr>
        <w:t>22</w:t>
      </w:r>
      <w:r w:rsidRPr="003401F9">
        <w:rPr>
          <w:rFonts w:eastAsia="SimSun"/>
          <w:sz w:val="22"/>
          <w:szCs w:val="22"/>
          <w:lang w:eastAsia="zh-CN"/>
        </w:rPr>
        <w:t xml:space="preserve"> </w:t>
      </w:r>
      <w:r w:rsidRPr="003401F9">
        <w:rPr>
          <w:rFonts w:eastAsia="SimSun" w:hint="eastAsia"/>
          <w:sz w:val="22"/>
          <w:szCs w:val="22"/>
          <w:lang w:eastAsia="zh-CN"/>
        </w:rPr>
        <w:t>- 26</w:t>
      </w:r>
      <w:r w:rsidRPr="003401F9">
        <w:rPr>
          <w:rFonts w:eastAsia="SimSun"/>
          <w:sz w:val="22"/>
          <w:szCs w:val="22"/>
          <w:lang w:eastAsia="zh-CN"/>
        </w:rPr>
        <w:t xml:space="preserve"> </w:t>
      </w:r>
      <w:r w:rsidRPr="003401F9">
        <w:rPr>
          <w:rFonts w:eastAsia="SimSun" w:hint="eastAsia"/>
          <w:sz w:val="22"/>
          <w:szCs w:val="22"/>
          <w:lang w:eastAsia="zh-CN"/>
        </w:rPr>
        <w:t>Aug</w:t>
      </w:r>
      <w:r w:rsidRPr="003401F9">
        <w:rPr>
          <w:rFonts w:eastAsia="SimSun"/>
          <w:sz w:val="22"/>
          <w:szCs w:val="22"/>
          <w:lang w:eastAsia="zh-CN"/>
        </w:rPr>
        <w:t>, 201</w:t>
      </w:r>
      <w:r w:rsidRPr="003401F9">
        <w:rPr>
          <w:rFonts w:eastAsia="SimSun" w:hint="eastAsia"/>
          <w:sz w:val="22"/>
          <w:szCs w:val="22"/>
          <w:lang w:eastAsia="zh-CN"/>
        </w:rPr>
        <w:t>6</w:t>
      </w:r>
    </w:p>
    <w:p w:rsidR="00B23695" w:rsidRPr="003401F9" w:rsidRDefault="00B23695" w:rsidP="003401F9">
      <w:pPr>
        <w:pStyle w:val="Header"/>
        <w:tabs>
          <w:tab w:val="right" w:pos="9781"/>
          <w:tab w:val="right" w:pos="13323"/>
        </w:tabs>
        <w:outlineLvl w:val="0"/>
        <w:rPr>
          <w:rFonts w:eastAsia="SimSun"/>
          <w:sz w:val="22"/>
          <w:szCs w:val="22"/>
          <w:lang w:eastAsia="zh-CN"/>
        </w:rPr>
      </w:pPr>
    </w:p>
    <w:p w:rsidR="00BB3675" w:rsidRPr="003401F9" w:rsidRDefault="003401F9" w:rsidP="00BB3675">
      <w:pPr>
        <w:tabs>
          <w:tab w:val="left" w:pos="1985"/>
        </w:tabs>
        <w:rPr>
          <w:rFonts w:ascii="Arial" w:hAnsi="Arial"/>
          <w:b/>
          <w:sz w:val="22"/>
          <w:szCs w:val="22"/>
          <w:lang w:eastAsia="ja-JP"/>
        </w:rPr>
      </w:pPr>
      <w:r w:rsidRPr="003401F9">
        <w:rPr>
          <w:rFonts w:ascii="Arial" w:hAnsi="Arial"/>
          <w:b/>
          <w:sz w:val="22"/>
          <w:szCs w:val="22"/>
        </w:rPr>
        <w:t>Agenda Item:</w:t>
      </w:r>
      <w:r w:rsidRPr="003401F9">
        <w:rPr>
          <w:rFonts w:ascii="Arial" w:hAnsi="Arial"/>
          <w:b/>
          <w:sz w:val="22"/>
          <w:szCs w:val="22"/>
        </w:rPr>
        <w:tab/>
      </w:r>
      <w:r w:rsidR="00BB3675" w:rsidRPr="003401F9">
        <w:rPr>
          <w:rFonts w:ascii="Arial" w:hAnsi="Arial"/>
          <w:b/>
          <w:sz w:val="22"/>
          <w:szCs w:val="22"/>
        </w:rPr>
        <w:tab/>
      </w:r>
      <w:bookmarkStart w:id="13" w:name="Source"/>
      <w:bookmarkEnd w:id="13"/>
      <w:r>
        <w:rPr>
          <w:rFonts w:ascii="Arial" w:hAnsi="Arial"/>
          <w:b/>
          <w:sz w:val="22"/>
          <w:szCs w:val="22"/>
        </w:rPr>
        <w:t>8.11.2</w:t>
      </w:r>
    </w:p>
    <w:p w:rsidR="00BB3675" w:rsidRPr="00F13D4B" w:rsidRDefault="00BB3675" w:rsidP="00BB3675">
      <w:pPr>
        <w:tabs>
          <w:tab w:val="left" w:pos="1985"/>
        </w:tabs>
        <w:rPr>
          <w:rFonts w:ascii="Arial" w:hAnsi="Arial"/>
          <w:sz w:val="22"/>
          <w:szCs w:val="22"/>
          <w:lang w:eastAsia="ja-JP"/>
        </w:rPr>
      </w:pPr>
      <w:r w:rsidRPr="003D2895">
        <w:rPr>
          <w:rFonts w:ascii="Arial" w:hAnsi="Arial"/>
          <w:b/>
          <w:sz w:val="24"/>
          <w:szCs w:val="24"/>
        </w:rPr>
        <w:t xml:space="preserve">Source: </w:t>
      </w:r>
      <w:r w:rsidRPr="003D2895">
        <w:rPr>
          <w:rFonts w:ascii="Arial" w:hAnsi="Arial"/>
          <w:b/>
          <w:sz w:val="24"/>
          <w:szCs w:val="24"/>
        </w:rPr>
        <w:tab/>
      </w:r>
      <w:r w:rsidRPr="002477D8">
        <w:rPr>
          <w:rFonts w:ascii="Arial" w:hAnsi="Arial"/>
          <w:sz w:val="22"/>
          <w:szCs w:val="22"/>
        </w:rPr>
        <w:t>Ericsson</w:t>
      </w:r>
    </w:p>
    <w:p w:rsidR="009350C5" w:rsidRDefault="00BB3675" w:rsidP="00BB3675">
      <w:pPr>
        <w:rPr>
          <w:rFonts w:ascii="Arial" w:hAnsi="Arial"/>
          <w:sz w:val="22"/>
          <w:szCs w:val="22"/>
        </w:rPr>
      </w:pPr>
      <w:r w:rsidRPr="00F13D4B">
        <w:rPr>
          <w:rFonts w:ascii="Arial" w:hAnsi="Arial"/>
          <w:b/>
          <w:sz w:val="22"/>
          <w:szCs w:val="22"/>
        </w:rPr>
        <w:t>Title:</w:t>
      </w:r>
      <w:r w:rsidRPr="00F13D4B">
        <w:rPr>
          <w:rFonts w:ascii="Arial" w:hAnsi="Arial"/>
          <w:sz w:val="22"/>
          <w:szCs w:val="22"/>
        </w:rPr>
        <w:t xml:space="preserve"> </w:t>
      </w:r>
      <w:r w:rsidRPr="00F13D4B">
        <w:rPr>
          <w:rFonts w:ascii="Arial" w:hAnsi="Arial"/>
          <w:sz w:val="22"/>
          <w:szCs w:val="22"/>
        </w:rPr>
        <w:tab/>
      </w:r>
      <w:bookmarkStart w:id="14" w:name="Title"/>
      <w:bookmarkEnd w:id="14"/>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sidR="0015462D">
        <w:rPr>
          <w:rFonts w:ascii="Arial" w:hAnsi="Arial"/>
          <w:sz w:val="22"/>
          <w:szCs w:val="22"/>
        </w:rPr>
        <w:t xml:space="preserve">Further </w:t>
      </w:r>
      <w:r w:rsidR="008F7D78" w:rsidRPr="008F7D78">
        <w:rPr>
          <w:rFonts w:ascii="Arial" w:hAnsi="Arial"/>
          <w:sz w:val="22"/>
          <w:szCs w:val="22"/>
        </w:rPr>
        <w:t>Simulation results for V2V adjacent co-existence in licensed bands</w:t>
      </w:r>
    </w:p>
    <w:p w:rsidR="00BB3675" w:rsidRPr="00732DFB" w:rsidRDefault="00BB3675" w:rsidP="00BB3675">
      <w:pPr>
        <w:rPr>
          <w:rFonts w:ascii="Arial" w:hAnsi="Arial"/>
          <w:b/>
          <w:sz w:val="22"/>
          <w:szCs w:val="22"/>
        </w:rPr>
      </w:pPr>
      <w:r w:rsidRPr="00732DFB">
        <w:rPr>
          <w:rFonts w:ascii="Arial" w:hAnsi="Arial"/>
          <w:b/>
          <w:sz w:val="22"/>
          <w:szCs w:val="22"/>
        </w:rPr>
        <w:t>Document for:</w:t>
      </w:r>
      <w:r w:rsidRPr="00732DFB">
        <w:rPr>
          <w:rFonts w:ascii="Arial" w:hAnsi="Arial"/>
          <w:sz w:val="22"/>
          <w:szCs w:val="22"/>
        </w:rPr>
        <w:tab/>
      </w:r>
      <w:bookmarkStart w:id="15" w:name="DocumentFor"/>
      <w:bookmarkEnd w:id="15"/>
      <w:r w:rsidR="00A621D1" w:rsidRPr="00732DFB">
        <w:rPr>
          <w:rFonts w:ascii="Arial" w:hAnsi="Arial"/>
          <w:sz w:val="22"/>
          <w:szCs w:val="22"/>
        </w:rPr>
        <w:tab/>
      </w:r>
      <w:r w:rsidR="008B04AF" w:rsidRPr="00732DFB">
        <w:rPr>
          <w:rFonts w:ascii="Arial" w:hAnsi="Arial"/>
          <w:sz w:val="22"/>
          <w:szCs w:val="22"/>
        </w:rPr>
        <w:t>Approval</w:t>
      </w:r>
    </w:p>
    <w:p w:rsidR="00297E77" w:rsidRDefault="007456AF" w:rsidP="00D86D7B">
      <w:pPr>
        <w:pStyle w:val="Heading1"/>
        <w:rPr>
          <w:lang w:val="en-US"/>
        </w:rPr>
      </w:pPr>
      <w:r>
        <w:rPr>
          <w:lang w:val="en-US"/>
        </w:rPr>
        <w:t>1.</w:t>
      </w:r>
      <w:r>
        <w:rPr>
          <w:lang w:val="en-US"/>
        </w:rPr>
        <w:tab/>
      </w:r>
      <w:r w:rsidR="00297E77">
        <w:rPr>
          <w:lang w:val="en-US"/>
        </w:rPr>
        <w:t>Introduction</w:t>
      </w:r>
    </w:p>
    <w:p w:rsidR="006F4DA1" w:rsidRDefault="006F4DA1" w:rsidP="006F4DA1">
      <w:pPr>
        <w:rPr>
          <w:rFonts w:eastAsia="SimSun"/>
          <w:sz w:val="22"/>
          <w:szCs w:val="22"/>
          <w:lang w:eastAsia="zh-CN"/>
        </w:rPr>
      </w:pPr>
      <w:bookmarkStart w:id="16" w:name="_Ref352842173"/>
      <w:r w:rsidRPr="00E17B7D">
        <w:rPr>
          <w:sz w:val="22"/>
          <w:szCs w:val="22"/>
          <w:lang w:eastAsia="ko-KR"/>
        </w:rPr>
        <w:t xml:space="preserve">As per the </w:t>
      </w:r>
      <w:r>
        <w:rPr>
          <w:sz w:val="22"/>
          <w:szCs w:val="22"/>
          <w:lang w:eastAsia="ko-KR"/>
        </w:rPr>
        <w:t xml:space="preserve">revised </w:t>
      </w:r>
      <w:r w:rsidRPr="00E17B7D">
        <w:rPr>
          <w:sz w:val="22"/>
          <w:szCs w:val="22"/>
          <w:lang w:eastAsia="ko-KR"/>
        </w:rPr>
        <w:t>LTE Work Item entitled “</w:t>
      </w:r>
      <w:r>
        <w:rPr>
          <w:sz w:val="22"/>
          <w:szCs w:val="22"/>
          <w:lang w:eastAsia="ko-KR"/>
        </w:rPr>
        <w:t xml:space="preserve">Revised WID: </w:t>
      </w:r>
      <w:r w:rsidRPr="00E17B7D">
        <w:rPr>
          <w:rFonts w:eastAsia="Batang"/>
          <w:i/>
          <w:sz w:val="22"/>
          <w:szCs w:val="22"/>
          <w:lang w:eastAsia="ko-KR"/>
        </w:rPr>
        <w:t>Support for V2V services based on LTE sidelink</w:t>
      </w:r>
      <w:r>
        <w:rPr>
          <w:sz w:val="22"/>
          <w:szCs w:val="22"/>
          <w:lang w:eastAsia="ko-KR"/>
        </w:rPr>
        <w:t>” [2</w:t>
      </w:r>
      <w:r w:rsidRPr="00E17B7D">
        <w:rPr>
          <w:sz w:val="22"/>
          <w:szCs w:val="22"/>
          <w:lang w:eastAsia="ko-KR"/>
        </w:rPr>
        <w:t xml:space="preserve">] LTE-based V2X (i.e. vehicle-to-vehicle, vehicle-infrastructure or vehicle-to-pedestrian) </w:t>
      </w:r>
      <w:r>
        <w:rPr>
          <w:sz w:val="22"/>
          <w:szCs w:val="22"/>
          <w:lang w:eastAsia="ko-KR"/>
        </w:rPr>
        <w:t>functionality</w:t>
      </w:r>
      <w:r w:rsidRPr="00E17B7D">
        <w:rPr>
          <w:rFonts w:hint="eastAsia"/>
          <w:sz w:val="22"/>
          <w:szCs w:val="22"/>
          <w:lang w:eastAsia="ko-KR"/>
        </w:rPr>
        <w:t xml:space="preserve"> </w:t>
      </w:r>
      <w:r>
        <w:rPr>
          <w:sz w:val="22"/>
          <w:szCs w:val="22"/>
          <w:lang w:eastAsia="ko-KR"/>
        </w:rPr>
        <w:t xml:space="preserve">is to be defined as part of Release 14. </w:t>
      </w:r>
    </w:p>
    <w:p w:rsidR="0055676F" w:rsidRPr="00E17B7D" w:rsidRDefault="0055676F" w:rsidP="0055676F">
      <w:pPr>
        <w:rPr>
          <w:rFonts w:eastAsia="SimSun"/>
          <w:sz w:val="22"/>
          <w:szCs w:val="22"/>
          <w:lang w:eastAsia="zh-CN"/>
        </w:rPr>
      </w:pPr>
      <w:r w:rsidRPr="00E17B7D">
        <w:rPr>
          <w:rFonts w:eastAsia="SimSun"/>
          <w:sz w:val="22"/>
          <w:szCs w:val="22"/>
          <w:lang w:eastAsia="zh-CN"/>
        </w:rPr>
        <w:t xml:space="preserve">This contribution discusses </w:t>
      </w:r>
      <w:r>
        <w:rPr>
          <w:rFonts w:eastAsia="SimSun"/>
          <w:sz w:val="22"/>
          <w:szCs w:val="22"/>
          <w:lang w:eastAsia="zh-CN"/>
        </w:rPr>
        <w:t xml:space="preserve">the co-existence </w:t>
      </w:r>
      <w:r w:rsidR="008C69C6">
        <w:rPr>
          <w:rFonts w:eastAsia="SimSun"/>
          <w:sz w:val="22"/>
          <w:szCs w:val="22"/>
          <w:lang w:eastAsia="zh-CN"/>
        </w:rPr>
        <w:t>simulation results for V2V as an aggressor network to a legacy LTE</w:t>
      </w:r>
      <w:r>
        <w:rPr>
          <w:rFonts w:eastAsia="SimSun"/>
          <w:sz w:val="22"/>
          <w:szCs w:val="22"/>
          <w:lang w:eastAsia="zh-CN"/>
        </w:rPr>
        <w:t xml:space="preserve"> </w:t>
      </w:r>
      <w:r w:rsidR="008C69C6">
        <w:rPr>
          <w:rFonts w:eastAsia="SimSun"/>
          <w:sz w:val="22"/>
          <w:szCs w:val="22"/>
          <w:lang w:eastAsia="zh-CN"/>
        </w:rPr>
        <w:t xml:space="preserve">victim network. </w:t>
      </w:r>
    </w:p>
    <w:bookmarkEnd w:id="16"/>
    <w:p w:rsidR="00472476" w:rsidRDefault="00472476" w:rsidP="00BB78D0">
      <w:pPr>
        <w:rPr>
          <w:noProof/>
          <w:sz w:val="22"/>
          <w:szCs w:val="22"/>
          <w:lang w:eastAsia="ko-KR"/>
        </w:rPr>
      </w:pPr>
    </w:p>
    <w:p w:rsidR="000E620C" w:rsidRPr="001706B8" w:rsidRDefault="000E620C" w:rsidP="000E620C">
      <w:pPr>
        <w:pStyle w:val="Heading1"/>
      </w:pPr>
      <w:r w:rsidRPr="001706B8">
        <w:t>2.</w:t>
      </w:r>
      <w:r w:rsidRPr="001706B8">
        <w:tab/>
      </w:r>
      <w:r w:rsidR="004071AB">
        <w:t xml:space="preserve">V2V </w:t>
      </w:r>
      <w:r w:rsidR="00C74EA1" w:rsidRPr="001706B8">
        <w:t xml:space="preserve">Co-existence </w:t>
      </w:r>
      <w:r w:rsidR="004071AB">
        <w:t xml:space="preserve">Simulation </w:t>
      </w:r>
      <w:r w:rsidR="000B5CDC">
        <w:t>Assumptions</w:t>
      </w:r>
    </w:p>
    <w:p w:rsidR="00571645" w:rsidRDefault="00571645" w:rsidP="003206D1">
      <w:pPr>
        <w:pStyle w:val="Heading2"/>
        <w:ind w:left="0" w:firstLine="0"/>
        <w:rPr>
          <w:rFonts w:ascii="Times New Roman" w:eastAsia="Malgun Gothic" w:hAnsi="Times New Roman"/>
          <w:sz w:val="22"/>
          <w:szCs w:val="22"/>
          <w:lang w:eastAsia="ko-KR"/>
        </w:rPr>
      </w:pPr>
    </w:p>
    <w:p w:rsidR="004071AB" w:rsidRDefault="004071AB" w:rsidP="00571645">
      <w:pPr>
        <w:rPr>
          <w:sz w:val="22"/>
          <w:szCs w:val="22"/>
          <w:lang w:eastAsia="zh-CN"/>
        </w:rPr>
      </w:pPr>
      <w:r>
        <w:rPr>
          <w:sz w:val="22"/>
          <w:szCs w:val="22"/>
          <w:lang w:eastAsia="zh-CN"/>
        </w:rPr>
        <w:t xml:space="preserve">In RAN4#78bis </w:t>
      </w:r>
      <w:r w:rsidR="007652F1">
        <w:rPr>
          <w:sz w:val="22"/>
          <w:szCs w:val="22"/>
          <w:lang w:eastAsia="zh-CN"/>
        </w:rPr>
        <w:t xml:space="preserve">and RAN4#79, </w:t>
      </w:r>
      <w:r>
        <w:rPr>
          <w:sz w:val="22"/>
          <w:szCs w:val="22"/>
          <w:lang w:eastAsia="zh-CN"/>
        </w:rPr>
        <w:t xml:space="preserve">details of the simulation scenarios and assumptions were discussed and agreed to as defined by the Way Forward documents [7], [8] and [9] and further detailed in the references TR36.885 [4] and TR36.942 [5]. The co-existence simulation results presented in this contribution </w:t>
      </w:r>
      <w:r w:rsidR="009A4EDC">
        <w:rPr>
          <w:sz w:val="22"/>
          <w:szCs w:val="22"/>
          <w:lang w:eastAsia="zh-CN"/>
        </w:rPr>
        <w:t>comprise</w:t>
      </w:r>
      <w:r w:rsidR="00E558DF">
        <w:rPr>
          <w:sz w:val="22"/>
          <w:szCs w:val="22"/>
          <w:lang w:eastAsia="zh-CN"/>
        </w:rPr>
        <w:t xml:space="preserve"> the results for the agreed Case</w:t>
      </w:r>
      <w:r w:rsidR="009A4EDC">
        <w:rPr>
          <w:sz w:val="22"/>
          <w:szCs w:val="22"/>
          <w:lang w:eastAsia="zh-CN"/>
        </w:rPr>
        <w:t xml:space="preserve"> 1</w:t>
      </w:r>
      <w:r w:rsidR="003401F9">
        <w:rPr>
          <w:sz w:val="22"/>
          <w:szCs w:val="22"/>
          <w:lang w:eastAsia="zh-CN"/>
        </w:rPr>
        <w:t xml:space="preserve"> and Case 2</w:t>
      </w:r>
      <w:r w:rsidR="009A4EDC">
        <w:rPr>
          <w:sz w:val="22"/>
          <w:szCs w:val="22"/>
          <w:lang w:eastAsia="zh-CN"/>
        </w:rPr>
        <w:t xml:space="preserve"> scenario</w:t>
      </w:r>
      <w:r w:rsidR="003401F9">
        <w:rPr>
          <w:sz w:val="22"/>
          <w:szCs w:val="22"/>
          <w:lang w:eastAsia="zh-CN"/>
        </w:rPr>
        <w:t>s</w:t>
      </w:r>
      <w:r w:rsidR="009A4EDC">
        <w:rPr>
          <w:sz w:val="22"/>
          <w:szCs w:val="22"/>
          <w:lang w:eastAsia="zh-CN"/>
        </w:rPr>
        <w:t xml:space="preserve"> of V2V transmissions at 2 GHz</w:t>
      </w:r>
      <w:r w:rsidR="003401F9">
        <w:rPr>
          <w:sz w:val="22"/>
          <w:szCs w:val="22"/>
          <w:lang w:eastAsia="zh-CN"/>
        </w:rPr>
        <w:t xml:space="preserve">. </w:t>
      </w:r>
      <w:r w:rsidR="009A4EDC">
        <w:rPr>
          <w:sz w:val="22"/>
          <w:szCs w:val="22"/>
          <w:lang w:eastAsia="zh-CN"/>
        </w:rPr>
        <w:t xml:space="preserve"> </w:t>
      </w:r>
      <w:r w:rsidR="003401F9">
        <w:rPr>
          <w:sz w:val="22"/>
          <w:szCs w:val="22"/>
          <w:lang w:eastAsia="zh-CN"/>
        </w:rPr>
        <w:t>Case 1 comprises scenarios in which V2V transmissions act</w:t>
      </w:r>
      <w:r w:rsidR="009A4EDC">
        <w:rPr>
          <w:sz w:val="22"/>
          <w:szCs w:val="22"/>
          <w:lang w:eastAsia="zh-CN"/>
        </w:rPr>
        <w:t xml:space="preserve"> as an aggressor to victim LTE UE uplink transmissions to their serving eNBs, as defined in [9]. </w:t>
      </w:r>
      <w:r w:rsidR="00CE1089">
        <w:rPr>
          <w:sz w:val="22"/>
          <w:szCs w:val="22"/>
          <w:lang w:eastAsia="zh-CN"/>
        </w:rPr>
        <w:t xml:space="preserve">Furthermore Case 2 comprises scenarios in which legacy UL UE transmissions act as an aggressors to victim V2V transmissions. </w:t>
      </w:r>
      <w:r w:rsidR="003401F9">
        <w:rPr>
          <w:sz w:val="22"/>
          <w:szCs w:val="22"/>
          <w:lang w:eastAsia="zh-CN"/>
        </w:rPr>
        <w:t>Initial s</w:t>
      </w:r>
      <w:r w:rsidR="009A4EDC">
        <w:rPr>
          <w:sz w:val="22"/>
          <w:szCs w:val="22"/>
          <w:lang w:eastAsia="zh-CN"/>
        </w:rPr>
        <w:t>imulation resul</w:t>
      </w:r>
      <w:r w:rsidR="00DC2CBC">
        <w:rPr>
          <w:sz w:val="22"/>
          <w:szCs w:val="22"/>
          <w:lang w:eastAsia="zh-CN"/>
        </w:rPr>
        <w:t xml:space="preserve">ts for both V2V urban grid and </w:t>
      </w:r>
      <w:r w:rsidR="009A4EDC">
        <w:rPr>
          <w:sz w:val="22"/>
          <w:szCs w:val="22"/>
          <w:lang w:eastAsia="zh-CN"/>
        </w:rPr>
        <w:t xml:space="preserve">freeway drop and mobility models, as defined in [4], </w:t>
      </w:r>
      <w:r w:rsidR="003401F9" w:rsidRPr="003401F9">
        <w:rPr>
          <w:sz w:val="22"/>
          <w:szCs w:val="22"/>
          <w:lang w:eastAsia="zh-CN"/>
        </w:rPr>
        <w:t>were</w:t>
      </w:r>
      <w:r w:rsidR="003401F9">
        <w:rPr>
          <w:i/>
          <w:sz w:val="22"/>
          <w:szCs w:val="22"/>
          <w:lang w:eastAsia="zh-CN"/>
        </w:rPr>
        <w:t xml:space="preserve"> </w:t>
      </w:r>
      <w:r w:rsidR="009A4EDC">
        <w:rPr>
          <w:sz w:val="22"/>
          <w:szCs w:val="22"/>
          <w:lang w:eastAsia="zh-CN"/>
        </w:rPr>
        <w:t>presented</w:t>
      </w:r>
      <w:r w:rsidR="003401F9">
        <w:rPr>
          <w:sz w:val="22"/>
          <w:szCs w:val="22"/>
          <w:lang w:eastAsia="zh-CN"/>
        </w:rPr>
        <w:t xml:space="preserve"> in [10]</w:t>
      </w:r>
      <w:r w:rsidR="009A4EDC">
        <w:rPr>
          <w:sz w:val="22"/>
          <w:szCs w:val="22"/>
          <w:lang w:eastAsia="zh-CN"/>
        </w:rPr>
        <w:t>.</w:t>
      </w:r>
      <w:r w:rsidR="00CE1089">
        <w:rPr>
          <w:sz w:val="22"/>
          <w:szCs w:val="22"/>
          <w:lang w:eastAsia="zh-CN"/>
        </w:rPr>
        <w:t xml:space="preserve"> </w:t>
      </w:r>
    </w:p>
    <w:p w:rsidR="009A4EDC" w:rsidRDefault="009A4EDC" w:rsidP="00571645">
      <w:pPr>
        <w:rPr>
          <w:sz w:val="22"/>
          <w:szCs w:val="22"/>
          <w:lang w:eastAsia="zh-CN"/>
        </w:rPr>
      </w:pPr>
      <w:r>
        <w:rPr>
          <w:sz w:val="22"/>
          <w:szCs w:val="22"/>
          <w:lang w:eastAsia="zh-CN"/>
        </w:rPr>
        <w:t>For the urban grid scenarios, it is assumed that the grid is centered about the serving cell of interest in the victim network, as illustrated in Figure 1.</w:t>
      </w:r>
    </w:p>
    <w:p w:rsidR="00571645" w:rsidRDefault="00571645" w:rsidP="009A4EDC">
      <w:pPr>
        <w:rPr>
          <w:rFonts w:eastAsia="Malgun Gothic"/>
          <w:sz w:val="22"/>
          <w:szCs w:val="22"/>
          <w:lang w:eastAsia="ko-KR"/>
        </w:rPr>
      </w:pPr>
      <w:r>
        <w:rPr>
          <w:rFonts w:eastAsia="SimSun"/>
          <w:sz w:val="22"/>
          <w:szCs w:val="22"/>
          <w:lang w:eastAsia="zh-CN"/>
        </w:rPr>
        <w:t>.</w:t>
      </w:r>
      <w:r w:rsidR="00DC2CBC" w:rsidRPr="00DC2CBC">
        <w:t xml:space="preserve"> </w:t>
      </w:r>
      <w:r w:rsidR="00DC2CBC" w:rsidRPr="00156976">
        <w:rPr>
          <w:noProof/>
          <w:lang w:val="en-US"/>
        </w:rPr>
        <w:drawing>
          <wp:inline distT="0" distB="0" distL="0" distR="0" wp14:anchorId="651EB7D7" wp14:editId="667F9EC7">
            <wp:extent cx="3823854" cy="2867891"/>
            <wp:effectExtent l="0" t="0" r="571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824889" cy="2868667"/>
                    </a:xfrm>
                    <a:prstGeom prst="rect">
                      <a:avLst/>
                    </a:prstGeom>
                  </pic:spPr>
                </pic:pic>
              </a:graphicData>
            </a:graphic>
          </wp:inline>
        </w:drawing>
      </w:r>
    </w:p>
    <w:p w:rsidR="00966444" w:rsidRPr="00E558DF" w:rsidRDefault="009A4EDC" w:rsidP="00966444">
      <w:pPr>
        <w:rPr>
          <w:rFonts w:eastAsia="Malgun Gothic"/>
          <w:sz w:val="22"/>
          <w:szCs w:val="22"/>
          <w:lang w:eastAsia="ko-KR"/>
        </w:rPr>
      </w:pPr>
      <w:r w:rsidRPr="00E558DF">
        <w:rPr>
          <w:rFonts w:eastAsia="Malgun Gothic"/>
          <w:sz w:val="22"/>
          <w:szCs w:val="22"/>
          <w:lang w:eastAsia="ko-KR"/>
        </w:rPr>
        <w:lastRenderedPageBreak/>
        <w:t>Figure 1: Urban grid</w:t>
      </w:r>
      <w:r w:rsidR="00726611" w:rsidRPr="00E558DF">
        <w:rPr>
          <w:rFonts w:eastAsia="Malgun Gothic"/>
          <w:sz w:val="22"/>
          <w:szCs w:val="22"/>
          <w:lang w:eastAsia="ko-KR"/>
        </w:rPr>
        <w:t xml:space="preserve"> relative to victim LTE network.</w:t>
      </w:r>
    </w:p>
    <w:p w:rsidR="009A4EDC" w:rsidRPr="00DC2CBC" w:rsidRDefault="009A4EDC" w:rsidP="00966444">
      <w:pPr>
        <w:rPr>
          <w:rFonts w:eastAsia="Malgun Gothic"/>
          <w:sz w:val="22"/>
          <w:szCs w:val="22"/>
          <w:lang w:eastAsia="ko-KR"/>
        </w:rPr>
      </w:pPr>
      <w:r w:rsidRPr="00DC2CBC">
        <w:rPr>
          <w:rFonts w:eastAsia="Malgun Gothic"/>
          <w:sz w:val="22"/>
          <w:szCs w:val="22"/>
          <w:lang w:eastAsia="ko-KR"/>
        </w:rPr>
        <w:t>In section</w:t>
      </w:r>
      <w:r w:rsidR="00A616AF">
        <w:rPr>
          <w:rFonts w:eastAsia="Malgun Gothic"/>
          <w:sz w:val="22"/>
          <w:szCs w:val="22"/>
          <w:lang w:eastAsia="ko-KR"/>
        </w:rPr>
        <w:t>s</w:t>
      </w:r>
      <w:r w:rsidRPr="00DC2CBC">
        <w:rPr>
          <w:rFonts w:eastAsia="Malgun Gothic"/>
          <w:sz w:val="22"/>
          <w:szCs w:val="22"/>
          <w:lang w:eastAsia="ko-KR"/>
        </w:rPr>
        <w:t xml:space="preserve"> 3</w:t>
      </w:r>
      <w:r w:rsidR="00A616AF">
        <w:rPr>
          <w:rFonts w:eastAsia="Malgun Gothic"/>
          <w:sz w:val="22"/>
          <w:szCs w:val="22"/>
          <w:lang w:eastAsia="ko-KR"/>
        </w:rPr>
        <w:t xml:space="preserve"> and 4</w:t>
      </w:r>
      <w:r w:rsidR="00453A85">
        <w:rPr>
          <w:rFonts w:eastAsia="Malgun Gothic"/>
          <w:sz w:val="22"/>
          <w:szCs w:val="22"/>
          <w:lang w:eastAsia="ko-KR"/>
        </w:rPr>
        <w:t>,</w:t>
      </w:r>
      <w:r w:rsidRPr="00DC2CBC">
        <w:rPr>
          <w:rFonts w:eastAsia="Malgun Gothic"/>
          <w:sz w:val="22"/>
          <w:szCs w:val="22"/>
          <w:lang w:eastAsia="ko-KR"/>
        </w:rPr>
        <w:t xml:space="preserve"> </w:t>
      </w:r>
      <w:r w:rsidR="00CB6E8E" w:rsidRPr="00DC2CBC">
        <w:rPr>
          <w:rFonts w:eastAsia="Malgun Gothic"/>
          <w:sz w:val="22"/>
          <w:szCs w:val="22"/>
          <w:lang w:eastAsia="ko-KR"/>
        </w:rPr>
        <w:t>co-existence simulation results are presented assuming an ISD (inter-site distance) of 500 met</w:t>
      </w:r>
      <w:r w:rsidR="00DC2CBC">
        <w:rPr>
          <w:rFonts w:eastAsia="Malgun Gothic"/>
          <w:sz w:val="22"/>
          <w:szCs w:val="22"/>
          <w:lang w:eastAsia="ko-KR"/>
        </w:rPr>
        <w:t xml:space="preserve">ers for the legacy LTE network </w:t>
      </w:r>
      <w:r w:rsidR="00453A85">
        <w:rPr>
          <w:rFonts w:eastAsia="Malgun Gothic"/>
          <w:sz w:val="22"/>
          <w:szCs w:val="22"/>
          <w:lang w:eastAsia="ko-KR"/>
        </w:rPr>
        <w:t>corresponding to</w:t>
      </w:r>
      <w:r w:rsidR="00CB6E8E" w:rsidRPr="00DC2CBC">
        <w:rPr>
          <w:rFonts w:eastAsia="Malgun Gothic"/>
          <w:sz w:val="22"/>
          <w:szCs w:val="22"/>
          <w:lang w:eastAsia="ko-KR"/>
        </w:rPr>
        <w:t xml:space="preserve"> the urban grid scenario and an ISD of 1732 meters for the LTE network </w:t>
      </w:r>
      <w:r w:rsidR="00453A85">
        <w:rPr>
          <w:rFonts w:eastAsia="Malgun Gothic"/>
          <w:sz w:val="22"/>
          <w:szCs w:val="22"/>
          <w:lang w:eastAsia="ko-KR"/>
        </w:rPr>
        <w:t>corresponding to</w:t>
      </w:r>
      <w:r w:rsidR="00CB6E8E" w:rsidRPr="00DC2CBC">
        <w:rPr>
          <w:rFonts w:eastAsia="Malgun Gothic"/>
          <w:sz w:val="22"/>
          <w:szCs w:val="22"/>
          <w:lang w:eastAsia="ko-KR"/>
        </w:rPr>
        <w:t xml:space="preserve"> the V2V freeway scenario. For the urban grid scenar</w:t>
      </w:r>
      <w:r w:rsidR="00DC2CBC" w:rsidRPr="00DC2CBC">
        <w:rPr>
          <w:rFonts w:eastAsia="Malgun Gothic"/>
          <w:sz w:val="22"/>
          <w:szCs w:val="22"/>
          <w:lang w:eastAsia="ko-KR"/>
        </w:rPr>
        <w:t xml:space="preserve">io, </w:t>
      </w:r>
      <w:r w:rsidR="00CB6E8E" w:rsidRPr="00DC2CBC">
        <w:rPr>
          <w:rFonts w:eastAsia="Malgun Gothic"/>
          <w:sz w:val="22"/>
          <w:szCs w:val="22"/>
          <w:lang w:eastAsia="ko-KR"/>
        </w:rPr>
        <w:t>the V2V mobility and drop densities are based on vehicle velocities of 15 and 60 km/h, whereas for the freeway scenario, vehicle velocities of 70 and 140 km/h are assumed. LTE UE’s employing both power control settings 1 and 2 as defined in TR36.942 [5] are considered.</w:t>
      </w:r>
      <w:r w:rsidR="00763CA2" w:rsidRPr="00DC2CBC">
        <w:rPr>
          <w:rFonts w:eastAsia="Malgun Gothic"/>
          <w:sz w:val="22"/>
          <w:szCs w:val="22"/>
          <w:lang w:eastAsia="ko-KR"/>
        </w:rPr>
        <w:t xml:space="preserve"> For the V2V transmissions, it is assumed that no power control is employed (i.e. the t</w:t>
      </w:r>
      <w:r w:rsidR="00826A88" w:rsidRPr="00DC2CBC">
        <w:rPr>
          <w:rFonts w:eastAsia="Malgun Gothic"/>
          <w:sz w:val="22"/>
          <w:szCs w:val="22"/>
          <w:lang w:eastAsia="ko-KR"/>
        </w:rPr>
        <w:t>ransmissions are at full power) and 1% of the vehicles are transmitting at any given time.</w:t>
      </w:r>
    </w:p>
    <w:p w:rsidR="009A4EDC" w:rsidRPr="00350491" w:rsidRDefault="009A4EDC" w:rsidP="009A4EDC">
      <w:pPr>
        <w:pStyle w:val="Heading1"/>
        <w:ind w:left="851" w:hanging="851"/>
      </w:pPr>
      <w:r w:rsidRPr="00350491">
        <w:t>3</w:t>
      </w:r>
      <w:r w:rsidRPr="00350491">
        <w:tab/>
      </w:r>
      <w:r w:rsidR="00CE1089">
        <w:t xml:space="preserve">Case 1 </w:t>
      </w:r>
      <w:r>
        <w:t>Simulation Results</w:t>
      </w:r>
    </w:p>
    <w:p w:rsidR="00453A85" w:rsidRPr="00453A85" w:rsidRDefault="00DC2CBC" w:rsidP="00966444">
      <w:pPr>
        <w:rPr>
          <w:rFonts w:eastAsia="Malgun Gothic"/>
          <w:sz w:val="22"/>
          <w:szCs w:val="22"/>
          <w:lang w:eastAsia="ko-KR"/>
        </w:rPr>
      </w:pPr>
      <w:r w:rsidRPr="00DF2E91">
        <w:rPr>
          <w:rFonts w:eastAsia="Malgun Gothic"/>
          <w:sz w:val="22"/>
          <w:szCs w:val="22"/>
          <w:lang w:eastAsia="ko-KR"/>
        </w:rPr>
        <w:t>Figure 2 below presents UL throughput loss curves</w:t>
      </w:r>
      <w:r w:rsidR="00DF2E91">
        <w:rPr>
          <w:rFonts w:eastAsia="Malgun Gothic"/>
          <w:sz w:val="22"/>
          <w:szCs w:val="22"/>
          <w:lang w:eastAsia="ko-KR"/>
        </w:rPr>
        <w:t xml:space="preserve"> for V2V transmissions in an adjacent channel acting as an aggressor to LTE transmissions</w:t>
      </w:r>
      <w:r w:rsidR="00CE1089">
        <w:rPr>
          <w:rFonts w:eastAsia="Malgun Gothic"/>
          <w:sz w:val="22"/>
          <w:szCs w:val="22"/>
          <w:lang w:eastAsia="ko-KR"/>
        </w:rPr>
        <w:t xml:space="preserve"> (Case 1)</w:t>
      </w:r>
      <w:r w:rsidR="00DF2E91">
        <w:rPr>
          <w:rFonts w:eastAsia="Malgun Gothic"/>
          <w:sz w:val="22"/>
          <w:szCs w:val="22"/>
          <w:lang w:eastAsia="ko-KR"/>
        </w:rPr>
        <w:t>. The urban grid scenario is assumed with vehicular velocities of 60 kph. Throughput curves for the average lo</w:t>
      </w:r>
      <w:r w:rsidR="00453A85">
        <w:rPr>
          <w:rFonts w:eastAsia="Malgun Gothic"/>
          <w:sz w:val="22"/>
          <w:szCs w:val="22"/>
          <w:lang w:eastAsia="ko-KR"/>
        </w:rPr>
        <w:t xml:space="preserve">ss and 5-%tile </w:t>
      </w:r>
      <w:r w:rsidR="00DF2E91">
        <w:rPr>
          <w:rFonts w:eastAsia="Malgun Gothic"/>
          <w:sz w:val="22"/>
          <w:szCs w:val="22"/>
          <w:lang w:eastAsia="ko-KR"/>
        </w:rPr>
        <w:t>loss are presented for LTE victim transmissions. For reference, average throughput and 5</w:t>
      </w:r>
      <w:r w:rsidR="00453A85">
        <w:rPr>
          <w:rFonts w:eastAsia="Malgun Gothic"/>
          <w:sz w:val="22"/>
          <w:szCs w:val="22"/>
          <w:lang w:eastAsia="ko-KR"/>
        </w:rPr>
        <w:t>-</w:t>
      </w:r>
      <w:r w:rsidR="00DF2E91">
        <w:rPr>
          <w:rFonts w:eastAsia="Malgun Gothic"/>
          <w:sz w:val="22"/>
          <w:szCs w:val="22"/>
          <w:lang w:eastAsia="ko-KR"/>
        </w:rPr>
        <w:t>%tile loss curves with a second LTE network as the sole aggressor are also presented. The results with the LTE network employing power control schemes PC1 and PC2, are provided in Figures 2a and 2b respectively. Figure 3 provides the corresponding set of throughput curves for the same scenarios, but with vehicular velocities of 15 kph.</w:t>
      </w:r>
    </w:p>
    <w:p w:rsidR="00966444" w:rsidRDefault="00966444" w:rsidP="00763CA2">
      <w:pPr>
        <w:ind w:right="-439" w:hanging="360"/>
        <w:rPr>
          <w:rFonts w:eastAsia="Malgun Gothic"/>
          <w:lang w:eastAsia="ko-KR"/>
        </w:rPr>
      </w:pPr>
      <w:r w:rsidRPr="00966444">
        <w:rPr>
          <w:rFonts w:eastAsia="Malgun Gothic"/>
          <w:noProof/>
          <w:lang w:val="en-US"/>
        </w:rPr>
        <w:drawing>
          <wp:inline distT="0" distB="0" distL="0" distR="0" wp14:anchorId="48FB12CE" wp14:editId="630D52DC">
            <wp:extent cx="3177177" cy="2382982"/>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82105" cy="2386678"/>
                    </a:xfrm>
                    <a:prstGeom prst="rect">
                      <a:avLst/>
                    </a:prstGeom>
                    <a:noFill/>
                    <a:ln>
                      <a:noFill/>
                    </a:ln>
                  </pic:spPr>
                </pic:pic>
              </a:graphicData>
            </a:graphic>
          </wp:inline>
        </w:drawing>
      </w:r>
      <w:r w:rsidR="00763CA2" w:rsidRPr="009C5B29">
        <w:rPr>
          <w:rFonts w:eastAsia="Malgun Gothic"/>
          <w:noProof/>
          <w:lang w:val="en-US"/>
        </w:rPr>
        <w:drawing>
          <wp:inline distT="0" distB="0" distL="0" distR="0" wp14:anchorId="11309C97" wp14:editId="10F3F818">
            <wp:extent cx="3177178" cy="2382982"/>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77286" cy="2383063"/>
                    </a:xfrm>
                    <a:prstGeom prst="rect">
                      <a:avLst/>
                    </a:prstGeom>
                    <a:noFill/>
                    <a:ln>
                      <a:noFill/>
                    </a:ln>
                  </pic:spPr>
                </pic:pic>
              </a:graphicData>
            </a:graphic>
          </wp:inline>
        </w:drawing>
      </w:r>
    </w:p>
    <w:p w:rsidR="00966444" w:rsidRPr="00453A85" w:rsidRDefault="00763CA2" w:rsidP="00966444">
      <w:pPr>
        <w:rPr>
          <w:rFonts w:eastAsia="Malgun Gothic"/>
          <w:lang w:eastAsia="ko-KR"/>
        </w:rPr>
      </w:pPr>
      <w:r w:rsidRPr="00453A85">
        <w:rPr>
          <w:rFonts w:eastAsia="Malgun Gothic"/>
          <w:lang w:eastAsia="ko-KR"/>
        </w:rPr>
        <w:t>Figure 2</w:t>
      </w:r>
      <w:r w:rsidR="00966444" w:rsidRPr="00453A85">
        <w:rPr>
          <w:rFonts w:eastAsia="Malgun Gothic"/>
          <w:lang w:eastAsia="ko-KR"/>
        </w:rPr>
        <w:t xml:space="preserve">: </w:t>
      </w:r>
      <w:r w:rsidR="00716A56">
        <w:rPr>
          <w:rFonts w:eastAsia="Malgun Gothic"/>
          <w:lang w:eastAsia="ko-KR"/>
        </w:rPr>
        <w:t xml:space="preserve">Case 1 </w:t>
      </w:r>
      <w:r w:rsidR="00966444" w:rsidRPr="00453A85">
        <w:rPr>
          <w:rFonts w:eastAsia="Malgun Gothic"/>
          <w:lang w:eastAsia="ko-KR"/>
        </w:rPr>
        <w:t>Urban grid</w:t>
      </w:r>
      <w:r w:rsidRPr="00453A85">
        <w:rPr>
          <w:rFonts w:eastAsia="Malgun Gothic"/>
          <w:lang w:eastAsia="ko-KR"/>
        </w:rPr>
        <w:t xml:space="preserve"> scenario with </w:t>
      </w:r>
      <w:r w:rsidR="00C32F73" w:rsidRPr="00453A85">
        <w:rPr>
          <w:rFonts w:eastAsia="Malgun Gothic"/>
          <w:lang w:eastAsia="ko-KR"/>
        </w:rPr>
        <w:t>a vehicle velocity</w:t>
      </w:r>
      <w:r w:rsidRPr="00453A85">
        <w:rPr>
          <w:rFonts w:eastAsia="Malgun Gothic"/>
          <w:lang w:eastAsia="ko-KR"/>
        </w:rPr>
        <w:t xml:space="preserve"> </w:t>
      </w:r>
      <w:proofErr w:type="gramStart"/>
      <w:r w:rsidRPr="00453A85">
        <w:rPr>
          <w:rFonts w:eastAsia="Malgun Gothic"/>
          <w:lang w:eastAsia="ko-KR"/>
        </w:rPr>
        <w:t>of  60</w:t>
      </w:r>
      <w:proofErr w:type="gramEnd"/>
      <w:r w:rsidRPr="00453A85">
        <w:rPr>
          <w:rFonts w:eastAsia="Malgun Gothic"/>
          <w:lang w:eastAsia="ko-KR"/>
        </w:rPr>
        <w:t xml:space="preserve"> kph, with an LTE power control setting of a) </w:t>
      </w:r>
      <w:r w:rsidR="00966444" w:rsidRPr="00453A85">
        <w:rPr>
          <w:rFonts w:eastAsia="Malgun Gothic"/>
          <w:lang w:eastAsia="ko-KR"/>
        </w:rPr>
        <w:t>PC2</w:t>
      </w:r>
      <w:r w:rsidRPr="00453A85">
        <w:rPr>
          <w:rFonts w:eastAsia="Malgun Gothic"/>
          <w:lang w:eastAsia="ko-KR"/>
        </w:rPr>
        <w:t xml:space="preserve"> b) PC1</w:t>
      </w:r>
    </w:p>
    <w:p w:rsidR="00A93208" w:rsidRDefault="00A93208" w:rsidP="00966444">
      <w:pPr>
        <w:rPr>
          <w:rFonts w:eastAsia="Malgun Gothic"/>
          <w:lang w:eastAsia="ko-KR"/>
        </w:rPr>
      </w:pPr>
    </w:p>
    <w:p w:rsidR="00A93208" w:rsidRDefault="00A93208" w:rsidP="00763CA2">
      <w:pPr>
        <w:ind w:right="-529" w:hanging="540"/>
        <w:rPr>
          <w:rFonts w:eastAsia="Malgun Gothic"/>
          <w:lang w:eastAsia="ko-KR"/>
        </w:rPr>
      </w:pPr>
      <w:r w:rsidRPr="00A93208">
        <w:rPr>
          <w:rFonts w:eastAsia="Malgun Gothic"/>
          <w:noProof/>
          <w:lang w:val="en-US"/>
        </w:rPr>
        <w:drawing>
          <wp:inline distT="0" distB="0" distL="0" distR="0" wp14:anchorId="7A815CC6" wp14:editId="4FD110A3">
            <wp:extent cx="3322780" cy="2492188"/>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23291" cy="2492571"/>
                    </a:xfrm>
                    <a:prstGeom prst="rect">
                      <a:avLst/>
                    </a:prstGeom>
                    <a:noFill/>
                    <a:ln>
                      <a:noFill/>
                    </a:ln>
                  </pic:spPr>
                </pic:pic>
              </a:graphicData>
            </a:graphic>
          </wp:inline>
        </w:drawing>
      </w:r>
      <w:r w:rsidR="00763CA2" w:rsidRPr="00763CA2">
        <w:t xml:space="preserve"> </w:t>
      </w:r>
      <w:r w:rsidR="008B04AF" w:rsidRPr="008B04AF">
        <w:rPr>
          <w:noProof/>
          <w:lang w:val="en-US"/>
        </w:rPr>
        <w:drawing>
          <wp:inline distT="0" distB="0" distL="0" distR="0" wp14:anchorId="22782F08" wp14:editId="77B11C5F">
            <wp:extent cx="3235036" cy="2426278"/>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233602" cy="2425202"/>
                    </a:xfrm>
                    <a:prstGeom prst="rect">
                      <a:avLst/>
                    </a:prstGeom>
                  </pic:spPr>
                </pic:pic>
              </a:graphicData>
            </a:graphic>
          </wp:inline>
        </w:drawing>
      </w:r>
    </w:p>
    <w:p w:rsidR="00763CA2" w:rsidRDefault="00763CA2" w:rsidP="005F2413">
      <w:pPr>
        <w:rPr>
          <w:rFonts w:eastAsia="Malgun Gothic"/>
          <w:lang w:eastAsia="ko-KR"/>
        </w:rPr>
      </w:pPr>
      <w:r>
        <w:rPr>
          <w:rFonts w:eastAsia="Malgun Gothic"/>
          <w:lang w:eastAsia="ko-KR"/>
        </w:rPr>
        <w:lastRenderedPageBreak/>
        <w:t xml:space="preserve">Figure 3: </w:t>
      </w:r>
      <w:r w:rsidR="00716A56">
        <w:rPr>
          <w:rFonts w:eastAsia="Malgun Gothic"/>
          <w:lang w:eastAsia="ko-KR"/>
        </w:rPr>
        <w:t xml:space="preserve">Case 1 </w:t>
      </w:r>
      <w:r>
        <w:rPr>
          <w:rFonts w:eastAsia="Malgun Gothic"/>
          <w:lang w:eastAsia="ko-KR"/>
        </w:rPr>
        <w:t>Urban grid sc</w:t>
      </w:r>
      <w:r w:rsidR="00C32F73">
        <w:rPr>
          <w:rFonts w:eastAsia="Malgun Gothic"/>
          <w:lang w:eastAsia="ko-KR"/>
        </w:rPr>
        <w:t>enario with a vehicle velocity</w:t>
      </w:r>
      <w:r>
        <w:rPr>
          <w:rFonts w:eastAsia="Malgun Gothic"/>
          <w:lang w:eastAsia="ko-KR"/>
        </w:rPr>
        <w:t xml:space="preserve"> of 15 kph, with an LTE power control setting of a) PC2 b) PC1</w:t>
      </w:r>
    </w:p>
    <w:p w:rsidR="00796E32" w:rsidRDefault="00796E32" w:rsidP="00763CA2">
      <w:pPr>
        <w:ind w:right="-619" w:hanging="720"/>
        <w:rPr>
          <w:rFonts w:eastAsia="Malgun Gothic"/>
          <w:lang w:eastAsia="ko-KR"/>
        </w:rPr>
      </w:pPr>
      <w:r w:rsidRPr="00796E32">
        <w:rPr>
          <w:noProof/>
          <w:lang w:val="en-US"/>
        </w:rPr>
        <w:drawing>
          <wp:inline distT="0" distB="0" distL="0" distR="0" wp14:anchorId="609A59E0" wp14:editId="1C76DFD6">
            <wp:extent cx="3278909" cy="245918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280075" cy="2460057"/>
                    </a:xfrm>
                    <a:prstGeom prst="rect">
                      <a:avLst/>
                    </a:prstGeom>
                  </pic:spPr>
                </pic:pic>
              </a:graphicData>
            </a:graphic>
          </wp:inline>
        </w:drawing>
      </w:r>
      <w:r w:rsidR="00763CA2" w:rsidRPr="006D7010">
        <w:rPr>
          <w:noProof/>
          <w:lang w:val="en-US"/>
        </w:rPr>
        <w:drawing>
          <wp:inline distT="0" distB="0" distL="0" distR="0" wp14:anchorId="1775D914" wp14:editId="1F15A0EB">
            <wp:extent cx="3283528" cy="246264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284417" cy="2463312"/>
                    </a:xfrm>
                    <a:prstGeom prst="rect">
                      <a:avLst/>
                    </a:prstGeom>
                  </pic:spPr>
                </pic:pic>
              </a:graphicData>
            </a:graphic>
          </wp:inline>
        </w:drawing>
      </w:r>
    </w:p>
    <w:p w:rsidR="00763CA2" w:rsidRDefault="00763CA2" w:rsidP="00796E32">
      <w:pPr>
        <w:rPr>
          <w:rFonts w:eastAsia="Malgun Gothic"/>
          <w:lang w:eastAsia="ko-KR"/>
        </w:rPr>
      </w:pPr>
    </w:p>
    <w:p w:rsidR="00763CA2" w:rsidRDefault="00370D3C" w:rsidP="00763CA2">
      <w:pPr>
        <w:rPr>
          <w:rFonts w:eastAsia="Malgun Gothic"/>
          <w:sz w:val="22"/>
          <w:szCs w:val="22"/>
          <w:lang w:eastAsia="ko-KR"/>
        </w:rPr>
      </w:pPr>
      <w:r w:rsidRPr="00453A85">
        <w:rPr>
          <w:rFonts w:eastAsia="Malgun Gothic"/>
          <w:sz w:val="22"/>
          <w:szCs w:val="22"/>
          <w:lang w:eastAsia="ko-KR"/>
        </w:rPr>
        <w:t>Figure 4</w:t>
      </w:r>
      <w:r w:rsidR="00763CA2" w:rsidRPr="00453A85">
        <w:rPr>
          <w:rFonts w:eastAsia="Malgun Gothic"/>
          <w:sz w:val="22"/>
          <w:szCs w:val="22"/>
          <w:lang w:eastAsia="ko-KR"/>
        </w:rPr>
        <w:t>: V2V freeway scenario with vehicle velocit</w:t>
      </w:r>
      <w:r w:rsidR="00453A85">
        <w:rPr>
          <w:rFonts w:eastAsia="Malgun Gothic"/>
          <w:sz w:val="22"/>
          <w:szCs w:val="22"/>
          <w:lang w:eastAsia="ko-KR"/>
        </w:rPr>
        <w:t>ies of a) 70 kph and b) 140 kph.</w:t>
      </w:r>
      <w:r w:rsidR="00763CA2" w:rsidRPr="00453A85">
        <w:rPr>
          <w:rFonts w:eastAsia="Malgun Gothic"/>
          <w:sz w:val="22"/>
          <w:szCs w:val="22"/>
          <w:lang w:eastAsia="ko-KR"/>
        </w:rPr>
        <w:t xml:space="preserve"> The LTE power control setting is based on PC1.</w:t>
      </w:r>
    </w:p>
    <w:p w:rsidR="00453A85" w:rsidRPr="00453A85" w:rsidRDefault="00453A85" w:rsidP="00763CA2">
      <w:pPr>
        <w:rPr>
          <w:rFonts w:eastAsia="Malgun Gothic"/>
          <w:sz w:val="22"/>
          <w:szCs w:val="22"/>
          <w:lang w:eastAsia="ko-KR"/>
        </w:rPr>
      </w:pPr>
    </w:p>
    <w:p w:rsidR="00680849" w:rsidRPr="00DF2E91" w:rsidRDefault="00680849" w:rsidP="00680849">
      <w:pPr>
        <w:rPr>
          <w:rFonts w:eastAsia="Malgun Gothic"/>
          <w:sz w:val="22"/>
          <w:szCs w:val="22"/>
          <w:lang w:eastAsia="ko-KR"/>
        </w:rPr>
      </w:pPr>
      <w:r>
        <w:rPr>
          <w:rFonts w:eastAsia="Malgun Gothic"/>
          <w:sz w:val="22"/>
          <w:szCs w:val="22"/>
          <w:lang w:eastAsia="ko-KR"/>
        </w:rPr>
        <w:t>Figure 4 above provides corresponding sets of throughput curves for the V2V freeway scenario, with vehicular velocities of 70 and 140 kph.</w:t>
      </w:r>
    </w:p>
    <w:p w:rsidR="006D7010" w:rsidRDefault="001B459A" w:rsidP="008B04AF">
      <w:pPr>
        <w:rPr>
          <w:rFonts w:eastAsia="Malgun Gothic"/>
          <w:sz w:val="22"/>
          <w:szCs w:val="22"/>
          <w:lang w:eastAsia="ko-KR"/>
        </w:rPr>
      </w:pPr>
      <w:r w:rsidRPr="00370D3C">
        <w:rPr>
          <w:rFonts w:eastAsia="Malgun Gothic"/>
          <w:sz w:val="22"/>
          <w:szCs w:val="22"/>
          <w:lang w:eastAsia="ko-KR"/>
        </w:rPr>
        <w:t>From the results in Figures 2, 3 and 4 it can be seen that adjacent channel transmissions by an aggressor V2V network in a</w:t>
      </w:r>
      <w:r w:rsidR="00370D3C">
        <w:rPr>
          <w:rFonts w:eastAsia="Malgun Gothic"/>
          <w:sz w:val="22"/>
          <w:szCs w:val="22"/>
          <w:lang w:eastAsia="ko-KR"/>
        </w:rPr>
        <w:t>n</w:t>
      </w:r>
      <w:r w:rsidRPr="00370D3C">
        <w:rPr>
          <w:rFonts w:eastAsia="Malgun Gothic"/>
          <w:sz w:val="22"/>
          <w:szCs w:val="22"/>
          <w:lang w:eastAsia="ko-KR"/>
        </w:rPr>
        <w:t xml:space="preserve"> urban grid </w:t>
      </w:r>
      <w:r w:rsidR="00370D3C">
        <w:rPr>
          <w:rFonts w:eastAsia="Malgun Gothic"/>
          <w:sz w:val="22"/>
          <w:szCs w:val="22"/>
          <w:lang w:eastAsia="ko-KR"/>
        </w:rPr>
        <w:t xml:space="preserve">or freeway </w:t>
      </w:r>
      <w:r w:rsidRPr="00370D3C">
        <w:rPr>
          <w:rFonts w:eastAsia="Malgun Gothic"/>
          <w:sz w:val="22"/>
          <w:szCs w:val="22"/>
          <w:lang w:eastAsia="ko-KR"/>
        </w:rPr>
        <w:t xml:space="preserve">scenario to a co-located LTE victim network can result in significant degradation to the legacy LTE uplink throughput. </w:t>
      </w:r>
      <w:r w:rsidR="00370D3C">
        <w:rPr>
          <w:rFonts w:eastAsia="Malgun Gothic"/>
          <w:sz w:val="22"/>
          <w:szCs w:val="22"/>
          <w:lang w:eastAsia="ko-KR"/>
        </w:rPr>
        <w:t xml:space="preserve">For the existing nominal UE ACIR of 30 dB, the degradation in victim LTE network throughput exceeds 20% for the average throughput and is </w:t>
      </w:r>
      <w:r w:rsidR="00ED7603">
        <w:rPr>
          <w:rFonts w:eastAsia="Malgun Gothic"/>
          <w:sz w:val="22"/>
          <w:szCs w:val="22"/>
          <w:lang w:eastAsia="ko-KR"/>
        </w:rPr>
        <w:t xml:space="preserve">typically </w:t>
      </w:r>
      <w:r w:rsidR="00370D3C">
        <w:rPr>
          <w:rFonts w:eastAsia="Malgun Gothic"/>
          <w:sz w:val="22"/>
          <w:szCs w:val="22"/>
          <w:lang w:eastAsia="ko-KR"/>
        </w:rPr>
        <w:t xml:space="preserve">more </w:t>
      </w:r>
      <w:r w:rsidR="00ED7603">
        <w:rPr>
          <w:rFonts w:eastAsia="Malgun Gothic"/>
          <w:sz w:val="22"/>
          <w:szCs w:val="22"/>
          <w:lang w:eastAsia="ko-KR"/>
        </w:rPr>
        <w:t>than 50</w:t>
      </w:r>
      <w:proofErr w:type="gramStart"/>
      <w:r w:rsidR="00ED7603">
        <w:rPr>
          <w:rFonts w:eastAsia="Malgun Gothic"/>
          <w:sz w:val="22"/>
          <w:szCs w:val="22"/>
          <w:lang w:eastAsia="ko-KR"/>
        </w:rPr>
        <w:t xml:space="preserve">% </w:t>
      </w:r>
      <w:r w:rsidR="00370D3C">
        <w:rPr>
          <w:rFonts w:eastAsia="Malgun Gothic"/>
          <w:sz w:val="22"/>
          <w:szCs w:val="22"/>
          <w:lang w:eastAsia="ko-KR"/>
        </w:rPr>
        <w:t xml:space="preserve"> for</w:t>
      </w:r>
      <w:proofErr w:type="gramEnd"/>
      <w:r w:rsidR="00370D3C">
        <w:rPr>
          <w:rFonts w:eastAsia="Malgun Gothic"/>
          <w:sz w:val="22"/>
          <w:szCs w:val="22"/>
          <w:lang w:eastAsia="ko-KR"/>
        </w:rPr>
        <w:t xml:space="preserve"> the 5%-tile throughput.</w:t>
      </w:r>
      <w:r w:rsidR="008B04AF">
        <w:rPr>
          <w:rFonts w:eastAsia="Malgun Gothic"/>
          <w:sz w:val="22"/>
          <w:szCs w:val="22"/>
          <w:lang w:eastAsia="ko-KR"/>
        </w:rPr>
        <w:t xml:space="preserve"> The high level of throughput degradation is due to the lack of power control on V2V transmissions as well as the multiplicity of transmissions of V2V over the network. Even with only a 1% transmission rate, the high number of vehicles in the network can result in 10</w:t>
      </w:r>
      <w:r w:rsidR="00453A85">
        <w:rPr>
          <w:rFonts w:eastAsia="Malgun Gothic"/>
          <w:sz w:val="22"/>
          <w:szCs w:val="22"/>
          <w:lang w:eastAsia="ko-KR"/>
        </w:rPr>
        <w:t>’</w:t>
      </w:r>
      <w:r w:rsidR="008B04AF">
        <w:rPr>
          <w:rFonts w:eastAsia="Malgun Gothic"/>
          <w:sz w:val="22"/>
          <w:szCs w:val="22"/>
          <w:lang w:eastAsia="ko-KR"/>
        </w:rPr>
        <w:t>s or more simultaneous V2V transmissions.</w:t>
      </w:r>
      <w:r w:rsidR="004E2488">
        <w:rPr>
          <w:rFonts w:eastAsia="Malgun Gothic"/>
          <w:sz w:val="22"/>
          <w:szCs w:val="22"/>
          <w:lang w:eastAsia="ko-KR"/>
        </w:rPr>
        <w:t xml:space="preserve"> Based on these results it is </w:t>
      </w:r>
      <w:r w:rsidR="00AF0C6E">
        <w:rPr>
          <w:rFonts w:eastAsia="Malgun Gothic"/>
          <w:sz w:val="22"/>
          <w:szCs w:val="22"/>
          <w:lang w:eastAsia="ko-KR"/>
        </w:rPr>
        <w:t>recommended that RAN4 consider either a</w:t>
      </w:r>
      <w:r w:rsidR="004E2488">
        <w:rPr>
          <w:rFonts w:eastAsia="Malgun Gothic"/>
          <w:sz w:val="22"/>
          <w:szCs w:val="22"/>
          <w:lang w:eastAsia="ko-KR"/>
        </w:rPr>
        <w:t xml:space="preserve"> tightening of the ACLR for V2V UEs and</w:t>
      </w:r>
      <w:r w:rsidR="00AF0C6E">
        <w:rPr>
          <w:rFonts w:eastAsia="Malgun Gothic"/>
          <w:sz w:val="22"/>
          <w:szCs w:val="22"/>
          <w:lang w:eastAsia="ko-KR"/>
        </w:rPr>
        <w:t>/or</w:t>
      </w:r>
      <w:r w:rsidR="004E2488">
        <w:rPr>
          <w:rFonts w:eastAsia="Malgun Gothic"/>
          <w:sz w:val="22"/>
          <w:szCs w:val="22"/>
          <w:lang w:eastAsia="ko-KR"/>
        </w:rPr>
        <w:t xml:space="preserve"> the use of power control for V2V transmissions </w:t>
      </w:r>
      <w:proofErr w:type="gramStart"/>
      <w:r w:rsidR="004E2488">
        <w:rPr>
          <w:rFonts w:eastAsia="Malgun Gothic"/>
          <w:sz w:val="22"/>
          <w:szCs w:val="22"/>
          <w:lang w:eastAsia="ko-KR"/>
        </w:rPr>
        <w:t>be</w:t>
      </w:r>
      <w:proofErr w:type="gramEnd"/>
      <w:r w:rsidR="004E2488">
        <w:rPr>
          <w:rFonts w:eastAsia="Malgun Gothic"/>
          <w:sz w:val="22"/>
          <w:szCs w:val="22"/>
          <w:lang w:eastAsia="ko-KR"/>
        </w:rPr>
        <w:t xml:space="preserve"> investigated.</w:t>
      </w:r>
    </w:p>
    <w:p w:rsidR="00ED7603" w:rsidRDefault="00ED7603" w:rsidP="008B04AF">
      <w:pPr>
        <w:rPr>
          <w:rFonts w:eastAsia="Malgun Gothic"/>
          <w:sz w:val="22"/>
          <w:szCs w:val="22"/>
          <w:lang w:eastAsia="ko-KR"/>
        </w:rPr>
      </w:pPr>
    </w:p>
    <w:p w:rsidR="00ED7603" w:rsidRPr="00ED6403" w:rsidRDefault="00ED7603" w:rsidP="00ED7603">
      <w:pPr>
        <w:rPr>
          <w:b/>
          <w:sz w:val="22"/>
          <w:szCs w:val="22"/>
          <w:u w:val="single"/>
          <w:lang w:eastAsia="ko-KR"/>
        </w:rPr>
      </w:pPr>
      <w:r>
        <w:rPr>
          <w:b/>
          <w:sz w:val="22"/>
          <w:szCs w:val="22"/>
          <w:u w:val="single"/>
          <w:lang w:eastAsia="ko-KR"/>
        </w:rPr>
        <w:t>Observation</w:t>
      </w:r>
      <w:r w:rsidRPr="00ED6403">
        <w:rPr>
          <w:b/>
          <w:sz w:val="22"/>
          <w:szCs w:val="22"/>
          <w:u w:val="single"/>
          <w:lang w:eastAsia="ko-KR"/>
        </w:rPr>
        <w:t xml:space="preserve"> #1 </w:t>
      </w:r>
    </w:p>
    <w:p w:rsidR="00ED7603" w:rsidRPr="004E2488" w:rsidRDefault="00ED7603" w:rsidP="00ED7603">
      <w:pPr>
        <w:pStyle w:val="ListParagraph"/>
        <w:numPr>
          <w:ilvl w:val="0"/>
          <w:numId w:val="21"/>
        </w:numPr>
        <w:rPr>
          <w:rFonts w:ascii="Times New Roman" w:eastAsia="Malgun Gothic" w:hAnsi="Times New Roman"/>
          <w:b/>
          <w:lang w:eastAsia="ko-KR"/>
        </w:rPr>
      </w:pPr>
      <w:r w:rsidRPr="004E2488">
        <w:rPr>
          <w:rFonts w:ascii="Times New Roman" w:eastAsia="Malgun Gothic" w:hAnsi="Times New Roman"/>
          <w:b/>
          <w:lang w:eastAsia="ko-KR"/>
        </w:rPr>
        <w:t xml:space="preserve">RAN4 </w:t>
      </w:r>
      <w:r>
        <w:rPr>
          <w:rFonts w:ascii="Times New Roman" w:eastAsia="Malgun Gothic" w:hAnsi="Times New Roman"/>
          <w:b/>
          <w:lang w:eastAsia="ko-KR"/>
        </w:rPr>
        <w:t xml:space="preserve">adjacent channel coexistence analysis </w:t>
      </w:r>
      <w:r w:rsidR="00730053">
        <w:rPr>
          <w:rFonts w:ascii="Times New Roman" w:eastAsia="Malgun Gothic" w:hAnsi="Times New Roman"/>
          <w:b/>
          <w:lang w:eastAsia="ko-KR"/>
        </w:rPr>
        <w:t>shows</w:t>
      </w:r>
      <w:r>
        <w:rPr>
          <w:rFonts w:ascii="Times New Roman" w:eastAsia="Malgun Gothic" w:hAnsi="Times New Roman"/>
          <w:b/>
          <w:lang w:eastAsia="ko-KR"/>
        </w:rPr>
        <w:t xml:space="preserve"> that V2V aggressor transmission</w:t>
      </w:r>
      <w:r w:rsidR="00AF0C6E">
        <w:rPr>
          <w:rFonts w:ascii="Times New Roman" w:eastAsia="Malgun Gothic" w:hAnsi="Times New Roman"/>
          <w:b/>
          <w:lang w:eastAsia="ko-KR"/>
        </w:rPr>
        <w:t>s</w:t>
      </w:r>
      <w:r>
        <w:rPr>
          <w:rFonts w:ascii="Times New Roman" w:eastAsia="Malgun Gothic" w:hAnsi="Times New Roman"/>
          <w:b/>
          <w:lang w:eastAsia="ko-KR"/>
        </w:rPr>
        <w:t xml:space="preserve"> into victim legacy LTE networks </w:t>
      </w:r>
      <w:r w:rsidR="00730053">
        <w:rPr>
          <w:rFonts w:ascii="Times New Roman" w:eastAsia="Malgun Gothic" w:hAnsi="Times New Roman"/>
          <w:b/>
          <w:lang w:eastAsia="ko-KR"/>
        </w:rPr>
        <w:t xml:space="preserve">can produce throughput </w:t>
      </w:r>
      <w:r w:rsidR="00C25473">
        <w:rPr>
          <w:rFonts w:ascii="Times New Roman" w:eastAsia="Malgun Gothic" w:hAnsi="Times New Roman"/>
          <w:b/>
          <w:lang w:eastAsia="ko-KR"/>
        </w:rPr>
        <w:t>degradations of greater than</w:t>
      </w:r>
      <w:r w:rsidR="00730053">
        <w:rPr>
          <w:rFonts w:ascii="Times New Roman" w:eastAsia="Malgun Gothic" w:hAnsi="Times New Roman"/>
          <w:b/>
          <w:lang w:eastAsia="ko-KR"/>
        </w:rPr>
        <w:t xml:space="preserve"> 20% for average throughput and greater than 50% degradation for the 5%-tile throughput</w:t>
      </w:r>
      <w:r w:rsidR="004E0F98">
        <w:rPr>
          <w:rFonts w:ascii="Times New Roman" w:eastAsia="Malgun Gothic" w:hAnsi="Times New Roman"/>
          <w:b/>
          <w:lang w:eastAsia="ko-KR"/>
        </w:rPr>
        <w:t xml:space="preserve"> for a target ACIR of</w:t>
      </w:r>
      <w:r w:rsidR="00822551">
        <w:rPr>
          <w:rFonts w:ascii="Times New Roman" w:eastAsia="Malgun Gothic" w:hAnsi="Times New Roman"/>
          <w:b/>
          <w:lang w:eastAsia="ko-KR"/>
        </w:rPr>
        <w:t xml:space="preserve"> 30 </w:t>
      </w:r>
      <w:proofErr w:type="spellStart"/>
      <w:r w:rsidR="004E0F98">
        <w:rPr>
          <w:rFonts w:ascii="Times New Roman" w:eastAsia="Malgun Gothic" w:hAnsi="Times New Roman"/>
          <w:b/>
          <w:lang w:eastAsia="ko-KR"/>
        </w:rPr>
        <w:t>dB</w:t>
      </w:r>
      <w:r w:rsidR="00730053">
        <w:rPr>
          <w:rFonts w:ascii="Times New Roman" w:eastAsia="Malgun Gothic" w:hAnsi="Times New Roman"/>
          <w:b/>
          <w:lang w:eastAsia="ko-KR"/>
        </w:rPr>
        <w:t>.</w:t>
      </w:r>
      <w:proofErr w:type="spellEnd"/>
    </w:p>
    <w:p w:rsidR="00ED7603" w:rsidRDefault="00ED7603" w:rsidP="008B04AF">
      <w:pPr>
        <w:rPr>
          <w:rFonts w:eastAsia="Malgun Gothic"/>
          <w:sz w:val="22"/>
          <w:szCs w:val="22"/>
          <w:lang w:eastAsia="ko-KR"/>
        </w:rPr>
      </w:pPr>
    </w:p>
    <w:p w:rsidR="004E2488" w:rsidRPr="00ED6403" w:rsidRDefault="004E2488" w:rsidP="004E2488">
      <w:pPr>
        <w:rPr>
          <w:b/>
          <w:sz w:val="22"/>
          <w:szCs w:val="22"/>
          <w:u w:val="single"/>
          <w:lang w:eastAsia="ko-KR"/>
        </w:rPr>
      </w:pPr>
      <w:r w:rsidRPr="00ED6403">
        <w:rPr>
          <w:b/>
          <w:sz w:val="22"/>
          <w:szCs w:val="22"/>
          <w:u w:val="single"/>
          <w:lang w:eastAsia="ko-KR"/>
        </w:rPr>
        <w:t xml:space="preserve">Proposal #1 </w:t>
      </w:r>
    </w:p>
    <w:p w:rsidR="004E2488" w:rsidRPr="004E2488" w:rsidRDefault="00730053" w:rsidP="004E2488">
      <w:pPr>
        <w:pStyle w:val="ListParagraph"/>
        <w:numPr>
          <w:ilvl w:val="0"/>
          <w:numId w:val="21"/>
        </w:numPr>
        <w:rPr>
          <w:rFonts w:ascii="Times New Roman" w:eastAsia="Malgun Gothic" w:hAnsi="Times New Roman"/>
          <w:b/>
          <w:lang w:eastAsia="ko-KR"/>
        </w:rPr>
      </w:pPr>
      <w:r>
        <w:rPr>
          <w:rFonts w:ascii="Times New Roman" w:eastAsia="Malgun Gothic" w:hAnsi="Times New Roman"/>
          <w:b/>
          <w:lang w:eastAsia="ko-KR"/>
        </w:rPr>
        <w:t xml:space="preserve">In order to mitigate the interference to legacy LTE from adjacent channel V2V transmission </w:t>
      </w:r>
      <w:r w:rsidR="004E2488" w:rsidRPr="004E2488">
        <w:rPr>
          <w:rFonts w:ascii="Times New Roman" w:eastAsia="Malgun Gothic" w:hAnsi="Times New Roman"/>
          <w:b/>
          <w:lang w:eastAsia="ko-KR"/>
        </w:rPr>
        <w:t xml:space="preserve">RAN4 </w:t>
      </w:r>
      <w:r>
        <w:rPr>
          <w:rFonts w:ascii="Times New Roman" w:eastAsia="Malgun Gothic" w:hAnsi="Times New Roman"/>
          <w:b/>
          <w:lang w:eastAsia="ko-KR"/>
        </w:rPr>
        <w:t xml:space="preserve">should </w:t>
      </w:r>
      <w:r w:rsidR="004E2488" w:rsidRPr="004E2488">
        <w:rPr>
          <w:rFonts w:ascii="Times New Roman" w:eastAsia="Malgun Gothic" w:hAnsi="Times New Roman"/>
          <w:b/>
          <w:lang w:eastAsia="ko-KR"/>
        </w:rPr>
        <w:t xml:space="preserve">consider </w:t>
      </w:r>
      <w:r>
        <w:rPr>
          <w:rFonts w:ascii="Times New Roman" w:eastAsia="Malgun Gothic" w:hAnsi="Times New Roman"/>
          <w:b/>
          <w:lang w:eastAsia="ko-KR"/>
        </w:rPr>
        <w:t xml:space="preserve">either </w:t>
      </w:r>
      <w:r w:rsidR="004E2488" w:rsidRPr="004E2488">
        <w:rPr>
          <w:rFonts w:ascii="Times New Roman" w:eastAsia="Malgun Gothic" w:hAnsi="Times New Roman"/>
          <w:b/>
          <w:lang w:eastAsia="ko-KR"/>
        </w:rPr>
        <w:t xml:space="preserve">a tightening of the ACLR for V2V UEs </w:t>
      </w:r>
      <w:r>
        <w:rPr>
          <w:rFonts w:ascii="Times New Roman" w:eastAsia="Malgun Gothic" w:hAnsi="Times New Roman"/>
          <w:b/>
          <w:lang w:eastAsia="ko-KR"/>
        </w:rPr>
        <w:t>or</w:t>
      </w:r>
      <w:r w:rsidR="004E2488" w:rsidRPr="004E2488">
        <w:rPr>
          <w:rFonts w:ascii="Times New Roman" w:eastAsia="Malgun Gothic" w:hAnsi="Times New Roman"/>
          <w:b/>
          <w:lang w:eastAsia="ko-KR"/>
        </w:rPr>
        <w:t xml:space="preserve"> the use of </w:t>
      </w:r>
      <w:r>
        <w:rPr>
          <w:rFonts w:ascii="Times New Roman" w:eastAsia="Malgun Gothic" w:hAnsi="Times New Roman"/>
          <w:b/>
          <w:lang w:eastAsia="ko-KR"/>
        </w:rPr>
        <w:t xml:space="preserve">open loop </w:t>
      </w:r>
      <w:r w:rsidR="004E2488" w:rsidRPr="004E2488">
        <w:rPr>
          <w:rFonts w:ascii="Times New Roman" w:eastAsia="Malgun Gothic" w:hAnsi="Times New Roman"/>
          <w:b/>
          <w:lang w:eastAsia="ko-KR"/>
        </w:rPr>
        <w:t>power control for V2V transmissions.</w:t>
      </w:r>
    </w:p>
    <w:p w:rsidR="004E2488" w:rsidRDefault="004E2488" w:rsidP="008B04AF">
      <w:pPr>
        <w:rPr>
          <w:rFonts w:eastAsia="Malgun Gothic"/>
          <w:sz w:val="22"/>
          <w:szCs w:val="22"/>
          <w:lang w:eastAsia="ko-KR"/>
        </w:rPr>
      </w:pPr>
    </w:p>
    <w:p w:rsidR="00CE1089" w:rsidRPr="00350491" w:rsidRDefault="00CE1089" w:rsidP="00CE1089">
      <w:pPr>
        <w:pStyle w:val="Heading1"/>
        <w:ind w:left="851" w:hanging="851"/>
      </w:pPr>
      <w:r>
        <w:lastRenderedPageBreak/>
        <w:t>4</w:t>
      </w:r>
      <w:r w:rsidRPr="00350491">
        <w:tab/>
      </w:r>
      <w:r>
        <w:t>Case 2 Simulation Results</w:t>
      </w:r>
    </w:p>
    <w:p w:rsidR="00716A56" w:rsidRDefault="00CE1089" w:rsidP="00CE1089">
      <w:pPr>
        <w:rPr>
          <w:rFonts w:eastAsia="Malgun Gothic"/>
          <w:sz w:val="22"/>
          <w:szCs w:val="22"/>
          <w:lang w:eastAsia="ko-KR"/>
        </w:rPr>
      </w:pPr>
      <w:r>
        <w:rPr>
          <w:rFonts w:eastAsia="Malgun Gothic"/>
          <w:sz w:val="22"/>
          <w:szCs w:val="22"/>
          <w:lang w:eastAsia="ko-KR"/>
        </w:rPr>
        <w:t>Figure</w:t>
      </w:r>
      <w:r w:rsidR="00EC0C6C">
        <w:rPr>
          <w:rFonts w:eastAsia="Malgun Gothic"/>
          <w:sz w:val="22"/>
          <w:szCs w:val="22"/>
          <w:lang w:eastAsia="ko-KR"/>
        </w:rPr>
        <w:t>s</w:t>
      </w:r>
      <w:r>
        <w:rPr>
          <w:rFonts w:eastAsia="Malgun Gothic"/>
          <w:sz w:val="22"/>
          <w:szCs w:val="22"/>
          <w:lang w:eastAsia="ko-KR"/>
        </w:rPr>
        <w:t xml:space="preserve"> 5</w:t>
      </w:r>
      <w:r w:rsidRPr="00DF2E91">
        <w:rPr>
          <w:rFonts w:eastAsia="Malgun Gothic"/>
          <w:sz w:val="22"/>
          <w:szCs w:val="22"/>
          <w:lang w:eastAsia="ko-KR"/>
        </w:rPr>
        <w:t xml:space="preserve"> </w:t>
      </w:r>
      <w:r w:rsidR="00EC0C6C">
        <w:rPr>
          <w:rFonts w:eastAsia="Malgun Gothic"/>
          <w:sz w:val="22"/>
          <w:szCs w:val="22"/>
          <w:lang w:eastAsia="ko-KR"/>
        </w:rPr>
        <w:t xml:space="preserve">and 6 </w:t>
      </w:r>
      <w:r w:rsidRPr="00DF2E91">
        <w:rPr>
          <w:rFonts w:eastAsia="Malgun Gothic"/>
          <w:sz w:val="22"/>
          <w:szCs w:val="22"/>
          <w:lang w:eastAsia="ko-KR"/>
        </w:rPr>
        <w:t xml:space="preserve">below </w:t>
      </w:r>
      <w:r w:rsidR="00EC0C6C">
        <w:rPr>
          <w:sz w:val="22"/>
          <w:szCs w:val="22"/>
          <w:lang w:eastAsia="zh-CN"/>
        </w:rPr>
        <w:t xml:space="preserve">Case 2 </w:t>
      </w:r>
      <w:r w:rsidR="00EC0C6C">
        <w:rPr>
          <w:sz w:val="22"/>
          <w:szCs w:val="22"/>
          <w:lang w:eastAsia="zh-CN"/>
        </w:rPr>
        <w:t>illustrate the PRR degradation to V2V</w:t>
      </w:r>
      <w:r w:rsidR="00EC0C6C">
        <w:rPr>
          <w:sz w:val="22"/>
          <w:szCs w:val="22"/>
          <w:lang w:eastAsia="zh-CN"/>
        </w:rPr>
        <w:t xml:space="preserve"> </w:t>
      </w:r>
      <w:r w:rsidR="00EC0C6C">
        <w:rPr>
          <w:sz w:val="22"/>
          <w:szCs w:val="22"/>
          <w:lang w:eastAsia="zh-CN"/>
        </w:rPr>
        <w:t xml:space="preserve">transmissions for </w:t>
      </w:r>
      <w:r w:rsidR="00EC0C6C">
        <w:rPr>
          <w:sz w:val="22"/>
          <w:szCs w:val="22"/>
          <w:lang w:eastAsia="zh-CN"/>
        </w:rPr>
        <w:t>scenarios in which legacy UL UE transmis</w:t>
      </w:r>
      <w:r w:rsidR="00AF0C6E">
        <w:rPr>
          <w:sz w:val="22"/>
          <w:szCs w:val="22"/>
          <w:lang w:eastAsia="zh-CN"/>
        </w:rPr>
        <w:t xml:space="preserve">sions act as </w:t>
      </w:r>
      <w:r w:rsidR="00EC0C6C">
        <w:rPr>
          <w:sz w:val="22"/>
          <w:szCs w:val="22"/>
          <w:lang w:eastAsia="zh-CN"/>
        </w:rPr>
        <w:t>aggressors to victim V2V transmissions</w:t>
      </w:r>
      <w:r w:rsidR="00EC0C6C">
        <w:rPr>
          <w:sz w:val="22"/>
          <w:szCs w:val="22"/>
          <w:lang w:eastAsia="zh-CN"/>
        </w:rPr>
        <w:t xml:space="preserve"> (i.e. Case 2).</w:t>
      </w:r>
      <w:r w:rsidR="00EC0C6C">
        <w:rPr>
          <w:rFonts w:eastAsia="Malgun Gothic"/>
          <w:sz w:val="22"/>
          <w:szCs w:val="22"/>
          <w:lang w:eastAsia="ko-KR"/>
        </w:rPr>
        <w:t xml:space="preserve"> </w:t>
      </w:r>
      <w:r>
        <w:rPr>
          <w:rFonts w:eastAsia="Malgun Gothic"/>
          <w:sz w:val="22"/>
          <w:szCs w:val="22"/>
          <w:lang w:eastAsia="ko-KR"/>
        </w:rPr>
        <w:t>The urban grid scenario is assumed with vehicular velocities of 60</w:t>
      </w:r>
      <w:r w:rsidR="00EC0C6C">
        <w:rPr>
          <w:rFonts w:eastAsia="Malgun Gothic"/>
          <w:sz w:val="22"/>
          <w:szCs w:val="22"/>
          <w:lang w:eastAsia="ko-KR"/>
        </w:rPr>
        <w:t xml:space="preserve"> and 15 </w:t>
      </w:r>
      <w:r>
        <w:rPr>
          <w:rFonts w:eastAsia="Malgun Gothic"/>
          <w:sz w:val="22"/>
          <w:szCs w:val="22"/>
          <w:lang w:eastAsia="ko-KR"/>
        </w:rPr>
        <w:t>kph</w:t>
      </w:r>
      <w:r w:rsidR="00EC0C6C">
        <w:rPr>
          <w:rFonts w:eastAsia="Malgun Gothic"/>
          <w:sz w:val="22"/>
          <w:szCs w:val="22"/>
          <w:lang w:eastAsia="ko-KR"/>
        </w:rPr>
        <w:t xml:space="preserve"> respectively for Figures 5 and 6</w:t>
      </w:r>
      <w:r>
        <w:rPr>
          <w:rFonts w:eastAsia="Malgun Gothic"/>
          <w:sz w:val="22"/>
          <w:szCs w:val="22"/>
          <w:lang w:eastAsia="ko-KR"/>
        </w:rPr>
        <w:t xml:space="preserve">. </w:t>
      </w:r>
      <w:r w:rsidR="00EC0C6C">
        <w:rPr>
          <w:rFonts w:eastAsia="Malgun Gothic"/>
          <w:sz w:val="22"/>
          <w:szCs w:val="22"/>
          <w:lang w:eastAsia="ko-KR"/>
        </w:rPr>
        <w:t>PRR loss</w:t>
      </w:r>
      <w:r>
        <w:rPr>
          <w:rFonts w:eastAsia="Malgun Gothic"/>
          <w:sz w:val="22"/>
          <w:szCs w:val="22"/>
          <w:lang w:eastAsia="ko-KR"/>
        </w:rPr>
        <w:t xml:space="preserve"> curves for the average loss and 5-%tile loss are presented for </w:t>
      </w:r>
      <w:r w:rsidR="00EC0C6C">
        <w:rPr>
          <w:rFonts w:eastAsia="Malgun Gothic"/>
          <w:sz w:val="22"/>
          <w:szCs w:val="22"/>
          <w:lang w:eastAsia="ko-KR"/>
        </w:rPr>
        <w:t>V2V</w:t>
      </w:r>
      <w:r>
        <w:rPr>
          <w:rFonts w:eastAsia="Malgun Gothic"/>
          <w:sz w:val="22"/>
          <w:szCs w:val="22"/>
          <w:lang w:eastAsia="ko-KR"/>
        </w:rPr>
        <w:t xml:space="preserve"> victim transmissions. </w:t>
      </w:r>
      <w:r w:rsidR="00EC0C6C">
        <w:rPr>
          <w:rFonts w:eastAsia="Malgun Gothic"/>
          <w:sz w:val="22"/>
          <w:szCs w:val="22"/>
          <w:lang w:eastAsia="ko-KR"/>
        </w:rPr>
        <w:t>From these results it can be seen that for a benchmark ACIR of 30 dB, the impact to V2V transmissions from legacy LTE adjacent channel transmissions is minimal.</w:t>
      </w:r>
      <w:r w:rsidR="00016905" w:rsidRPr="00601A43">
        <w:rPr>
          <w:rFonts w:eastAsia="Malgun Gothic"/>
          <w:lang w:eastAsia="ko-KR"/>
        </w:rPr>
        <w:drawing>
          <wp:inline distT="0" distB="0" distL="0" distR="0" wp14:anchorId="1BCB2A3F" wp14:editId="5C206251">
            <wp:extent cx="6122035" cy="283445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6122035" cy="2834455"/>
                    </a:xfrm>
                    <a:prstGeom prst="rect">
                      <a:avLst/>
                    </a:prstGeom>
                  </pic:spPr>
                </pic:pic>
              </a:graphicData>
            </a:graphic>
          </wp:inline>
        </w:drawing>
      </w:r>
    </w:p>
    <w:p w:rsidR="00716A56" w:rsidRDefault="00716A56" w:rsidP="001748F3">
      <w:pPr>
        <w:rPr>
          <w:rFonts w:eastAsia="Malgun Gothic"/>
          <w:lang w:eastAsia="ko-KR"/>
        </w:rPr>
      </w:pPr>
      <w:r>
        <w:rPr>
          <w:rFonts w:eastAsia="Malgun Gothic"/>
          <w:lang w:eastAsia="ko-KR"/>
        </w:rPr>
        <w:t>Figure 5</w:t>
      </w:r>
      <w:r w:rsidRPr="00453A85">
        <w:rPr>
          <w:rFonts w:eastAsia="Malgun Gothic"/>
          <w:lang w:eastAsia="ko-KR"/>
        </w:rPr>
        <w:t xml:space="preserve">: </w:t>
      </w:r>
      <w:r>
        <w:rPr>
          <w:rFonts w:eastAsia="Malgun Gothic"/>
          <w:lang w:eastAsia="ko-KR"/>
        </w:rPr>
        <w:t xml:space="preserve">Case 2 </w:t>
      </w:r>
      <w:r w:rsidRPr="00453A85">
        <w:rPr>
          <w:rFonts w:eastAsia="Malgun Gothic"/>
          <w:lang w:eastAsia="ko-KR"/>
        </w:rPr>
        <w:t>Urban grid scena</w:t>
      </w:r>
      <w:r w:rsidR="00AF0C6E">
        <w:rPr>
          <w:rFonts w:eastAsia="Malgun Gothic"/>
          <w:lang w:eastAsia="ko-KR"/>
        </w:rPr>
        <w:t xml:space="preserve">rio with a vehicle velocity of </w:t>
      </w:r>
      <w:r w:rsidRPr="00453A85">
        <w:rPr>
          <w:rFonts w:eastAsia="Malgun Gothic"/>
          <w:lang w:eastAsia="ko-KR"/>
        </w:rPr>
        <w:t>60 kph, with an LTE power control setting of PC1</w:t>
      </w:r>
    </w:p>
    <w:p w:rsidR="00716A56" w:rsidRDefault="00716A56" w:rsidP="001748F3">
      <w:pPr>
        <w:rPr>
          <w:rFonts w:eastAsia="Malgun Gothic"/>
          <w:lang w:eastAsia="ko-KR"/>
        </w:rPr>
      </w:pPr>
    </w:p>
    <w:p w:rsidR="00716A56" w:rsidRDefault="002206A1" w:rsidP="00EC0C6C">
      <w:pPr>
        <w:tabs>
          <w:tab w:val="left" w:pos="-360"/>
        </w:tabs>
        <w:ind w:left="-360"/>
        <w:rPr>
          <w:rFonts w:eastAsia="Malgun Gothic"/>
          <w:lang w:eastAsia="ko-KR"/>
        </w:rPr>
      </w:pPr>
      <w:r w:rsidRPr="002206A1">
        <w:rPr>
          <w:rFonts w:eastAsia="Malgun Gothic"/>
          <w:lang w:eastAsia="ko-KR"/>
        </w:rPr>
        <w:drawing>
          <wp:inline distT="0" distB="0" distL="0" distR="0" wp14:anchorId="61689670" wp14:editId="04603ECD">
            <wp:extent cx="7121250" cy="3297382"/>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7126333" cy="3299736"/>
                    </a:xfrm>
                    <a:prstGeom prst="rect">
                      <a:avLst/>
                    </a:prstGeom>
                  </pic:spPr>
                </pic:pic>
              </a:graphicData>
            </a:graphic>
          </wp:inline>
        </w:drawing>
      </w:r>
    </w:p>
    <w:p w:rsidR="00716A56" w:rsidRDefault="00716A56" w:rsidP="001748F3">
      <w:pPr>
        <w:rPr>
          <w:rFonts w:eastAsia="Malgun Gothic"/>
          <w:lang w:eastAsia="ko-KR"/>
        </w:rPr>
      </w:pPr>
    </w:p>
    <w:p w:rsidR="00716A56" w:rsidRDefault="00716A56" w:rsidP="00716A56">
      <w:pPr>
        <w:rPr>
          <w:rFonts w:eastAsia="Malgun Gothic"/>
          <w:lang w:eastAsia="ko-KR"/>
        </w:rPr>
      </w:pPr>
      <w:r>
        <w:rPr>
          <w:rFonts w:eastAsia="Malgun Gothic"/>
          <w:lang w:eastAsia="ko-KR"/>
        </w:rPr>
        <w:t>Figure 6: Case 1 Urban grid scenario with a vehicle velocity of 15 kph, with an LTE power control setting of PC1</w:t>
      </w:r>
    </w:p>
    <w:p w:rsidR="00716A56" w:rsidRDefault="00716A56" w:rsidP="001748F3">
      <w:pPr>
        <w:rPr>
          <w:rFonts w:eastAsia="Malgun Gothic"/>
          <w:lang w:eastAsia="ko-KR"/>
        </w:rPr>
      </w:pPr>
    </w:p>
    <w:p w:rsidR="00EC0C6C" w:rsidRPr="00ED6403" w:rsidRDefault="00EC0C6C" w:rsidP="00EC0C6C">
      <w:pPr>
        <w:rPr>
          <w:b/>
          <w:sz w:val="22"/>
          <w:szCs w:val="22"/>
          <w:u w:val="single"/>
          <w:lang w:eastAsia="ko-KR"/>
        </w:rPr>
      </w:pPr>
      <w:r>
        <w:rPr>
          <w:b/>
          <w:sz w:val="22"/>
          <w:szCs w:val="22"/>
          <w:u w:val="single"/>
          <w:lang w:eastAsia="ko-KR"/>
        </w:rPr>
        <w:lastRenderedPageBreak/>
        <w:t>Observation</w:t>
      </w:r>
      <w:r>
        <w:rPr>
          <w:b/>
          <w:sz w:val="22"/>
          <w:szCs w:val="22"/>
          <w:u w:val="single"/>
          <w:lang w:eastAsia="ko-KR"/>
        </w:rPr>
        <w:t xml:space="preserve"> #2</w:t>
      </w:r>
      <w:r w:rsidRPr="00ED6403">
        <w:rPr>
          <w:b/>
          <w:sz w:val="22"/>
          <w:szCs w:val="22"/>
          <w:u w:val="single"/>
          <w:lang w:eastAsia="ko-KR"/>
        </w:rPr>
        <w:t xml:space="preserve"> </w:t>
      </w:r>
    </w:p>
    <w:p w:rsidR="00EC0C6C" w:rsidRPr="004E2488" w:rsidRDefault="00EC0C6C" w:rsidP="00EC0C6C">
      <w:pPr>
        <w:pStyle w:val="ListParagraph"/>
        <w:numPr>
          <w:ilvl w:val="0"/>
          <w:numId w:val="21"/>
        </w:numPr>
        <w:rPr>
          <w:rFonts w:ascii="Times New Roman" w:eastAsia="Malgun Gothic" w:hAnsi="Times New Roman"/>
          <w:b/>
          <w:lang w:eastAsia="ko-KR"/>
        </w:rPr>
      </w:pPr>
      <w:r>
        <w:rPr>
          <w:rFonts w:ascii="Times New Roman" w:eastAsia="Malgun Gothic" w:hAnsi="Times New Roman"/>
          <w:b/>
          <w:lang w:eastAsia="ko-KR"/>
        </w:rPr>
        <w:t>LTE</w:t>
      </w:r>
      <w:r>
        <w:rPr>
          <w:rFonts w:ascii="Times New Roman" w:eastAsia="Malgun Gothic" w:hAnsi="Times New Roman"/>
          <w:b/>
          <w:lang w:eastAsia="ko-KR"/>
        </w:rPr>
        <w:t xml:space="preserve"> aggressor</w:t>
      </w:r>
      <w:r>
        <w:rPr>
          <w:rFonts w:ascii="Times New Roman" w:eastAsia="Malgun Gothic" w:hAnsi="Times New Roman"/>
          <w:b/>
          <w:lang w:eastAsia="ko-KR"/>
        </w:rPr>
        <w:t xml:space="preserve"> adjacent</w:t>
      </w:r>
      <w:r>
        <w:rPr>
          <w:rFonts w:ascii="Times New Roman" w:eastAsia="Malgun Gothic" w:hAnsi="Times New Roman"/>
          <w:b/>
          <w:lang w:eastAsia="ko-KR"/>
        </w:rPr>
        <w:t xml:space="preserve"> </w:t>
      </w:r>
      <w:r>
        <w:rPr>
          <w:rFonts w:ascii="Times New Roman" w:eastAsia="Malgun Gothic" w:hAnsi="Times New Roman"/>
          <w:b/>
          <w:lang w:eastAsia="ko-KR"/>
        </w:rPr>
        <w:t xml:space="preserve">channel </w:t>
      </w:r>
      <w:r>
        <w:rPr>
          <w:rFonts w:ascii="Times New Roman" w:eastAsia="Malgun Gothic" w:hAnsi="Times New Roman"/>
          <w:b/>
          <w:lang w:eastAsia="ko-KR"/>
        </w:rPr>
        <w:t>transmission</w:t>
      </w:r>
      <w:r>
        <w:rPr>
          <w:rFonts w:ascii="Times New Roman" w:eastAsia="Malgun Gothic" w:hAnsi="Times New Roman"/>
          <w:b/>
          <w:lang w:eastAsia="ko-KR"/>
        </w:rPr>
        <w:t>s</w:t>
      </w:r>
      <w:r>
        <w:rPr>
          <w:rFonts w:ascii="Times New Roman" w:eastAsia="Malgun Gothic" w:hAnsi="Times New Roman"/>
          <w:b/>
          <w:lang w:eastAsia="ko-KR"/>
        </w:rPr>
        <w:t xml:space="preserve"> into victim </w:t>
      </w:r>
      <w:r>
        <w:rPr>
          <w:rFonts w:ascii="Times New Roman" w:eastAsia="Malgun Gothic" w:hAnsi="Times New Roman"/>
          <w:b/>
          <w:lang w:eastAsia="ko-KR"/>
        </w:rPr>
        <w:t xml:space="preserve">V2V transmissions </w:t>
      </w:r>
      <w:r>
        <w:rPr>
          <w:rFonts w:ascii="Times New Roman" w:eastAsia="Malgun Gothic" w:hAnsi="Times New Roman"/>
          <w:b/>
          <w:lang w:eastAsia="ko-KR"/>
        </w:rPr>
        <w:t xml:space="preserve">networks </w:t>
      </w:r>
      <w:r>
        <w:rPr>
          <w:rFonts w:ascii="Times New Roman" w:eastAsia="Malgun Gothic" w:hAnsi="Times New Roman"/>
          <w:b/>
          <w:lang w:eastAsia="ko-KR"/>
        </w:rPr>
        <w:t xml:space="preserve">produce minimal impacts with a PRR degradation of less than 1% for a target ACIR of 30 </w:t>
      </w:r>
      <w:proofErr w:type="spellStart"/>
      <w:r>
        <w:rPr>
          <w:rFonts w:ascii="Times New Roman" w:eastAsia="Malgun Gothic" w:hAnsi="Times New Roman"/>
          <w:b/>
          <w:lang w:eastAsia="ko-KR"/>
        </w:rPr>
        <w:t>dB.</w:t>
      </w:r>
      <w:proofErr w:type="spellEnd"/>
    </w:p>
    <w:p w:rsidR="00716A56" w:rsidRDefault="00716A56" w:rsidP="001748F3">
      <w:pPr>
        <w:rPr>
          <w:rFonts w:eastAsia="Malgun Gothic"/>
          <w:lang w:eastAsia="ko-KR"/>
        </w:rPr>
      </w:pPr>
    </w:p>
    <w:p w:rsidR="001706B8" w:rsidRPr="00350491" w:rsidRDefault="00CB6E8E" w:rsidP="001706B8">
      <w:pPr>
        <w:pStyle w:val="Heading1"/>
        <w:ind w:left="851" w:hanging="851"/>
      </w:pPr>
      <w:r>
        <w:t>4</w:t>
      </w:r>
      <w:r w:rsidR="001706B8" w:rsidRPr="00350491">
        <w:tab/>
        <w:t>Conclusions</w:t>
      </w:r>
    </w:p>
    <w:p w:rsidR="009A1832" w:rsidRDefault="008B04AF" w:rsidP="00713EA1">
      <w:pPr>
        <w:rPr>
          <w:sz w:val="22"/>
          <w:szCs w:val="22"/>
        </w:rPr>
      </w:pPr>
      <w:r>
        <w:rPr>
          <w:sz w:val="22"/>
          <w:szCs w:val="22"/>
        </w:rPr>
        <w:t xml:space="preserve">This contribution has presented simulation results for V2V urban grid and freeway </w:t>
      </w:r>
      <w:r w:rsidR="004E2488">
        <w:rPr>
          <w:sz w:val="22"/>
          <w:szCs w:val="22"/>
        </w:rPr>
        <w:t>scenarios in which the V2V transmissions act</w:t>
      </w:r>
      <w:r>
        <w:rPr>
          <w:sz w:val="22"/>
          <w:szCs w:val="22"/>
        </w:rPr>
        <w:t xml:space="preserve"> as an aggressor adjacent channel network to legacy LTE transmissions (</w:t>
      </w:r>
      <w:r w:rsidR="004E2488">
        <w:rPr>
          <w:sz w:val="22"/>
          <w:szCs w:val="22"/>
        </w:rPr>
        <w:t xml:space="preserve">i.e. </w:t>
      </w:r>
      <w:r>
        <w:rPr>
          <w:sz w:val="22"/>
          <w:szCs w:val="22"/>
        </w:rPr>
        <w:t>Case 1</w:t>
      </w:r>
      <w:r w:rsidR="004E2488">
        <w:rPr>
          <w:sz w:val="22"/>
          <w:szCs w:val="22"/>
        </w:rPr>
        <w:t>)</w:t>
      </w:r>
      <w:r w:rsidR="00AF0C6E">
        <w:rPr>
          <w:sz w:val="22"/>
          <w:szCs w:val="22"/>
        </w:rPr>
        <w:t xml:space="preserve"> as well as the case in which</w:t>
      </w:r>
      <w:r w:rsidR="00716A56">
        <w:rPr>
          <w:sz w:val="22"/>
          <w:szCs w:val="22"/>
        </w:rPr>
        <w:t xml:space="preserve"> legacy LTE UE UL transmissions act as an aggressor to licensed band V2V transmissions (Case 2)</w:t>
      </w:r>
      <w:r>
        <w:rPr>
          <w:sz w:val="22"/>
          <w:szCs w:val="22"/>
        </w:rPr>
        <w:t xml:space="preserve">. </w:t>
      </w:r>
      <w:r w:rsidR="003A14BB">
        <w:rPr>
          <w:sz w:val="22"/>
          <w:szCs w:val="22"/>
        </w:rPr>
        <w:t>The followin</w:t>
      </w:r>
      <w:r w:rsidR="004E0F98">
        <w:rPr>
          <w:sz w:val="22"/>
          <w:szCs w:val="22"/>
        </w:rPr>
        <w:t>g conclusions have been reached:</w:t>
      </w:r>
    </w:p>
    <w:p w:rsidR="003A14BB" w:rsidRPr="00ED6403" w:rsidRDefault="003A14BB" w:rsidP="003A14BB">
      <w:pPr>
        <w:rPr>
          <w:b/>
          <w:sz w:val="22"/>
          <w:szCs w:val="22"/>
          <w:u w:val="single"/>
          <w:lang w:eastAsia="ko-KR"/>
        </w:rPr>
      </w:pPr>
      <w:r>
        <w:rPr>
          <w:b/>
          <w:sz w:val="22"/>
          <w:szCs w:val="22"/>
          <w:u w:val="single"/>
          <w:lang w:eastAsia="ko-KR"/>
        </w:rPr>
        <w:t>Observation</w:t>
      </w:r>
      <w:r w:rsidRPr="00ED6403">
        <w:rPr>
          <w:b/>
          <w:sz w:val="22"/>
          <w:szCs w:val="22"/>
          <w:u w:val="single"/>
          <w:lang w:eastAsia="ko-KR"/>
        </w:rPr>
        <w:t xml:space="preserve"> #1 </w:t>
      </w:r>
    </w:p>
    <w:p w:rsidR="003A14BB" w:rsidRDefault="003A14BB" w:rsidP="003A14BB">
      <w:pPr>
        <w:pStyle w:val="ListParagraph"/>
        <w:numPr>
          <w:ilvl w:val="0"/>
          <w:numId w:val="21"/>
        </w:numPr>
        <w:rPr>
          <w:rFonts w:ascii="Times New Roman" w:eastAsia="Malgun Gothic" w:hAnsi="Times New Roman"/>
          <w:b/>
          <w:lang w:eastAsia="ko-KR"/>
        </w:rPr>
      </w:pPr>
      <w:r w:rsidRPr="004E2488">
        <w:rPr>
          <w:rFonts w:ascii="Times New Roman" w:eastAsia="Malgun Gothic" w:hAnsi="Times New Roman"/>
          <w:b/>
          <w:lang w:eastAsia="ko-KR"/>
        </w:rPr>
        <w:t xml:space="preserve">RAN4 </w:t>
      </w:r>
      <w:r>
        <w:rPr>
          <w:rFonts w:ascii="Times New Roman" w:eastAsia="Malgun Gothic" w:hAnsi="Times New Roman"/>
          <w:b/>
          <w:lang w:eastAsia="ko-KR"/>
        </w:rPr>
        <w:t>adjacent channel coexistence analysis shows that V2V aggressor transmission</w:t>
      </w:r>
      <w:r w:rsidR="00AF0C6E">
        <w:rPr>
          <w:rFonts w:ascii="Times New Roman" w:eastAsia="Malgun Gothic" w:hAnsi="Times New Roman"/>
          <w:b/>
          <w:lang w:eastAsia="ko-KR"/>
        </w:rPr>
        <w:t>s</w:t>
      </w:r>
      <w:r>
        <w:rPr>
          <w:rFonts w:ascii="Times New Roman" w:eastAsia="Malgun Gothic" w:hAnsi="Times New Roman"/>
          <w:b/>
          <w:lang w:eastAsia="ko-KR"/>
        </w:rPr>
        <w:t xml:space="preserve"> into victim legacy LTE networks can produce throughput </w:t>
      </w:r>
      <w:r w:rsidR="00392158">
        <w:rPr>
          <w:rFonts w:ascii="Times New Roman" w:eastAsia="Malgun Gothic" w:hAnsi="Times New Roman"/>
          <w:b/>
          <w:lang w:eastAsia="ko-KR"/>
        </w:rPr>
        <w:t>degradations of greater than</w:t>
      </w:r>
      <w:bookmarkStart w:id="17" w:name="_GoBack"/>
      <w:bookmarkEnd w:id="17"/>
      <w:r>
        <w:rPr>
          <w:rFonts w:ascii="Times New Roman" w:eastAsia="Malgun Gothic" w:hAnsi="Times New Roman"/>
          <w:b/>
          <w:lang w:eastAsia="ko-KR"/>
        </w:rPr>
        <w:t xml:space="preserve"> 20% for average throughput and greater than 50% degradation for the 5%-tile throughput</w:t>
      </w:r>
      <w:r w:rsidR="004E0F98">
        <w:rPr>
          <w:rFonts w:ascii="Times New Roman" w:eastAsia="Malgun Gothic" w:hAnsi="Times New Roman"/>
          <w:b/>
          <w:lang w:eastAsia="ko-KR"/>
        </w:rPr>
        <w:t xml:space="preserve"> for a target ACIR of 30 </w:t>
      </w:r>
      <w:proofErr w:type="spellStart"/>
      <w:r w:rsidR="004E0F98">
        <w:rPr>
          <w:rFonts w:ascii="Times New Roman" w:eastAsia="Malgun Gothic" w:hAnsi="Times New Roman"/>
          <w:b/>
          <w:lang w:eastAsia="ko-KR"/>
        </w:rPr>
        <w:t>dB</w:t>
      </w:r>
      <w:r>
        <w:rPr>
          <w:rFonts w:ascii="Times New Roman" w:eastAsia="Malgun Gothic" w:hAnsi="Times New Roman"/>
          <w:b/>
          <w:lang w:eastAsia="ko-KR"/>
        </w:rPr>
        <w:t>.</w:t>
      </w:r>
      <w:proofErr w:type="spellEnd"/>
    </w:p>
    <w:p w:rsidR="004E0F98" w:rsidRPr="00ED6403" w:rsidRDefault="004E0F98" w:rsidP="004E0F98">
      <w:pPr>
        <w:rPr>
          <w:b/>
          <w:sz w:val="22"/>
          <w:szCs w:val="22"/>
          <w:u w:val="single"/>
          <w:lang w:eastAsia="ko-KR"/>
        </w:rPr>
      </w:pPr>
      <w:r>
        <w:rPr>
          <w:b/>
          <w:sz w:val="22"/>
          <w:szCs w:val="22"/>
          <w:u w:val="single"/>
          <w:lang w:eastAsia="ko-KR"/>
        </w:rPr>
        <w:t>Observation #2</w:t>
      </w:r>
      <w:r w:rsidRPr="00ED6403">
        <w:rPr>
          <w:b/>
          <w:sz w:val="22"/>
          <w:szCs w:val="22"/>
          <w:u w:val="single"/>
          <w:lang w:eastAsia="ko-KR"/>
        </w:rPr>
        <w:t xml:space="preserve"> </w:t>
      </w:r>
    </w:p>
    <w:p w:rsidR="003A14BB" w:rsidRPr="00822551" w:rsidRDefault="004E0F98" w:rsidP="003A14BB">
      <w:pPr>
        <w:pStyle w:val="ListParagraph"/>
        <w:numPr>
          <w:ilvl w:val="0"/>
          <w:numId w:val="21"/>
        </w:numPr>
        <w:rPr>
          <w:rFonts w:ascii="Times New Roman" w:eastAsia="Malgun Gothic" w:hAnsi="Times New Roman"/>
          <w:b/>
          <w:lang w:eastAsia="ko-KR"/>
        </w:rPr>
      </w:pPr>
      <w:r>
        <w:rPr>
          <w:rFonts w:ascii="Times New Roman" w:eastAsia="Malgun Gothic" w:hAnsi="Times New Roman"/>
          <w:b/>
          <w:lang w:eastAsia="ko-KR"/>
        </w:rPr>
        <w:t xml:space="preserve">LTE aggressor adjacent channel transmissions into victim V2V transmissions networks produce minimal impacts with a PRR degradation of less than 1% for a target ACIR of 30 </w:t>
      </w:r>
      <w:proofErr w:type="spellStart"/>
      <w:r>
        <w:rPr>
          <w:rFonts w:ascii="Times New Roman" w:eastAsia="Malgun Gothic" w:hAnsi="Times New Roman"/>
          <w:b/>
          <w:lang w:eastAsia="ko-KR"/>
        </w:rPr>
        <w:t>dB.</w:t>
      </w:r>
      <w:proofErr w:type="spellEnd"/>
    </w:p>
    <w:p w:rsidR="003A14BB" w:rsidRPr="00ED6403" w:rsidRDefault="003A14BB" w:rsidP="003A14BB">
      <w:pPr>
        <w:rPr>
          <w:b/>
          <w:sz w:val="22"/>
          <w:szCs w:val="22"/>
          <w:u w:val="single"/>
          <w:lang w:eastAsia="ko-KR"/>
        </w:rPr>
      </w:pPr>
      <w:r w:rsidRPr="00ED6403">
        <w:rPr>
          <w:b/>
          <w:sz w:val="22"/>
          <w:szCs w:val="22"/>
          <w:u w:val="single"/>
          <w:lang w:eastAsia="ko-KR"/>
        </w:rPr>
        <w:t xml:space="preserve">Proposal #1 </w:t>
      </w:r>
    </w:p>
    <w:p w:rsidR="003A14BB" w:rsidRPr="004E2488" w:rsidRDefault="003A14BB" w:rsidP="003A14BB">
      <w:pPr>
        <w:pStyle w:val="ListParagraph"/>
        <w:numPr>
          <w:ilvl w:val="0"/>
          <w:numId w:val="21"/>
        </w:numPr>
        <w:rPr>
          <w:rFonts w:ascii="Times New Roman" w:eastAsia="Malgun Gothic" w:hAnsi="Times New Roman"/>
          <w:b/>
          <w:lang w:eastAsia="ko-KR"/>
        </w:rPr>
      </w:pPr>
      <w:r>
        <w:rPr>
          <w:rFonts w:ascii="Times New Roman" w:eastAsia="Malgun Gothic" w:hAnsi="Times New Roman"/>
          <w:b/>
          <w:lang w:eastAsia="ko-KR"/>
        </w:rPr>
        <w:t xml:space="preserve">In order to mitigate the interference to legacy LTE from adjacent channel V2V transmission </w:t>
      </w:r>
      <w:r w:rsidRPr="004E2488">
        <w:rPr>
          <w:rFonts w:ascii="Times New Roman" w:eastAsia="Malgun Gothic" w:hAnsi="Times New Roman"/>
          <w:b/>
          <w:lang w:eastAsia="ko-KR"/>
        </w:rPr>
        <w:t xml:space="preserve">RAN4 </w:t>
      </w:r>
      <w:r>
        <w:rPr>
          <w:rFonts w:ascii="Times New Roman" w:eastAsia="Malgun Gothic" w:hAnsi="Times New Roman"/>
          <w:b/>
          <w:lang w:eastAsia="ko-KR"/>
        </w:rPr>
        <w:t xml:space="preserve">should </w:t>
      </w:r>
      <w:r w:rsidRPr="004E2488">
        <w:rPr>
          <w:rFonts w:ascii="Times New Roman" w:eastAsia="Malgun Gothic" w:hAnsi="Times New Roman"/>
          <w:b/>
          <w:lang w:eastAsia="ko-KR"/>
        </w:rPr>
        <w:t xml:space="preserve">consider </w:t>
      </w:r>
      <w:r>
        <w:rPr>
          <w:rFonts w:ascii="Times New Roman" w:eastAsia="Malgun Gothic" w:hAnsi="Times New Roman"/>
          <w:b/>
          <w:lang w:eastAsia="ko-KR"/>
        </w:rPr>
        <w:t xml:space="preserve">either </w:t>
      </w:r>
      <w:r w:rsidRPr="004E2488">
        <w:rPr>
          <w:rFonts w:ascii="Times New Roman" w:eastAsia="Malgun Gothic" w:hAnsi="Times New Roman"/>
          <w:b/>
          <w:lang w:eastAsia="ko-KR"/>
        </w:rPr>
        <w:t xml:space="preserve">a tightening of the ACLR for V2V UEs </w:t>
      </w:r>
      <w:r>
        <w:rPr>
          <w:rFonts w:ascii="Times New Roman" w:eastAsia="Malgun Gothic" w:hAnsi="Times New Roman"/>
          <w:b/>
          <w:lang w:eastAsia="ko-KR"/>
        </w:rPr>
        <w:t>or</w:t>
      </w:r>
      <w:r w:rsidRPr="004E2488">
        <w:rPr>
          <w:rFonts w:ascii="Times New Roman" w:eastAsia="Malgun Gothic" w:hAnsi="Times New Roman"/>
          <w:b/>
          <w:lang w:eastAsia="ko-KR"/>
        </w:rPr>
        <w:t xml:space="preserve"> the use of </w:t>
      </w:r>
      <w:r>
        <w:rPr>
          <w:rFonts w:ascii="Times New Roman" w:eastAsia="Malgun Gothic" w:hAnsi="Times New Roman"/>
          <w:b/>
          <w:lang w:eastAsia="ko-KR"/>
        </w:rPr>
        <w:t xml:space="preserve">open loop </w:t>
      </w:r>
      <w:r w:rsidRPr="004E2488">
        <w:rPr>
          <w:rFonts w:ascii="Times New Roman" w:eastAsia="Malgun Gothic" w:hAnsi="Times New Roman"/>
          <w:b/>
          <w:lang w:eastAsia="ko-KR"/>
        </w:rPr>
        <w:t>power control for V2V transmissions.</w:t>
      </w:r>
    </w:p>
    <w:p w:rsidR="00CE1089" w:rsidRPr="00CE1089" w:rsidRDefault="00CE1089" w:rsidP="00CE1089">
      <w:pPr>
        <w:rPr>
          <w:rFonts w:eastAsia="Malgun Gothic"/>
          <w:b/>
          <w:highlight w:val="yellow"/>
          <w:lang w:eastAsia="ko-KR"/>
        </w:rPr>
      </w:pPr>
    </w:p>
    <w:p w:rsidR="001706B8" w:rsidRDefault="00CB6E8E" w:rsidP="001706B8">
      <w:pPr>
        <w:pStyle w:val="Heading1"/>
        <w:ind w:left="0" w:firstLine="0"/>
        <w:rPr>
          <w:lang w:val="en-US"/>
        </w:rPr>
      </w:pPr>
      <w:r>
        <w:rPr>
          <w:lang w:val="en-US"/>
        </w:rPr>
        <w:t>5</w:t>
      </w:r>
      <w:r w:rsidR="001706B8">
        <w:rPr>
          <w:lang w:val="en-US"/>
        </w:rPr>
        <w:tab/>
      </w:r>
      <w:r w:rsidR="001706B8">
        <w:rPr>
          <w:lang w:val="en-US"/>
        </w:rPr>
        <w:tab/>
      </w:r>
      <w:r w:rsidR="001706B8">
        <w:rPr>
          <w:lang w:val="en-US"/>
        </w:rPr>
        <w:tab/>
        <w:t>References</w:t>
      </w:r>
    </w:p>
    <w:p w:rsidR="001706B8" w:rsidRDefault="001706B8" w:rsidP="001706B8">
      <w:pPr>
        <w:ind w:left="564" w:hanging="564"/>
        <w:rPr>
          <w:sz w:val="22"/>
          <w:szCs w:val="22"/>
        </w:rPr>
      </w:pPr>
      <w:r w:rsidRPr="0039201C">
        <w:rPr>
          <w:b/>
          <w:sz w:val="22"/>
          <w:szCs w:val="22"/>
        </w:rPr>
        <w:t>[</w:t>
      </w:r>
      <w:r w:rsidRPr="0039201C">
        <w:rPr>
          <w:sz w:val="22"/>
          <w:szCs w:val="22"/>
        </w:rPr>
        <w:t>1</w:t>
      </w:r>
      <w:r w:rsidRPr="0039201C">
        <w:rPr>
          <w:b/>
          <w:sz w:val="22"/>
          <w:szCs w:val="22"/>
        </w:rPr>
        <w:t>]</w:t>
      </w:r>
      <w:r w:rsidRPr="0039201C">
        <w:rPr>
          <w:b/>
          <w:sz w:val="22"/>
          <w:szCs w:val="22"/>
        </w:rPr>
        <w:tab/>
      </w:r>
      <w:r w:rsidRPr="0039201C">
        <w:rPr>
          <w:sz w:val="22"/>
          <w:szCs w:val="22"/>
        </w:rPr>
        <w:t xml:space="preserve">RP-151109, </w:t>
      </w:r>
      <w:r w:rsidR="00A71B60">
        <w:rPr>
          <w:sz w:val="22"/>
          <w:szCs w:val="22"/>
        </w:rPr>
        <w:t>“</w:t>
      </w:r>
      <w:r w:rsidRPr="0039201C">
        <w:rPr>
          <w:sz w:val="22"/>
          <w:szCs w:val="22"/>
        </w:rPr>
        <w:t>Feasibility Study on LTE-based V2X Services</w:t>
      </w:r>
      <w:r w:rsidR="00A71B60">
        <w:rPr>
          <w:sz w:val="22"/>
          <w:szCs w:val="22"/>
        </w:rPr>
        <w:t>”</w:t>
      </w:r>
      <w:r w:rsidRPr="0039201C">
        <w:rPr>
          <w:sz w:val="22"/>
          <w:szCs w:val="22"/>
        </w:rPr>
        <w:t>, LG Electronics, CATT, Vodafone, Huawei</w:t>
      </w:r>
      <w:r>
        <w:rPr>
          <w:sz w:val="22"/>
          <w:szCs w:val="22"/>
        </w:rPr>
        <w:t>.</w:t>
      </w:r>
    </w:p>
    <w:p w:rsidR="00A71B60" w:rsidRDefault="00A71B60" w:rsidP="001706B8">
      <w:pPr>
        <w:ind w:left="564" w:hanging="564"/>
        <w:rPr>
          <w:sz w:val="22"/>
          <w:szCs w:val="22"/>
          <w:lang w:val="en-US" w:eastAsia="ko-KR"/>
        </w:rPr>
      </w:pPr>
      <w:r w:rsidRPr="00A71B60">
        <w:rPr>
          <w:sz w:val="22"/>
          <w:szCs w:val="22"/>
        </w:rPr>
        <w:t>[2]</w:t>
      </w:r>
      <w:r w:rsidRPr="00A71B60">
        <w:rPr>
          <w:sz w:val="22"/>
          <w:szCs w:val="22"/>
        </w:rPr>
        <w:tab/>
        <w:t>RP-160220, “</w:t>
      </w:r>
      <w:r w:rsidRPr="00A71B60">
        <w:rPr>
          <w:rFonts w:eastAsia="Batang"/>
          <w:sz w:val="22"/>
          <w:szCs w:val="22"/>
          <w:lang w:eastAsia="zh-CN"/>
        </w:rPr>
        <w:t xml:space="preserve">Revised </w:t>
      </w:r>
      <w:r w:rsidRPr="00A71B60">
        <w:rPr>
          <w:rFonts w:eastAsia="Batang"/>
          <w:sz w:val="22"/>
          <w:szCs w:val="22"/>
          <w:lang w:eastAsia="ko-KR"/>
        </w:rPr>
        <w:t xml:space="preserve">WID: Support for V2V services based on LTE sidelink”, </w:t>
      </w:r>
      <w:r w:rsidRPr="00A71B60">
        <w:rPr>
          <w:rFonts w:eastAsia="Batang"/>
          <w:sz w:val="22"/>
          <w:szCs w:val="22"/>
          <w:lang w:val="en-US" w:eastAsia="ko-KR"/>
        </w:rPr>
        <w:t xml:space="preserve">LG Electronics, </w:t>
      </w:r>
      <w:r w:rsidRPr="00A71B60">
        <w:rPr>
          <w:rFonts w:eastAsia="SimSun"/>
          <w:sz w:val="22"/>
          <w:szCs w:val="22"/>
          <w:lang w:val="en-US" w:eastAsia="zh-CN"/>
        </w:rPr>
        <w:t>Huaw</w:t>
      </w:r>
      <w:r w:rsidRPr="00A71B60">
        <w:rPr>
          <w:sz w:val="22"/>
          <w:szCs w:val="22"/>
          <w:lang w:val="en-US" w:eastAsia="ko-KR"/>
        </w:rPr>
        <w:t>e</w:t>
      </w:r>
      <w:r w:rsidRPr="00A71B60">
        <w:rPr>
          <w:rFonts w:eastAsia="SimSun"/>
          <w:sz w:val="22"/>
          <w:szCs w:val="22"/>
          <w:lang w:val="en-US" w:eastAsia="zh-CN"/>
        </w:rPr>
        <w:t xml:space="preserve">i, </w:t>
      </w:r>
      <w:proofErr w:type="spellStart"/>
      <w:r w:rsidRPr="00A71B60">
        <w:rPr>
          <w:rFonts w:eastAsia="SimSun"/>
          <w:sz w:val="22"/>
          <w:szCs w:val="22"/>
          <w:lang w:val="en-US" w:eastAsia="zh-CN"/>
        </w:rPr>
        <w:t>HiSilicon</w:t>
      </w:r>
      <w:proofErr w:type="spellEnd"/>
      <w:r w:rsidRPr="00A71B60">
        <w:rPr>
          <w:sz w:val="22"/>
          <w:szCs w:val="22"/>
          <w:lang w:val="en-US" w:eastAsia="ko-KR"/>
        </w:rPr>
        <w:t>, CATT, CATR</w:t>
      </w:r>
      <w:r w:rsidR="005A23B2">
        <w:rPr>
          <w:sz w:val="22"/>
          <w:szCs w:val="22"/>
          <w:lang w:val="en-US" w:eastAsia="ko-KR"/>
        </w:rPr>
        <w:t>.</w:t>
      </w:r>
    </w:p>
    <w:p w:rsidR="009F70AC" w:rsidRPr="00A71B60" w:rsidRDefault="009F70AC" w:rsidP="009F70AC">
      <w:pPr>
        <w:ind w:left="564" w:hanging="564"/>
        <w:rPr>
          <w:sz w:val="22"/>
          <w:szCs w:val="22"/>
          <w:lang w:eastAsia="ko-KR"/>
        </w:rPr>
      </w:pPr>
      <w:r>
        <w:rPr>
          <w:sz w:val="22"/>
          <w:szCs w:val="22"/>
          <w:lang w:val="en-US" w:eastAsia="ko-KR"/>
        </w:rPr>
        <w:t>[3]</w:t>
      </w:r>
      <w:r>
        <w:rPr>
          <w:sz w:val="22"/>
          <w:szCs w:val="22"/>
          <w:lang w:val="en-US" w:eastAsia="ko-KR"/>
        </w:rPr>
        <w:tab/>
        <w:t>R4-161409</w:t>
      </w:r>
      <w:r w:rsidRPr="009F70AC">
        <w:rPr>
          <w:sz w:val="22"/>
          <w:szCs w:val="22"/>
          <w:lang w:val="en-US" w:eastAsia="ko-KR"/>
        </w:rPr>
        <w:t>, “</w:t>
      </w:r>
      <w:r w:rsidRPr="009F70AC">
        <w:rPr>
          <w:bCs/>
          <w:sz w:val="22"/>
          <w:szCs w:val="22"/>
          <w:lang w:val="sv-SE" w:eastAsia="ko-KR"/>
        </w:rPr>
        <w:t>WF on V2V coexistence simulation parameters</w:t>
      </w:r>
      <w:r w:rsidRPr="009F70AC">
        <w:rPr>
          <w:sz w:val="22"/>
          <w:szCs w:val="22"/>
          <w:lang w:eastAsia="ko-KR"/>
        </w:rPr>
        <w:t>”, LG</w:t>
      </w:r>
      <w:r>
        <w:rPr>
          <w:sz w:val="22"/>
          <w:szCs w:val="22"/>
          <w:lang w:eastAsia="ko-KR"/>
        </w:rPr>
        <w:t xml:space="preserve"> Electronics</w:t>
      </w:r>
      <w:r w:rsidR="005A23B2">
        <w:rPr>
          <w:sz w:val="22"/>
          <w:szCs w:val="22"/>
          <w:lang w:eastAsia="ko-KR"/>
        </w:rPr>
        <w:t>.</w:t>
      </w:r>
    </w:p>
    <w:p w:rsidR="001706B8" w:rsidRDefault="00B214E9" w:rsidP="001706B8">
      <w:pPr>
        <w:pStyle w:val="ZT"/>
        <w:framePr w:wrap="auto" w:hAnchor="text" w:yAlign="inline"/>
        <w:jc w:val="left"/>
        <w:rPr>
          <w:rFonts w:ascii="Times New Roman" w:hAnsi="Times New Roman"/>
          <w:b w:val="0"/>
          <w:sz w:val="22"/>
          <w:szCs w:val="22"/>
        </w:rPr>
      </w:pPr>
      <w:r>
        <w:rPr>
          <w:rFonts w:ascii="Times New Roman" w:hAnsi="Times New Roman"/>
          <w:b w:val="0"/>
          <w:sz w:val="22"/>
          <w:szCs w:val="22"/>
        </w:rPr>
        <w:t>[4</w:t>
      </w:r>
      <w:r w:rsidR="001706B8" w:rsidRPr="00E4560B">
        <w:rPr>
          <w:rFonts w:ascii="Times New Roman" w:hAnsi="Times New Roman"/>
          <w:b w:val="0"/>
          <w:sz w:val="22"/>
          <w:szCs w:val="22"/>
        </w:rPr>
        <w:t>]</w:t>
      </w:r>
      <w:r w:rsidR="001706B8" w:rsidRPr="00E4560B">
        <w:rPr>
          <w:rFonts w:ascii="Times New Roman" w:hAnsi="Times New Roman"/>
          <w:b w:val="0"/>
          <w:sz w:val="22"/>
          <w:szCs w:val="22"/>
        </w:rPr>
        <w:tab/>
      </w:r>
      <w:r w:rsidR="001706B8">
        <w:rPr>
          <w:rFonts w:ascii="Times New Roman" w:hAnsi="Times New Roman"/>
          <w:b w:val="0"/>
          <w:sz w:val="22"/>
          <w:szCs w:val="22"/>
        </w:rPr>
        <w:tab/>
      </w:r>
      <w:r w:rsidR="001706B8" w:rsidRPr="00E4560B">
        <w:rPr>
          <w:rFonts w:ascii="Times New Roman" w:hAnsi="Times New Roman"/>
          <w:b w:val="0"/>
          <w:sz w:val="22"/>
          <w:szCs w:val="22"/>
        </w:rPr>
        <w:t>3GPP TR36.885, “</w:t>
      </w:r>
      <w:r w:rsidR="001706B8">
        <w:rPr>
          <w:rFonts w:ascii="Times New Roman" w:hAnsi="Times New Roman"/>
          <w:b w:val="0"/>
          <w:sz w:val="22"/>
          <w:szCs w:val="22"/>
        </w:rPr>
        <w:t xml:space="preserve">3GPP E-UTRA </w:t>
      </w:r>
      <w:r w:rsidR="001706B8" w:rsidRPr="00E4560B">
        <w:rPr>
          <w:rFonts w:ascii="Times New Roman" w:eastAsia="MS Mincho" w:hAnsi="Times New Roman"/>
          <w:b w:val="0"/>
          <w:sz w:val="22"/>
          <w:szCs w:val="22"/>
        </w:rPr>
        <w:t xml:space="preserve">Study on </w:t>
      </w:r>
      <w:r w:rsidR="001706B8" w:rsidRPr="00E4560B">
        <w:rPr>
          <w:rFonts w:ascii="Times New Roman" w:eastAsia="Malgun Gothic" w:hAnsi="Times New Roman"/>
          <w:b w:val="0"/>
          <w:sz w:val="22"/>
          <w:szCs w:val="22"/>
          <w:lang w:eastAsia="ko-KR"/>
        </w:rPr>
        <w:t>LTE-based V2X Services</w:t>
      </w:r>
      <w:r w:rsidR="001706B8" w:rsidRPr="00E4560B">
        <w:rPr>
          <w:rFonts w:ascii="Times New Roman" w:hAnsi="Times New Roman"/>
          <w:b w:val="0"/>
          <w:sz w:val="22"/>
          <w:szCs w:val="22"/>
        </w:rPr>
        <w:t>;</w:t>
      </w:r>
      <w:r w:rsidR="001706B8">
        <w:rPr>
          <w:rFonts w:ascii="Times New Roman" w:hAnsi="Times New Roman"/>
          <w:b w:val="0"/>
          <w:sz w:val="22"/>
          <w:szCs w:val="22"/>
        </w:rPr>
        <w:t xml:space="preserve"> </w:t>
      </w:r>
      <w:r w:rsidR="001706B8" w:rsidRPr="00E4560B">
        <w:rPr>
          <w:rFonts w:ascii="Times New Roman" w:hAnsi="Times New Roman"/>
          <w:b w:val="0"/>
          <w:sz w:val="22"/>
          <w:szCs w:val="22"/>
        </w:rPr>
        <w:t>(</w:t>
      </w:r>
      <w:r w:rsidR="001706B8" w:rsidRPr="00E4560B">
        <w:rPr>
          <w:rStyle w:val="ZGSM"/>
          <w:rFonts w:ascii="Times New Roman" w:hAnsi="Times New Roman"/>
          <w:b w:val="0"/>
          <w:sz w:val="22"/>
          <w:szCs w:val="22"/>
        </w:rPr>
        <w:t>Release 1</w:t>
      </w:r>
      <w:r w:rsidR="001706B8" w:rsidRPr="00E4560B">
        <w:rPr>
          <w:rStyle w:val="ZGSM"/>
          <w:rFonts w:ascii="Times New Roman" w:eastAsia="Malgun Gothic" w:hAnsi="Times New Roman"/>
          <w:b w:val="0"/>
          <w:sz w:val="22"/>
          <w:szCs w:val="22"/>
          <w:lang w:eastAsia="ko-KR"/>
        </w:rPr>
        <w:t>4</w:t>
      </w:r>
      <w:r w:rsidR="001706B8" w:rsidRPr="00E4560B">
        <w:rPr>
          <w:rFonts w:ascii="Times New Roman" w:hAnsi="Times New Roman"/>
          <w:b w:val="0"/>
          <w:sz w:val="22"/>
          <w:szCs w:val="22"/>
        </w:rPr>
        <w:t>)</w:t>
      </w:r>
      <w:r w:rsidR="005A23B2">
        <w:rPr>
          <w:rFonts w:ascii="Times New Roman" w:hAnsi="Times New Roman"/>
          <w:b w:val="0"/>
          <w:sz w:val="22"/>
          <w:szCs w:val="22"/>
        </w:rPr>
        <w:t>.</w:t>
      </w:r>
    </w:p>
    <w:p w:rsidR="001706B8" w:rsidRDefault="001706B8" w:rsidP="001706B8">
      <w:pPr>
        <w:pStyle w:val="ZT"/>
        <w:framePr w:wrap="auto" w:hAnchor="text" w:yAlign="inline"/>
        <w:jc w:val="left"/>
        <w:rPr>
          <w:rFonts w:ascii="Times New Roman" w:hAnsi="Times New Roman"/>
          <w:b w:val="0"/>
          <w:sz w:val="22"/>
          <w:szCs w:val="22"/>
        </w:rPr>
      </w:pPr>
    </w:p>
    <w:p w:rsidR="001706B8" w:rsidRDefault="00B214E9" w:rsidP="001706B8">
      <w:pPr>
        <w:pStyle w:val="ZT"/>
        <w:framePr w:wrap="auto" w:hAnchor="text" w:yAlign="inline"/>
        <w:jc w:val="left"/>
        <w:rPr>
          <w:rFonts w:ascii="Times New Roman" w:hAnsi="Times New Roman"/>
          <w:b w:val="0"/>
          <w:sz w:val="22"/>
          <w:szCs w:val="22"/>
        </w:rPr>
      </w:pPr>
      <w:r>
        <w:rPr>
          <w:rFonts w:ascii="Times New Roman" w:hAnsi="Times New Roman"/>
          <w:b w:val="0"/>
          <w:sz w:val="22"/>
          <w:szCs w:val="22"/>
        </w:rPr>
        <w:t>[5</w:t>
      </w:r>
      <w:r w:rsidR="001706B8">
        <w:rPr>
          <w:rFonts w:ascii="Times New Roman" w:hAnsi="Times New Roman"/>
          <w:b w:val="0"/>
          <w:sz w:val="22"/>
          <w:szCs w:val="22"/>
        </w:rPr>
        <w:t>]</w:t>
      </w:r>
      <w:r w:rsidR="001706B8">
        <w:rPr>
          <w:rFonts w:ascii="Times New Roman" w:hAnsi="Times New Roman"/>
          <w:b w:val="0"/>
          <w:sz w:val="22"/>
          <w:szCs w:val="22"/>
        </w:rPr>
        <w:tab/>
      </w:r>
      <w:r w:rsidR="001706B8">
        <w:rPr>
          <w:rFonts w:ascii="Times New Roman" w:hAnsi="Times New Roman"/>
          <w:b w:val="0"/>
          <w:sz w:val="22"/>
          <w:szCs w:val="22"/>
        </w:rPr>
        <w:tab/>
        <w:t>3GPP TR36.942</w:t>
      </w:r>
      <w:r w:rsidR="0034083A">
        <w:rPr>
          <w:rFonts w:ascii="Times New Roman" w:hAnsi="Times New Roman"/>
          <w:b w:val="0"/>
          <w:sz w:val="22"/>
          <w:szCs w:val="22"/>
        </w:rPr>
        <w:t>, “3GPP E-UTRA RF System Scenarios”, v13.0</w:t>
      </w:r>
      <w:r w:rsidR="005A23B2">
        <w:rPr>
          <w:rFonts w:ascii="Times New Roman" w:hAnsi="Times New Roman"/>
          <w:b w:val="0"/>
          <w:sz w:val="22"/>
          <w:szCs w:val="22"/>
        </w:rPr>
        <w:t>.</w:t>
      </w:r>
    </w:p>
    <w:p w:rsidR="001706B8" w:rsidRPr="001706B8" w:rsidRDefault="001706B8" w:rsidP="001706B8">
      <w:pPr>
        <w:pStyle w:val="ZT"/>
        <w:framePr w:wrap="auto" w:hAnchor="text" w:yAlign="inline"/>
        <w:jc w:val="left"/>
        <w:rPr>
          <w:rFonts w:ascii="Times New Roman" w:hAnsi="Times New Roman"/>
          <w:b w:val="0"/>
          <w:i/>
          <w:sz w:val="22"/>
          <w:szCs w:val="22"/>
        </w:rPr>
      </w:pPr>
    </w:p>
    <w:p w:rsidR="001706B8" w:rsidRDefault="00B214E9" w:rsidP="001706B8">
      <w:pPr>
        <w:pStyle w:val="ZT"/>
        <w:framePr w:wrap="auto" w:hAnchor="text" w:yAlign="inline"/>
        <w:spacing w:after="120" w:line="240" w:lineRule="auto"/>
        <w:ind w:left="567" w:hanging="567"/>
        <w:jc w:val="left"/>
        <w:rPr>
          <w:rFonts w:ascii="Times New Roman" w:hAnsi="Times New Roman"/>
          <w:b w:val="0"/>
          <w:sz w:val="22"/>
          <w:szCs w:val="22"/>
        </w:rPr>
      </w:pPr>
      <w:r>
        <w:rPr>
          <w:rFonts w:ascii="Times New Roman" w:hAnsi="Times New Roman"/>
          <w:b w:val="0"/>
          <w:sz w:val="22"/>
          <w:szCs w:val="22"/>
        </w:rPr>
        <w:t>[6</w:t>
      </w:r>
      <w:r w:rsidR="001706B8" w:rsidRPr="00B358B2">
        <w:rPr>
          <w:rFonts w:ascii="Times New Roman" w:hAnsi="Times New Roman"/>
          <w:b w:val="0"/>
          <w:sz w:val="22"/>
          <w:szCs w:val="22"/>
        </w:rPr>
        <w:t>]</w:t>
      </w:r>
      <w:r w:rsidR="001706B8" w:rsidRPr="00B358B2">
        <w:rPr>
          <w:rFonts w:ascii="Times New Roman" w:hAnsi="Times New Roman"/>
          <w:b w:val="0"/>
          <w:sz w:val="22"/>
          <w:szCs w:val="22"/>
        </w:rPr>
        <w:tab/>
        <w:t>3GPP TR36.101, “3GPP E-UTRA UE Radio Transmission and Reception”, v13.0</w:t>
      </w:r>
      <w:r w:rsidR="005A23B2">
        <w:rPr>
          <w:rFonts w:ascii="Times New Roman" w:hAnsi="Times New Roman"/>
          <w:b w:val="0"/>
          <w:sz w:val="22"/>
          <w:szCs w:val="22"/>
        </w:rPr>
        <w:t>.</w:t>
      </w:r>
      <w:r w:rsidR="001706B8" w:rsidRPr="00B358B2">
        <w:rPr>
          <w:rFonts w:ascii="Times New Roman" w:hAnsi="Times New Roman"/>
          <w:b w:val="0"/>
          <w:sz w:val="22"/>
          <w:szCs w:val="22"/>
        </w:rPr>
        <w:t xml:space="preserve"> </w:t>
      </w:r>
    </w:p>
    <w:p w:rsidR="006F4DA1" w:rsidRDefault="004071AB" w:rsidP="003206D1">
      <w:pPr>
        <w:pStyle w:val="ZT"/>
        <w:framePr w:wrap="auto" w:hAnchor="text" w:yAlign="inline"/>
        <w:jc w:val="left"/>
        <w:rPr>
          <w:rFonts w:ascii="Times New Roman" w:hAnsi="Times New Roman"/>
          <w:b w:val="0"/>
          <w:sz w:val="22"/>
          <w:szCs w:val="22"/>
        </w:rPr>
      </w:pPr>
      <w:r>
        <w:rPr>
          <w:rFonts w:ascii="Times New Roman" w:hAnsi="Times New Roman"/>
          <w:b w:val="0"/>
          <w:sz w:val="22"/>
          <w:szCs w:val="22"/>
        </w:rPr>
        <w:t>[7]</w:t>
      </w:r>
      <w:r>
        <w:rPr>
          <w:rFonts w:ascii="Times New Roman" w:hAnsi="Times New Roman"/>
          <w:b w:val="0"/>
          <w:sz w:val="22"/>
          <w:szCs w:val="22"/>
        </w:rPr>
        <w:tab/>
      </w:r>
      <w:r>
        <w:rPr>
          <w:rFonts w:ascii="Times New Roman" w:hAnsi="Times New Roman"/>
          <w:b w:val="0"/>
          <w:sz w:val="22"/>
          <w:szCs w:val="22"/>
        </w:rPr>
        <w:tab/>
        <w:t>R4-160003</w:t>
      </w:r>
      <w:r w:rsidR="006F4DA1">
        <w:rPr>
          <w:rFonts w:ascii="Times New Roman" w:hAnsi="Times New Roman"/>
          <w:b w:val="0"/>
          <w:sz w:val="22"/>
          <w:szCs w:val="22"/>
        </w:rPr>
        <w:t>, “</w:t>
      </w:r>
      <w:r w:rsidRPr="004071AB">
        <w:rPr>
          <w:rFonts w:ascii="Times New Roman" w:hAnsi="Times New Roman"/>
          <w:b w:val="0"/>
          <w:sz w:val="22"/>
          <w:szCs w:val="22"/>
        </w:rPr>
        <w:t>Way forward on performance metric for V2V system</w:t>
      </w:r>
      <w:r>
        <w:rPr>
          <w:rFonts w:ascii="Times New Roman" w:hAnsi="Times New Roman"/>
          <w:b w:val="0"/>
          <w:sz w:val="22"/>
          <w:szCs w:val="22"/>
        </w:rPr>
        <w:t>”, Huawei, CATT</w:t>
      </w:r>
    </w:p>
    <w:p w:rsidR="004071AB" w:rsidRDefault="004071AB" w:rsidP="003206D1">
      <w:pPr>
        <w:pStyle w:val="ZT"/>
        <w:framePr w:wrap="auto" w:hAnchor="text" w:yAlign="inline"/>
        <w:jc w:val="left"/>
        <w:rPr>
          <w:rFonts w:ascii="Times New Roman" w:hAnsi="Times New Roman"/>
          <w:b w:val="0"/>
          <w:sz w:val="22"/>
          <w:szCs w:val="22"/>
        </w:rPr>
      </w:pPr>
    </w:p>
    <w:p w:rsidR="004071AB" w:rsidRPr="004071AB" w:rsidRDefault="004071AB" w:rsidP="004071AB">
      <w:pPr>
        <w:spacing w:after="0"/>
        <w:rPr>
          <w:sz w:val="22"/>
          <w:szCs w:val="22"/>
          <w:lang w:val="en-US" w:eastAsia="ko-KR"/>
        </w:rPr>
      </w:pPr>
      <w:r w:rsidRPr="004071AB">
        <w:rPr>
          <w:sz w:val="22"/>
          <w:szCs w:val="22"/>
        </w:rPr>
        <w:t xml:space="preserve">[8]   </w:t>
      </w:r>
      <w:r w:rsidRPr="004071AB">
        <w:rPr>
          <w:sz w:val="22"/>
          <w:szCs w:val="22"/>
        </w:rPr>
        <w:tab/>
        <w:t>R4-163004, “</w:t>
      </w:r>
      <w:r w:rsidRPr="004071AB">
        <w:rPr>
          <w:bCs/>
          <w:sz w:val="22"/>
          <w:szCs w:val="22"/>
          <w:lang w:val="sv-SE" w:eastAsia="ko-KR"/>
        </w:rPr>
        <w:t xml:space="preserve">WF on adjacent channel coexistence scenarios </w:t>
      </w:r>
      <w:r w:rsidRPr="004071AB">
        <w:rPr>
          <w:bCs/>
          <w:sz w:val="22"/>
          <w:szCs w:val="22"/>
          <w:lang w:val="en-US" w:eastAsia="ko-KR"/>
        </w:rPr>
        <w:t>and parameters at 5.9GHz”, LG</w:t>
      </w:r>
    </w:p>
    <w:p w:rsidR="004071AB" w:rsidRDefault="004071AB" w:rsidP="003206D1">
      <w:pPr>
        <w:pStyle w:val="ZT"/>
        <w:framePr w:wrap="auto" w:hAnchor="text" w:yAlign="inline"/>
        <w:jc w:val="left"/>
        <w:rPr>
          <w:rFonts w:ascii="Times New Roman" w:hAnsi="Times New Roman"/>
          <w:b w:val="0"/>
          <w:sz w:val="22"/>
          <w:szCs w:val="22"/>
        </w:rPr>
      </w:pPr>
    </w:p>
    <w:p w:rsidR="004071AB" w:rsidRDefault="004071AB" w:rsidP="003206D1">
      <w:pPr>
        <w:pStyle w:val="ZT"/>
        <w:framePr w:wrap="auto" w:hAnchor="text" w:yAlign="inline"/>
        <w:jc w:val="left"/>
        <w:rPr>
          <w:rFonts w:ascii="Times New Roman" w:hAnsi="Times New Roman"/>
          <w:b w:val="0"/>
          <w:sz w:val="22"/>
        </w:rPr>
      </w:pPr>
      <w:r>
        <w:rPr>
          <w:rFonts w:ascii="Times New Roman" w:hAnsi="Times New Roman"/>
          <w:b w:val="0"/>
          <w:sz w:val="22"/>
          <w:szCs w:val="22"/>
        </w:rPr>
        <w:t>[9]</w:t>
      </w:r>
      <w:r>
        <w:rPr>
          <w:rFonts w:ascii="Times New Roman" w:hAnsi="Times New Roman"/>
          <w:b w:val="0"/>
          <w:sz w:val="22"/>
          <w:szCs w:val="22"/>
        </w:rPr>
        <w:tab/>
      </w:r>
      <w:r>
        <w:rPr>
          <w:rFonts w:ascii="Times New Roman" w:hAnsi="Times New Roman"/>
          <w:b w:val="0"/>
          <w:sz w:val="22"/>
          <w:szCs w:val="22"/>
        </w:rPr>
        <w:tab/>
      </w:r>
      <w:r w:rsidRPr="004071AB">
        <w:rPr>
          <w:rFonts w:ascii="Times New Roman" w:hAnsi="Times New Roman"/>
          <w:b w:val="0"/>
          <w:sz w:val="22"/>
          <w:szCs w:val="22"/>
        </w:rPr>
        <w:t>R4-163005, “</w:t>
      </w:r>
      <w:r w:rsidRPr="004071AB">
        <w:rPr>
          <w:rFonts w:ascii="Times New Roman" w:hAnsi="Times New Roman"/>
          <w:b w:val="0"/>
          <w:sz w:val="22"/>
        </w:rPr>
        <w:t>TP on adjacent channel co-existence scenarios and parameters for V2V service”, LG</w:t>
      </w:r>
    </w:p>
    <w:p w:rsidR="003401F9" w:rsidRDefault="003401F9" w:rsidP="003206D1">
      <w:pPr>
        <w:pStyle w:val="ZT"/>
        <w:framePr w:wrap="auto" w:hAnchor="text" w:yAlign="inline"/>
        <w:jc w:val="left"/>
        <w:rPr>
          <w:rFonts w:ascii="Times New Roman" w:hAnsi="Times New Roman"/>
          <w:b w:val="0"/>
          <w:sz w:val="22"/>
        </w:rPr>
      </w:pPr>
    </w:p>
    <w:p w:rsidR="00B16B5E" w:rsidRDefault="003401F9" w:rsidP="00B17A37">
      <w:pPr>
        <w:pStyle w:val="ZT"/>
        <w:framePr w:wrap="auto" w:hAnchor="text" w:yAlign="inline"/>
        <w:jc w:val="left"/>
        <w:rPr>
          <w:lang w:eastAsia="ko-KR"/>
        </w:rPr>
      </w:pPr>
      <w:r>
        <w:rPr>
          <w:rFonts w:ascii="Times New Roman" w:hAnsi="Times New Roman"/>
          <w:b w:val="0"/>
          <w:sz w:val="22"/>
        </w:rPr>
        <w:t>[10]</w:t>
      </w:r>
      <w:r>
        <w:rPr>
          <w:rFonts w:ascii="Times New Roman" w:hAnsi="Times New Roman"/>
          <w:b w:val="0"/>
          <w:sz w:val="22"/>
        </w:rPr>
        <w:tab/>
        <w:t xml:space="preserve">R4-163501, </w:t>
      </w:r>
      <w:r w:rsidRPr="003401F9">
        <w:rPr>
          <w:rFonts w:ascii="Times New Roman" w:hAnsi="Times New Roman"/>
          <w:b w:val="0"/>
          <w:sz w:val="22"/>
        </w:rPr>
        <w:t>“</w:t>
      </w:r>
      <w:r w:rsidRPr="003401F9">
        <w:rPr>
          <w:rFonts w:ascii="Times New Roman" w:hAnsi="Times New Roman"/>
          <w:b w:val="0"/>
          <w:sz w:val="22"/>
          <w:szCs w:val="22"/>
        </w:rPr>
        <w:t>Simulation results for V2V adjacent co-existence in licensed bands</w:t>
      </w:r>
      <w:r>
        <w:rPr>
          <w:rFonts w:ascii="Times New Roman" w:hAnsi="Times New Roman"/>
          <w:b w:val="0"/>
          <w:sz w:val="22"/>
          <w:szCs w:val="22"/>
        </w:rPr>
        <w:t>”, Erics</w:t>
      </w:r>
      <w:r w:rsidRPr="003401F9">
        <w:rPr>
          <w:rFonts w:ascii="Times New Roman" w:hAnsi="Times New Roman"/>
          <w:b w:val="0"/>
          <w:sz w:val="22"/>
          <w:szCs w:val="22"/>
        </w:rPr>
        <w:t>son</w:t>
      </w:r>
      <w:r>
        <w:rPr>
          <w:rFonts w:ascii="Times New Roman" w:hAnsi="Times New Roman"/>
          <w:b w:val="0"/>
          <w:sz w:val="22"/>
          <w:szCs w:val="22"/>
        </w:rPr>
        <w:t>.</w:t>
      </w:r>
      <w:bookmarkEnd w:id="0"/>
      <w:bookmarkEnd w:id="1"/>
      <w:bookmarkEnd w:id="2"/>
      <w:bookmarkEnd w:id="3"/>
      <w:bookmarkEnd w:id="4"/>
      <w:bookmarkEnd w:id="5"/>
      <w:bookmarkEnd w:id="6"/>
      <w:bookmarkEnd w:id="7"/>
      <w:bookmarkEnd w:id="8"/>
      <w:bookmarkEnd w:id="9"/>
      <w:bookmarkEnd w:id="10"/>
      <w:bookmarkEnd w:id="11"/>
      <w:bookmarkEnd w:id="12"/>
    </w:p>
    <w:sectPr w:rsidR="00B16B5E">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29D6" w:rsidRDefault="007A29D6">
      <w:r>
        <w:separator/>
      </w:r>
    </w:p>
  </w:endnote>
  <w:endnote w:type="continuationSeparator" w:id="0">
    <w:p w:rsidR="007A29D6" w:rsidRDefault="007A2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AB0" w:rsidRDefault="00B57AB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29D6" w:rsidRDefault="007A29D6">
      <w:r>
        <w:separator/>
      </w:r>
    </w:p>
  </w:footnote>
  <w:footnote w:type="continuationSeparator" w:id="0">
    <w:p w:rsidR="007A29D6" w:rsidRDefault="007A29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4C0"/>
    <w:multiLevelType w:val="hybridMultilevel"/>
    <w:tmpl w:val="4310348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B660972"/>
    <w:multiLevelType w:val="multilevel"/>
    <w:tmpl w:val="0409001D"/>
    <w:lvl w:ilvl="0">
      <w:start w:val="1"/>
      <w:numFmt w:val="decimal"/>
      <w:lvlText w:val="%1)"/>
      <w:lvlJc w:val="left"/>
      <w:pPr>
        <w:ind w:left="644" w:hanging="360"/>
      </w:pPr>
      <w:rPr>
        <w:rFonts w:hint="default"/>
      </w:rPr>
    </w:lvl>
    <w:lvl w:ilvl="1">
      <w:start w:val="1"/>
      <w:numFmt w:val="lowerLetter"/>
      <w:lvlText w:val="%2)"/>
      <w:lvlJc w:val="left"/>
      <w:pPr>
        <w:ind w:left="1004" w:hanging="360"/>
      </w:pPr>
      <w:rPr>
        <w:rFonts w:hint="default"/>
      </w:rPr>
    </w:lvl>
    <w:lvl w:ilvl="2">
      <w:start w:val="1"/>
      <w:numFmt w:val="lowerRoman"/>
      <w:lvlText w:val="%3)"/>
      <w:lvlJc w:val="left"/>
      <w:pPr>
        <w:ind w:left="1364" w:hanging="360"/>
      </w:pPr>
      <w:rPr>
        <w:rFonts w:hint="default"/>
      </w:rPr>
    </w:lvl>
    <w:lvl w:ilvl="3">
      <w:start w:val="1"/>
      <w:numFmt w:val="decimal"/>
      <w:lvlText w:val="(%4)"/>
      <w:lvlJc w:val="left"/>
      <w:pPr>
        <w:ind w:left="1724" w:hanging="360"/>
      </w:pPr>
      <w:rPr>
        <w:rFonts w:hint="default"/>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
    <w:nsid w:val="0FE85A54"/>
    <w:multiLevelType w:val="hybridMultilevel"/>
    <w:tmpl w:val="1C8C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B44CE7"/>
    <w:multiLevelType w:val="hybridMultilevel"/>
    <w:tmpl w:val="EE82A368"/>
    <w:lvl w:ilvl="0" w:tplc="3D3EDCD2">
      <w:start w:val="1"/>
      <w:numFmt w:val="bullet"/>
      <w:lvlText w:val="•"/>
      <w:lvlJc w:val="left"/>
      <w:pPr>
        <w:tabs>
          <w:tab w:val="num" w:pos="720"/>
        </w:tabs>
        <w:ind w:left="720" w:hanging="360"/>
      </w:pPr>
      <w:rPr>
        <w:rFonts w:ascii="Arial" w:hAnsi="Arial" w:hint="default"/>
      </w:rPr>
    </w:lvl>
    <w:lvl w:ilvl="1" w:tplc="E91A4852">
      <w:start w:val="2112"/>
      <w:numFmt w:val="bullet"/>
      <w:lvlText w:val="•"/>
      <w:lvlJc w:val="left"/>
      <w:pPr>
        <w:tabs>
          <w:tab w:val="num" w:pos="1440"/>
        </w:tabs>
        <w:ind w:left="1440" w:hanging="360"/>
      </w:pPr>
      <w:rPr>
        <w:rFonts w:ascii="Arial" w:hAnsi="Arial" w:hint="default"/>
      </w:rPr>
    </w:lvl>
    <w:lvl w:ilvl="2" w:tplc="DA36EBC4">
      <w:start w:val="2112"/>
      <w:numFmt w:val="bullet"/>
      <w:lvlText w:val="•"/>
      <w:lvlJc w:val="left"/>
      <w:pPr>
        <w:tabs>
          <w:tab w:val="num" w:pos="2160"/>
        </w:tabs>
        <w:ind w:left="2160" w:hanging="360"/>
      </w:pPr>
      <w:rPr>
        <w:rFonts w:ascii="Arial" w:hAnsi="Arial" w:hint="default"/>
      </w:rPr>
    </w:lvl>
    <w:lvl w:ilvl="3" w:tplc="6AF0D9C6">
      <w:start w:val="1"/>
      <w:numFmt w:val="bullet"/>
      <w:lvlText w:val="•"/>
      <w:lvlJc w:val="left"/>
      <w:pPr>
        <w:tabs>
          <w:tab w:val="num" w:pos="2880"/>
        </w:tabs>
        <w:ind w:left="2880" w:hanging="360"/>
      </w:pPr>
      <w:rPr>
        <w:rFonts w:ascii="Arial" w:hAnsi="Arial" w:hint="default"/>
      </w:rPr>
    </w:lvl>
    <w:lvl w:ilvl="4" w:tplc="37088BF6">
      <w:start w:val="1"/>
      <w:numFmt w:val="bullet"/>
      <w:lvlText w:val="•"/>
      <w:lvlJc w:val="left"/>
      <w:pPr>
        <w:tabs>
          <w:tab w:val="num" w:pos="3600"/>
        </w:tabs>
        <w:ind w:left="3600" w:hanging="360"/>
      </w:pPr>
      <w:rPr>
        <w:rFonts w:ascii="Arial" w:hAnsi="Arial" w:hint="default"/>
      </w:rPr>
    </w:lvl>
    <w:lvl w:ilvl="5" w:tplc="FC780982" w:tentative="1">
      <w:start w:val="1"/>
      <w:numFmt w:val="bullet"/>
      <w:lvlText w:val="•"/>
      <w:lvlJc w:val="left"/>
      <w:pPr>
        <w:tabs>
          <w:tab w:val="num" w:pos="4320"/>
        </w:tabs>
        <w:ind w:left="4320" w:hanging="360"/>
      </w:pPr>
      <w:rPr>
        <w:rFonts w:ascii="Arial" w:hAnsi="Arial" w:hint="default"/>
      </w:rPr>
    </w:lvl>
    <w:lvl w:ilvl="6" w:tplc="2E2CAE26" w:tentative="1">
      <w:start w:val="1"/>
      <w:numFmt w:val="bullet"/>
      <w:lvlText w:val="•"/>
      <w:lvlJc w:val="left"/>
      <w:pPr>
        <w:tabs>
          <w:tab w:val="num" w:pos="5040"/>
        </w:tabs>
        <w:ind w:left="5040" w:hanging="360"/>
      </w:pPr>
      <w:rPr>
        <w:rFonts w:ascii="Arial" w:hAnsi="Arial" w:hint="default"/>
      </w:rPr>
    </w:lvl>
    <w:lvl w:ilvl="7" w:tplc="6AC8D716" w:tentative="1">
      <w:start w:val="1"/>
      <w:numFmt w:val="bullet"/>
      <w:lvlText w:val="•"/>
      <w:lvlJc w:val="left"/>
      <w:pPr>
        <w:tabs>
          <w:tab w:val="num" w:pos="5760"/>
        </w:tabs>
        <w:ind w:left="5760" w:hanging="360"/>
      </w:pPr>
      <w:rPr>
        <w:rFonts w:ascii="Arial" w:hAnsi="Arial" w:hint="default"/>
      </w:rPr>
    </w:lvl>
    <w:lvl w:ilvl="8" w:tplc="0CD8163C" w:tentative="1">
      <w:start w:val="1"/>
      <w:numFmt w:val="bullet"/>
      <w:lvlText w:val="•"/>
      <w:lvlJc w:val="left"/>
      <w:pPr>
        <w:tabs>
          <w:tab w:val="num" w:pos="6480"/>
        </w:tabs>
        <w:ind w:left="6480" w:hanging="360"/>
      </w:pPr>
      <w:rPr>
        <w:rFonts w:ascii="Arial" w:hAnsi="Arial" w:hint="default"/>
      </w:rPr>
    </w:lvl>
  </w:abstractNum>
  <w:abstractNum w:abstractNumId="4">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5">
    <w:nsid w:val="17250A14"/>
    <w:multiLevelType w:val="hybridMultilevel"/>
    <w:tmpl w:val="E5E2D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AC39FC"/>
    <w:multiLevelType w:val="hybridMultilevel"/>
    <w:tmpl w:val="4EF21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ED0D63"/>
    <w:multiLevelType w:val="hybridMultilevel"/>
    <w:tmpl w:val="8160B364"/>
    <w:lvl w:ilvl="0" w:tplc="A716813C">
      <w:start w:val="1"/>
      <w:numFmt w:val="bullet"/>
      <w:lvlText w:val="•"/>
      <w:lvlJc w:val="left"/>
      <w:pPr>
        <w:tabs>
          <w:tab w:val="num" w:pos="720"/>
        </w:tabs>
        <w:ind w:left="720" w:hanging="360"/>
      </w:pPr>
      <w:rPr>
        <w:rFonts w:ascii="Arial" w:hAnsi="Arial" w:hint="default"/>
      </w:rPr>
    </w:lvl>
    <w:lvl w:ilvl="1" w:tplc="72B05B98">
      <w:start w:val="611"/>
      <w:numFmt w:val="bullet"/>
      <w:lvlText w:val="–"/>
      <w:lvlJc w:val="left"/>
      <w:pPr>
        <w:tabs>
          <w:tab w:val="num" w:pos="1440"/>
        </w:tabs>
        <w:ind w:left="1440" w:hanging="360"/>
      </w:pPr>
      <w:rPr>
        <w:rFonts w:ascii="Arial" w:hAnsi="Arial" w:hint="default"/>
      </w:rPr>
    </w:lvl>
    <w:lvl w:ilvl="2" w:tplc="3DCAF5DC" w:tentative="1">
      <w:start w:val="1"/>
      <w:numFmt w:val="bullet"/>
      <w:lvlText w:val="•"/>
      <w:lvlJc w:val="left"/>
      <w:pPr>
        <w:tabs>
          <w:tab w:val="num" w:pos="2160"/>
        </w:tabs>
        <w:ind w:left="2160" w:hanging="360"/>
      </w:pPr>
      <w:rPr>
        <w:rFonts w:ascii="Arial" w:hAnsi="Arial" w:hint="default"/>
      </w:rPr>
    </w:lvl>
    <w:lvl w:ilvl="3" w:tplc="C126804C" w:tentative="1">
      <w:start w:val="1"/>
      <w:numFmt w:val="bullet"/>
      <w:lvlText w:val="•"/>
      <w:lvlJc w:val="left"/>
      <w:pPr>
        <w:tabs>
          <w:tab w:val="num" w:pos="2880"/>
        </w:tabs>
        <w:ind w:left="2880" w:hanging="360"/>
      </w:pPr>
      <w:rPr>
        <w:rFonts w:ascii="Arial" w:hAnsi="Arial" w:hint="default"/>
      </w:rPr>
    </w:lvl>
    <w:lvl w:ilvl="4" w:tplc="4F143852" w:tentative="1">
      <w:start w:val="1"/>
      <w:numFmt w:val="bullet"/>
      <w:lvlText w:val="•"/>
      <w:lvlJc w:val="left"/>
      <w:pPr>
        <w:tabs>
          <w:tab w:val="num" w:pos="3600"/>
        </w:tabs>
        <w:ind w:left="3600" w:hanging="360"/>
      </w:pPr>
      <w:rPr>
        <w:rFonts w:ascii="Arial" w:hAnsi="Arial" w:hint="default"/>
      </w:rPr>
    </w:lvl>
    <w:lvl w:ilvl="5" w:tplc="3148F4D4" w:tentative="1">
      <w:start w:val="1"/>
      <w:numFmt w:val="bullet"/>
      <w:lvlText w:val="•"/>
      <w:lvlJc w:val="left"/>
      <w:pPr>
        <w:tabs>
          <w:tab w:val="num" w:pos="4320"/>
        </w:tabs>
        <w:ind w:left="4320" w:hanging="360"/>
      </w:pPr>
      <w:rPr>
        <w:rFonts w:ascii="Arial" w:hAnsi="Arial" w:hint="default"/>
      </w:rPr>
    </w:lvl>
    <w:lvl w:ilvl="6" w:tplc="FFB6A746" w:tentative="1">
      <w:start w:val="1"/>
      <w:numFmt w:val="bullet"/>
      <w:lvlText w:val="•"/>
      <w:lvlJc w:val="left"/>
      <w:pPr>
        <w:tabs>
          <w:tab w:val="num" w:pos="5040"/>
        </w:tabs>
        <w:ind w:left="5040" w:hanging="360"/>
      </w:pPr>
      <w:rPr>
        <w:rFonts w:ascii="Arial" w:hAnsi="Arial" w:hint="default"/>
      </w:rPr>
    </w:lvl>
    <w:lvl w:ilvl="7" w:tplc="CF626E52" w:tentative="1">
      <w:start w:val="1"/>
      <w:numFmt w:val="bullet"/>
      <w:lvlText w:val="•"/>
      <w:lvlJc w:val="left"/>
      <w:pPr>
        <w:tabs>
          <w:tab w:val="num" w:pos="5760"/>
        </w:tabs>
        <w:ind w:left="5760" w:hanging="360"/>
      </w:pPr>
      <w:rPr>
        <w:rFonts w:ascii="Arial" w:hAnsi="Arial" w:hint="default"/>
      </w:rPr>
    </w:lvl>
    <w:lvl w:ilvl="8" w:tplc="9738C668" w:tentative="1">
      <w:start w:val="1"/>
      <w:numFmt w:val="bullet"/>
      <w:lvlText w:val="•"/>
      <w:lvlJc w:val="left"/>
      <w:pPr>
        <w:tabs>
          <w:tab w:val="num" w:pos="6480"/>
        </w:tabs>
        <w:ind w:left="6480" w:hanging="360"/>
      </w:pPr>
      <w:rPr>
        <w:rFonts w:ascii="Arial" w:hAnsi="Arial" w:hint="default"/>
      </w:rPr>
    </w:lvl>
  </w:abstractNum>
  <w:abstractNum w:abstractNumId="8">
    <w:nsid w:val="257F341F"/>
    <w:multiLevelType w:val="multilevel"/>
    <w:tmpl w:val="6EC4EAAA"/>
    <w:lvl w:ilvl="0">
      <w:start w:val="4"/>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10">
    <w:nsid w:val="28CA0C57"/>
    <w:multiLevelType w:val="hybridMultilevel"/>
    <w:tmpl w:val="EC24A8E2"/>
    <w:lvl w:ilvl="0" w:tplc="B8D2BE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E6B6BBC"/>
    <w:multiLevelType w:val="hybridMultilevel"/>
    <w:tmpl w:val="AFBEB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E368F1"/>
    <w:multiLevelType w:val="hybridMultilevel"/>
    <w:tmpl w:val="734EE0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5882B68"/>
    <w:multiLevelType w:val="hybridMultilevel"/>
    <w:tmpl w:val="C3E0E8AA"/>
    <w:lvl w:ilvl="0" w:tplc="67860FE0">
      <w:start w:val="1"/>
      <w:numFmt w:val="bullet"/>
      <w:lvlText w:val="•"/>
      <w:lvlJc w:val="left"/>
      <w:pPr>
        <w:tabs>
          <w:tab w:val="num" w:pos="720"/>
        </w:tabs>
        <w:ind w:left="720" w:hanging="360"/>
      </w:pPr>
      <w:rPr>
        <w:rFonts w:ascii="Arial" w:hAnsi="Arial" w:hint="default"/>
      </w:rPr>
    </w:lvl>
    <w:lvl w:ilvl="1" w:tplc="48B24D1E">
      <w:start w:val="5639"/>
      <w:numFmt w:val="bullet"/>
      <w:lvlText w:val="–"/>
      <w:lvlJc w:val="left"/>
      <w:pPr>
        <w:tabs>
          <w:tab w:val="num" w:pos="1440"/>
        </w:tabs>
        <w:ind w:left="1440" w:hanging="360"/>
      </w:pPr>
      <w:rPr>
        <w:rFonts w:ascii="Arial" w:hAnsi="Arial" w:hint="default"/>
      </w:rPr>
    </w:lvl>
    <w:lvl w:ilvl="2" w:tplc="08D05860" w:tentative="1">
      <w:start w:val="1"/>
      <w:numFmt w:val="bullet"/>
      <w:lvlText w:val="•"/>
      <w:lvlJc w:val="left"/>
      <w:pPr>
        <w:tabs>
          <w:tab w:val="num" w:pos="2160"/>
        </w:tabs>
        <w:ind w:left="2160" w:hanging="360"/>
      </w:pPr>
      <w:rPr>
        <w:rFonts w:ascii="Arial" w:hAnsi="Arial" w:hint="default"/>
      </w:rPr>
    </w:lvl>
    <w:lvl w:ilvl="3" w:tplc="B2864604" w:tentative="1">
      <w:start w:val="1"/>
      <w:numFmt w:val="bullet"/>
      <w:lvlText w:val="•"/>
      <w:lvlJc w:val="left"/>
      <w:pPr>
        <w:tabs>
          <w:tab w:val="num" w:pos="2880"/>
        </w:tabs>
        <w:ind w:left="2880" w:hanging="360"/>
      </w:pPr>
      <w:rPr>
        <w:rFonts w:ascii="Arial" w:hAnsi="Arial" w:hint="default"/>
      </w:rPr>
    </w:lvl>
    <w:lvl w:ilvl="4" w:tplc="9C68F112" w:tentative="1">
      <w:start w:val="1"/>
      <w:numFmt w:val="bullet"/>
      <w:lvlText w:val="•"/>
      <w:lvlJc w:val="left"/>
      <w:pPr>
        <w:tabs>
          <w:tab w:val="num" w:pos="3600"/>
        </w:tabs>
        <w:ind w:left="3600" w:hanging="360"/>
      </w:pPr>
      <w:rPr>
        <w:rFonts w:ascii="Arial" w:hAnsi="Arial" w:hint="default"/>
      </w:rPr>
    </w:lvl>
    <w:lvl w:ilvl="5" w:tplc="D1E27FA8" w:tentative="1">
      <w:start w:val="1"/>
      <w:numFmt w:val="bullet"/>
      <w:lvlText w:val="•"/>
      <w:lvlJc w:val="left"/>
      <w:pPr>
        <w:tabs>
          <w:tab w:val="num" w:pos="4320"/>
        </w:tabs>
        <w:ind w:left="4320" w:hanging="360"/>
      </w:pPr>
      <w:rPr>
        <w:rFonts w:ascii="Arial" w:hAnsi="Arial" w:hint="default"/>
      </w:rPr>
    </w:lvl>
    <w:lvl w:ilvl="6" w:tplc="EB1EA44A" w:tentative="1">
      <w:start w:val="1"/>
      <w:numFmt w:val="bullet"/>
      <w:lvlText w:val="•"/>
      <w:lvlJc w:val="left"/>
      <w:pPr>
        <w:tabs>
          <w:tab w:val="num" w:pos="5040"/>
        </w:tabs>
        <w:ind w:left="5040" w:hanging="360"/>
      </w:pPr>
      <w:rPr>
        <w:rFonts w:ascii="Arial" w:hAnsi="Arial" w:hint="default"/>
      </w:rPr>
    </w:lvl>
    <w:lvl w:ilvl="7" w:tplc="42E8547E" w:tentative="1">
      <w:start w:val="1"/>
      <w:numFmt w:val="bullet"/>
      <w:lvlText w:val="•"/>
      <w:lvlJc w:val="left"/>
      <w:pPr>
        <w:tabs>
          <w:tab w:val="num" w:pos="5760"/>
        </w:tabs>
        <w:ind w:left="5760" w:hanging="360"/>
      </w:pPr>
      <w:rPr>
        <w:rFonts w:ascii="Arial" w:hAnsi="Arial" w:hint="default"/>
      </w:rPr>
    </w:lvl>
    <w:lvl w:ilvl="8" w:tplc="C80601AE" w:tentative="1">
      <w:start w:val="1"/>
      <w:numFmt w:val="bullet"/>
      <w:lvlText w:val="•"/>
      <w:lvlJc w:val="left"/>
      <w:pPr>
        <w:tabs>
          <w:tab w:val="num" w:pos="6480"/>
        </w:tabs>
        <w:ind w:left="6480" w:hanging="360"/>
      </w:pPr>
      <w:rPr>
        <w:rFonts w:ascii="Arial" w:hAnsi="Arial" w:hint="default"/>
      </w:rPr>
    </w:lvl>
  </w:abstractNum>
  <w:abstractNum w:abstractNumId="14">
    <w:nsid w:val="482D24DF"/>
    <w:multiLevelType w:val="hybridMultilevel"/>
    <w:tmpl w:val="69069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A3A21D5"/>
    <w:multiLevelType w:val="hybridMultilevel"/>
    <w:tmpl w:val="5E66D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18">
    <w:nsid w:val="65DA21E5"/>
    <w:multiLevelType w:val="hybridMultilevel"/>
    <w:tmpl w:val="1250E54A"/>
    <w:lvl w:ilvl="0" w:tplc="35905D92">
      <w:start w:val="1"/>
      <w:numFmt w:val="bullet"/>
      <w:lvlText w:val="•"/>
      <w:lvlJc w:val="left"/>
      <w:pPr>
        <w:tabs>
          <w:tab w:val="num" w:pos="720"/>
        </w:tabs>
        <w:ind w:left="720" w:hanging="360"/>
      </w:pPr>
      <w:rPr>
        <w:rFonts w:ascii="Arial" w:hAnsi="Arial" w:hint="default"/>
      </w:rPr>
    </w:lvl>
    <w:lvl w:ilvl="1" w:tplc="3E26ABC2">
      <w:start w:val="57"/>
      <w:numFmt w:val="bullet"/>
      <w:lvlText w:val="•"/>
      <w:lvlJc w:val="left"/>
      <w:pPr>
        <w:tabs>
          <w:tab w:val="num" w:pos="1440"/>
        </w:tabs>
        <w:ind w:left="1440" w:hanging="360"/>
      </w:pPr>
      <w:rPr>
        <w:rFonts w:ascii="Arial" w:hAnsi="Arial" w:hint="default"/>
      </w:rPr>
    </w:lvl>
    <w:lvl w:ilvl="2" w:tplc="CCD22AB2" w:tentative="1">
      <w:start w:val="1"/>
      <w:numFmt w:val="bullet"/>
      <w:lvlText w:val="•"/>
      <w:lvlJc w:val="left"/>
      <w:pPr>
        <w:tabs>
          <w:tab w:val="num" w:pos="2160"/>
        </w:tabs>
        <w:ind w:left="2160" w:hanging="360"/>
      </w:pPr>
      <w:rPr>
        <w:rFonts w:ascii="Arial" w:hAnsi="Arial" w:hint="default"/>
      </w:rPr>
    </w:lvl>
    <w:lvl w:ilvl="3" w:tplc="7340D7B4" w:tentative="1">
      <w:start w:val="1"/>
      <w:numFmt w:val="bullet"/>
      <w:lvlText w:val="•"/>
      <w:lvlJc w:val="left"/>
      <w:pPr>
        <w:tabs>
          <w:tab w:val="num" w:pos="2880"/>
        </w:tabs>
        <w:ind w:left="2880" w:hanging="360"/>
      </w:pPr>
      <w:rPr>
        <w:rFonts w:ascii="Arial" w:hAnsi="Arial" w:hint="default"/>
      </w:rPr>
    </w:lvl>
    <w:lvl w:ilvl="4" w:tplc="AA4A4A9C" w:tentative="1">
      <w:start w:val="1"/>
      <w:numFmt w:val="bullet"/>
      <w:lvlText w:val="•"/>
      <w:lvlJc w:val="left"/>
      <w:pPr>
        <w:tabs>
          <w:tab w:val="num" w:pos="3600"/>
        </w:tabs>
        <w:ind w:left="3600" w:hanging="360"/>
      </w:pPr>
      <w:rPr>
        <w:rFonts w:ascii="Arial" w:hAnsi="Arial" w:hint="default"/>
      </w:rPr>
    </w:lvl>
    <w:lvl w:ilvl="5" w:tplc="94F28592" w:tentative="1">
      <w:start w:val="1"/>
      <w:numFmt w:val="bullet"/>
      <w:lvlText w:val="•"/>
      <w:lvlJc w:val="left"/>
      <w:pPr>
        <w:tabs>
          <w:tab w:val="num" w:pos="4320"/>
        </w:tabs>
        <w:ind w:left="4320" w:hanging="360"/>
      </w:pPr>
      <w:rPr>
        <w:rFonts w:ascii="Arial" w:hAnsi="Arial" w:hint="default"/>
      </w:rPr>
    </w:lvl>
    <w:lvl w:ilvl="6" w:tplc="D688B482" w:tentative="1">
      <w:start w:val="1"/>
      <w:numFmt w:val="bullet"/>
      <w:lvlText w:val="•"/>
      <w:lvlJc w:val="left"/>
      <w:pPr>
        <w:tabs>
          <w:tab w:val="num" w:pos="5040"/>
        </w:tabs>
        <w:ind w:left="5040" w:hanging="360"/>
      </w:pPr>
      <w:rPr>
        <w:rFonts w:ascii="Arial" w:hAnsi="Arial" w:hint="default"/>
      </w:rPr>
    </w:lvl>
    <w:lvl w:ilvl="7" w:tplc="780E108C" w:tentative="1">
      <w:start w:val="1"/>
      <w:numFmt w:val="bullet"/>
      <w:lvlText w:val="•"/>
      <w:lvlJc w:val="left"/>
      <w:pPr>
        <w:tabs>
          <w:tab w:val="num" w:pos="5760"/>
        </w:tabs>
        <w:ind w:left="5760" w:hanging="360"/>
      </w:pPr>
      <w:rPr>
        <w:rFonts w:ascii="Arial" w:hAnsi="Arial" w:hint="default"/>
      </w:rPr>
    </w:lvl>
    <w:lvl w:ilvl="8" w:tplc="4FF269C2" w:tentative="1">
      <w:start w:val="1"/>
      <w:numFmt w:val="bullet"/>
      <w:lvlText w:val="•"/>
      <w:lvlJc w:val="left"/>
      <w:pPr>
        <w:tabs>
          <w:tab w:val="num" w:pos="6480"/>
        </w:tabs>
        <w:ind w:left="6480" w:hanging="360"/>
      </w:pPr>
      <w:rPr>
        <w:rFonts w:ascii="Arial" w:hAnsi="Arial" w:hint="default"/>
      </w:rPr>
    </w:lvl>
  </w:abstractNum>
  <w:abstractNum w:abstractNumId="19">
    <w:nsid w:val="7B8D20F1"/>
    <w:multiLevelType w:val="hybridMultilevel"/>
    <w:tmpl w:val="FB0A6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18"/>
  </w:num>
  <w:num w:numId="3">
    <w:abstractNumId w:val="1"/>
  </w:num>
  <w:num w:numId="4">
    <w:abstractNumId w:val="11"/>
  </w:num>
  <w:num w:numId="5">
    <w:abstractNumId w:val="4"/>
  </w:num>
  <w:num w:numId="6">
    <w:abstractNumId w:val="17"/>
  </w:num>
  <w:num w:numId="7">
    <w:abstractNumId w:val="9"/>
  </w:num>
  <w:num w:numId="8">
    <w:abstractNumId w:val="8"/>
  </w:num>
  <w:num w:numId="9">
    <w:abstractNumId w:val="10"/>
  </w:num>
  <w:num w:numId="10">
    <w:abstractNumId w:val="3"/>
  </w:num>
  <w:num w:numId="11">
    <w:abstractNumId w:val="12"/>
  </w:num>
  <w:num w:numId="12">
    <w:abstractNumId w:val="20"/>
  </w:num>
  <w:num w:numId="13">
    <w:abstractNumId w:val="6"/>
  </w:num>
  <w:num w:numId="14">
    <w:abstractNumId w:val="7"/>
  </w:num>
  <w:num w:numId="15">
    <w:abstractNumId w:val="14"/>
  </w:num>
  <w:num w:numId="16">
    <w:abstractNumId w:val="16"/>
  </w:num>
  <w:num w:numId="17">
    <w:abstractNumId w:val="19"/>
  </w:num>
  <w:num w:numId="18">
    <w:abstractNumId w:val="13"/>
  </w:num>
  <w:num w:numId="19">
    <w:abstractNumId w:val="15"/>
  </w:num>
  <w:num w:numId="20">
    <w:abstractNumId w:val="5"/>
  </w:num>
  <w:num w:numId="2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1342"/>
    <w:rsid w:val="000017B0"/>
    <w:rsid w:val="00003116"/>
    <w:rsid w:val="00003252"/>
    <w:rsid w:val="00004E6B"/>
    <w:rsid w:val="00006E93"/>
    <w:rsid w:val="00007CEC"/>
    <w:rsid w:val="0001165E"/>
    <w:rsid w:val="00014250"/>
    <w:rsid w:val="0001492E"/>
    <w:rsid w:val="00016606"/>
    <w:rsid w:val="00016905"/>
    <w:rsid w:val="00031BB4"/>
    <w:rsid w:val="00031C1D"/>
    <w:rsid w:val="000373D2"/>
    <w:rsid w:val="000411DC"/>
    <w:rsid w:val="0004226D"/>
    <w:rsid w:val="00043111"/>
    <w:rsid w:val="000442F4"/>
    <w:rsid w:val="000476A0"/>
    <w:rsid w:val="00047C2D"/>
    <w:rsid w:val="000549CA"/>
    <w:rsid w:val="00056E46"/>
    <w:rsid w:val="000603A4"/>
    <w:rsid w:val="000641EF"/>
    <w:rsid w:val="00067BFB"/>
    <w:rsid w:val="00071AB9"/>
    <w:rsid w:val="000749D8"/>
    <w:rsid w:val="00080A7D"/>
    <w:rsid w:val="00080DE9"/>
    <w:rsid w:val="0008513C"/>
    <w:rsid w:val="00085F68"/>
    <w:rsid w:val="00093E7E"/>
    <w:rsid w:val="00096A78"/>
    <w:rsid w:val="000A1FA3"/>
    <w:rsid w:val="000A23EC"/>
    <w:rsid w:val="000A3D9F"/>
    <w:rsid w:val="000A6679"/>
    <w:rsid w:val="000B2179"/>
    <w:rsid w:val="000B5CDC"/>
    <w:rsid w:val="000C2862"/>
    <w:rsid w:val="000C2B0F"/>
    <w:rsid w:val="000C3894"/>
    <w:rsid w:val="000C3E7C"/>
    <w:rsid w:val="000C5C99"/>
    <w:rsid w:val="000C7C84"/>
    <w:rsid w:val="000D15B1"/>
    <w:rsid w:val="000D698F"/>
    <w:rsid w:val="000D6A56"/>
    <w:rsid w:val="000D6AEA"/>
    <w:rsid w:val="000D6CFC"/>
    <w:rsid w:val="000E3260"/>
    <w:rsid w:val="000E620C"/>
    <w:rsid w:val="000F025F"/>
    <w:rsid w:val="000F1F14"/>
    <w:rsid w:val="000F3829"/>
    <w:rsid w:val="00101C91"/>
    <w:rsid w:val="00101D35"/>
    <w:rsid w:val="001025B0"/>
    <w:rsid w:val="00105ABB"/>
    <w:rsid w:val="001103CF"/>
    <w:rsid w:val="001103FC"/>
    <w:rsid w:val="00113541"/>
    <w:rsid w:val="001227DD"/>
    <w:rsid w:val="001270B2"/>
    <w:rsid w:val="00141252"/>
    <w:rsid w:val="00141A28"/>
    <w:rsid w:val="00142463"/>
    <w:rsid w:val="00143700"/>
    <w:rsid w:val="00144257"/>
    <w:rsid w:val="00144F8A"/>
    <w:rsid w:val="001477F3"/>
    <w:rsid w:val="001508E1"/>
    <w:rsid w:val="00153A20"/>
    <w:rsid w:val="0015462D"/>
    <w:rsid w:val="00156174"/>
    <w:rsid w:val="00162B8C"/>
    <w:rsid w:val="001706B8"/>
    <w:rsid w:val="00170D93"/>
    <w:rsid w:val="00171D06"/>
    <w:rsid w:val="00172973"/>
    <w:rsid w:val="00173284"/>
    <w:rsid w:val="001748F3"/>
    <w:rsid w:val="00174DEF"/>
    <w:rsid w:val="00180C3A"/>
    <w:rsid w:val="00180FFC"/>
    <w:rsid w:val="0018207B"/>
    <w:rsid w:val="001824F7"/>
    <w:rsid w:val="00183A49"/>
    <w:rsid w:val="00187F20"/>
    <w:rsid w:val="001904C1"/>
    <w:rsid w:val="00192DB0"/>
    <w:rsid w:val="00193B39"/>
    <w:rsid w:val="00193C8D"/>
    <w:rsid w:val="001961D0"/>
    <w:rsid w:val="001A08AA"/>
    <w:rsid w:val="001A1DB5"/>
    <w:rsid w:val="001A6C13"/>
    <w:rsid w:val="001A7169"/>
    <w:rsid w:val="001B21C7"/>
    <w:rsid w:val="001B459A"/>
    <w:rsid w:val="001C7C5C"/>
    <w:rsid w:val="001D27C1"/>
    <w:rsid w:val="001E20ED"/>
    <w:rsid w:val="001E3A61"/>
    <w:rsid w:val="001F2573"/>
    <w:rsid w:val="001F6E23"/>
    <w:rsid w:val="001F7900"/>
    <w:rsid w:val="002051F4"/>
    <w:rsid w:val="00206670"/>
    <w:rsid w:val="0020766B"/>
    <w:rsid w:val="0021047D"/>
    <w:rsid w:val="00210759"/>
    <w:rsid w:val="00211A0D"/>
    <w:rsid w:val="00216825"/>
    <w:rsid w:val="002206A1"/>
    <w:rsid w:val="00222E08"/>
    <w:rsid w:val="00223704"/>
    <w:rsid w:val="0023010C"/>
    <w:rsid w:val="00230157"/>
    <w:rsid w:val="002310A0"/>
    <w:rsid w:val="00231D15"/>
    <w:rsid w:val="00232103"/>
    <w:rsid w:val="00232500"/>
    <w:rsid w:val="00232597"/>
    <w:rsid w:val="0023351F"/>
    <w:rsid w:val="00237CB8"/>
    <w:rsid w:val="00244972"/>
    <w:rsid w:val="00244FC6"/>
    <w:rsid w:val="002477D8"/>
    <w:rsid w:val="00247990"/>
    <w:rsid w:val="002542AB"/>
    <w:rsid w:val="00255509"/>
    <w:rsid w:val="00262901"/>
    <w:rsid w:val="00262CEA"/>
    <w:rsid w:val="00267494"/>
    <w:rsid w:val="00267CF4"/>
    <w:rsid w:val="002765A5"/>
    <w:rsid w:val="0027714C"/>
    <w:rsid w:val="00282213"/>
    <w:rsid w:val="00285046"/>
    <w:rsid w:val="0028764F"/>
    <w:rsid w:val="00294208"/>
    <w:rsid w:val="00296269"/>
    <w:rsid w:val="00297E77"/>
    <w:rsid w:val="002A08B3"/>
    <w:rsid w:val="002A1553"/>
    <w:rsid w:val="002A1720"/>
    <w:rsid w:val="002A499B"/>
    <w:rsid w:val="002B4211"/>
    <w:rsid w:val="002B5257"/>
    <w:rsid w:val="002C0B25"/>
    <w:rsid w:val="002C395C"/>
    <w:rsid w:val="002C79F8"/>
    <w:rsid w:val="002D02D1"/>
    <w:rsid w:val="002D1E59"/>
    <w:rsid w:val="002D1F7F"/>
    <w:rsid w:val="002D7589"/>
    <w:rsid w:val="002D7B75"/>
    <w:rsid w:val="002E0707"/>
    <w:rsid w:val="002E0D08"/>
    <w:rsid w:val="002E0EDF"/>
    <w:rsid w:val="002E43FE"/>
    <w:rsid w:val="002E4F90"/>
    <w:rsid w:val="002E56A2"/>
    <w:rsid w:val="002E6C2B"/>
    <w:rsid w:val="002E71AC"/>
    <w:rsid w:val="002F1CA5"/>
    <w:rsid w:val="002F337C"/>
    <w:rsid w:val="002F3783"/>
    <w:rsid w:val="002F4093"/>
    <w:rsid w:val="002F454B"/>
    <w:rsid w:val="002F57C6"/>
    <w:rsid w:val="002F6786"/>
    <w:rsid w:val="002F67F2"/>
    <w:rsid w:val="002F6BF0"/>
    <w:rsid w:val="00301B75"/>
    <w:rsid w:val="00302FFB"/>
    <w:rsid w:val="003045F8"/>
    <w:rsid w:val="00306ACD"/>
    <w:rsid w:val="00310E6C"/>
    <w:rsid w:val="00313A18"/>
    <w:rsid w:val="00313EB7"/>
    <w:rsid w:val="003206D1"/>
    <w:rsid w:val="00322DAA"/>
    <w:rsid w:val="00324683"/>
    <w:rsid w:val="003354D6"/>
    <w:rsid w:val="003365D5"/>
    <w:rsid w:val="003401F9"/>
    <w:rsid w:val="0034083A"/>
    <w:rsid w:val="00350491"/>
    <w:rsid w:val="003505A1"/>
    <w:rsid w:val="0035107E"/>
    <w:rsid w:val="00351BE4"/>
    <w:rsid w:val="00352A2D"/>
    <w:rsid w:val="0035376C"/>
    <w:rsid w:val="00353A3B"/>
    <w:rsid w:val="003554AE"/>
    <w:rsid w:val="0035554B"/>
    <w:rsid w:val="00355A5A"/>
    <w:rsid w:val="0036025D"/>
    <w:rsid w:val="00361361"/>
    <w:rsid w:val="00361FD2"/>
    <w:rsid w:val="0036204A"/>
    <w:rsid w:val="00362662"/>
    <w:rsid w:val="00362C5A"/>
    <w:rsid w:val="0036610A"/>
    <w:rsid w:val="0036612C"/>
    <w:rsid w:val="00370D3C"/>
    <w:rsid w:val="00376729"/>
    <w:rsid w:val="003805C8"/>
    <w:rsid w:val="003814D6"/>
    <w:rsid w:val="00383A47"/>
    <w:rsid w:val="00384157"/>
    <w:rsid w:val="00384430"/>
    <w:rsid w:val="00384532"/>
    <w:rsid w:val="0038473B"/>
    <w:rsid w:val="00386C6B"/>
    <w:rsid w:val="003874F3"/>
    <w:rsid w:val="003904B2"/>
    <w:rsid w:val="0039201C"/>
    <w:rsid w:val="00392158"/>
    <w:rsid w:val="00392D1C"/>
    <w:rsid w:val="0039443F"/>
    <w:rsid w:val="00396A88"/>
    <w:rsid w:val="003A14BB"/>
    <w:rsid w:val="003A20F7"/>
    <w:rsid w:val="003A288C"/>
    <w:rsid w:val="003A30F1"/>
    <w:rsid w:val="003A310B"/>
    <w:rsid w:val="003A3DE2"/>
    <w:rsid w:val="003A6C7A"/>
    <w:rsid w:val="003B0DE3"/>
    <w:rsid w:val="003B3BE1"/>
    <w:rsid w:val="003B4D21"/>
    <w:rsid w:val="003B5AF5"/>
    <w:rsid w:val="003C1E58"/>
    <w:rsid w:val="003C22C9"/>
    <w:rsid w:val="003C4C87"/>
    <w:rsid w:val="003C6E42"/>
    <w:rsid w:val="003C70C4"/>
    <w:rsid w:val="003D54EA"/>
    <w:rsid w:val="003D6530"/>
    <w:rsid w:val="003D66FD"/>
    <w:rsid w:val="003D78EB"/>
    <w:rsid w:val="003E3484"/>
    <w:rsid w:val="003E4234"/>
    <w:rsid w:val="003E75B3"/>
    <w:rsid w:val="003F25A4"/>
    <w:rsid w:val="003F492E"/>
    <w:rsid w:val="003F7209"/>
    <w:rsid w:val="003F7E09"/>
    <w:rsid w:val="00404033"/>
    <w:rsid w:val="0040632A"/>
    <w:rsid w:val="004071AB"/>
    <w:rsid w:val="00407368"/>
    <w:rsid w:val="004077A1"/>
    <w:rsid w:val="00411F92"/>
    <w:rsid w:val="00412928"/>
    <w:rsid w:val="004149BD"/>
    <w:rsid w:val="00416DDC"/>
    <w:rsid w:val="004212D0"/>
    <w:rsid w:val="00425C00"/>
    <w:rsid w:val="00430AF2"/>
    <w:rsid w:val="00431B27"/>
    <w:rsid w:val="00434138"/>
    <w:rsid w:val="00441CAA"/>
    <w:rsid w:val="00441F1D"/>
    <w:rsid w:val="00441FD0"/>
    <w:rsid w:val="00442206"/>
    <w:rsid w:val="004429AC"/>
    <w:rsid w:val="00444352"/>
    <w:rsid w:val="0044699B"/>
    <w:rsid w:val="004532CC"/>
    <w:rsid w:val="00453923"/>
    <w:rsid w:val="00453A85"/>
    <w:rsid w:val="004543D6"/>
    <w:rsid w:val="00455077"/>
    <w:rsid w:val="00455AA0"/>
    <w:rsid w:val="004665E2"/>
    <w:rsid w:val="00470215"/>
    <w:rsid w:val="004712CA"/>
    <w:rsid w:val="00471771"/>
    <w:rsid w:val="00471D84"/>
    <w:rsid w:val="00472476"/>
    <w:rsid w:val="004728FF"/>
    <w:rsid w:val="0048142A"/>
    <w:rsid w:val="00482629"/>
    <w:rsid w:val="004829D8"/>
    <w:rsid w:val="00483C57"/>
    <w:rsid w:val="0048734B"/>
    <w:rsid w:val="00487B57"/>
    <w:rsid w:val="00491A27"/>
    <w:rsid w:val="004936D0"/>
    <w:rsid w:val="00494EE0"/>
    <w:rsid w:val="00496912"/>
    <w:rsid w:val="00496AFE"/>
    <w:rsid w:val="004A6024"/>
    <w:rsid w:val="004A6658"/>
    <w:rsid w:val="004A775B"/>
    <w:rsid w:val="004B0E52"/>
    <w:rsid w:val="004B1C29"/>
    <w:rsid w:val="004B21A9"/>
    <w:rsid w:val="004B77FE"/>
    <w:rsid w:val="004C10AC"/>
    <w:rsid w:val="004C1A96"/>
    <w:rsid w:val="004C5485"/>
    <w:rsid w:val="004D29CB"/>
    <w:rsid w:val="004D2C45"/>
    <w:rsid w:val="004D7D3C"/>
    <w:rsid w:val="004E0D80"/>
    <w:rsid w:val="004E0F98"/>
    <w:rsid w:val="004E2488"/>
    <w:rsid w:val="004E285C"/>
    <w:rsid w:val="004F086C"/>
    <w:rsid w:val="004F0F9B"/>
    <w:rsid w:val="004F1A05"/>
    <w:rsid w:val="004F1B35"/>
    <w:rsid w:val="004F1D99"/>
    <w:rsid w:val="004F28D6"/>
    <w:rsid w:val="004F435E"/>
    <w:rsid w:val="004F626D"/>
    <w:rsid w:val="0050137B"/>
    <w:rsid w:val="00505BFA"/>
    <w:rsid w:val="005063EE"/>
    <w:rsid w:val="0050643D"/>
    <w:rsid w:val="00507302"/>
    <w:rsid w:val="00507DDB"/>
    <w:rsid w:val="0051127A"/>
    <w:rsid w:val="0051260E"/>
    <w:rsid w:val="00514801"/>
    <w:rsid w:val="0052049F"/>
    <w:rsid w:val="0052066E"/>
    <w:rsid w:val="00520C6A"/>
    <w:rsid w:val="00525ABB"/>
    <w:rsid w:val="0053106C"/>
    <w:rsid w:val="00532DEF"/>
    <w:rsid w:val="00533EF4"/>
    <w:rsid w:val="00534980"/>
    <w:rsid w:val="00535CA6"/>
    <w:rsid w:val="00535FE5"/>
    <w:rsid w:val="005400CB"/>
    <w:rsid w:val="00540B3F"/>
    <w:rsid w:val="00541EC8"/>
    <w:rsid w:val="00544EB5"/>
    <w:rsid w:val="00544FF5"/>
    <w:rsid w:val="00546045"/>
    <w:rsid w:val="00550A1D"/>
    <w:rsid w:val="00551313"/>
    <w:rsid w:val="00553D95"/>
    <w:rsid w:val="00554859"/>
    <w:rsid w:val="0055676F"/>
    <w:rsid w:val="00561164"/>
    <w:rsid w:val="00562153"/>
    <w:rsid w:val="005638F2"/>
    <w:rsid w:val="00563A42"/>
    <w:rsid w:val="005700B9"/>
    <w:rsid w:val="00571091"/>
    <w:rsid w:val="00571645"/>
    <w:rsid w:val="00573535"/>
    <w:rsid w:val="00575D63"/>
    <w:rsid w:val="0057633F"/>
    <w:rsid w:val="005845BC"/>
    <w:rsid w:val="005879A8"/>
    <w:rsid w:val="00595614"/>
    <w:rsid w:val="00595BA3"/>
    <w:rsid w:val="005A23B2"/>
    <w:rsid w:val="005A25E8"/>
    <w:rsid w:val="005A45BA"/>
    <w:rsid w:val="005A4C61"/>
    <w:rsid w:val="005A55F6"/>
    <w:rsid w:val="005A75E0"/>
    <w:rsid w:val="005B2989"/>
    <w:rsid w:val="005B2A76"/>
    <w:rsid w:val="005B2FD6"/>
    <w:rsid w:val="005B36D9"/>
    <w:rsid w:val="005B4472"/>
    <w:rsid w:val="005B580E"/>
    <w:rsid w:val="005B5BA9"/>
    <w:rsid w:val="005B7BE7"/>
    <w:rsid w:val="005C01B3"/>
    <w:rsid w:val="005C20E1"/>
    <w:rsid w:val="005C2B23"/>
    <w:rsid w:val="005C50D5"/>
    <w:rsid w:val="005C5D16"/>
    <w:rsid w:val="005C5E98"/>
    <w:rsid w:val="005C7798"/>
    <w:rsid w:val="005D0A1A"/>
    <w:rsid w:val="005D326A"/>
    <w:rsid w:val="005D5842"/>
    <w:rsid w:val="005D5C0F"/>
    <w:rsid w:val="005D7109"/>
    <w:rsid w:val="005E6B5C"/>
    <w:rsid w:val="005E6F81"/>
    <w:rsid w:val="005E7505"/>
    <w:rsid w:val="005F15D2"/>
    <w:rsid w:val="005F2413"/>
    <w:rsid w:val="005F257F"/>
    <w:rsid w:val="005F33EC"/>
    <w:rsid w:val="005F3D43"/>
    <w:rsid w:val="005F4422"/>
    <w:rsid w:val="005F7E43"/>
    <w:rsid w:val="00603BCE"/>
    <w:rsid w:val="006106C1"/>
    <w:rsid w:val="0061167A"/>
    <w:rsid w:val="00611A99"/>
    <w:rsid w:val="006136D7"/>
    <w:rsid w:val="0061539B"/>
    <w:rsid w:val="006203ED"/>
    <w:rsid w:val="00621251"/>
    <w:rsid w:val="00626903"/>
    <w:rsid w:val="00631257"/>
    <w:rsid w:val="00633C2F"/>
    <w:rsid w:val="006356A0"/>
    <w:rsid w:val="00636022"/>
    <w:rsid w:val="006405DA"/>
    <w:rsid w:val="00645E32"/>
    <w:rsid w:val="0064630E"/>
    <w:rsid w:val="00650C7B"/>
    <w:rsid w:val="0065127C"/>
    <w:rsid w:val="006531A1"/>
    <w:rsid w:val="00653A72"/>
    <w:rsid w:val="00653F8F"/>
    <w:rsid w:val="00655F5F"/>
    <w:rsid w:val="00656955"/>
    <w:rsid w:val="00657E0D"/>
    <w:rsid w:val="0066022C"/>
    <w:rsid w:val="00662397"/>
    <w:rsid w:val="00662ADF"/>
    <w:rsid w:val="00662F23"/>
    <w:rsid w:val="0066366E"/>
    <w:rsid w:val="00663E87"/>
    <w:rsid w:val="00664D68"/>
    <w:rsid w:val="00667532"/>
    <w:rsid w:val="00667ADC"/>
    <w:rsid w:val="00670C94"/>
    <w:rsid w:val="006729B8"/>
    <w:rsid w:val="00675E29"/>
    <w:rsid w:val="00680849"/>
    <w:rsid w:val="006823FB"/>
    <w:rsid w:val="00683EAB"/>
    <w:rsid w:val="006867E8"/>
    <w:rsid w:val="00687F75"/>
    <w:rsid w:val="006904F4"/>
    <w:rsid w:val="00690711"/>
    <w:rsid w:val="00690C8A"/>
    <w:rsid w:val="0069131B"/>
    <w:rsid w:val="0069297E"/>
    <w:rsid w:val="00695C68"/>
    <w:rsid w:val="00696914"/>
    <w:rsid w:val="00696ED4"/>
    <w:rsid w:val="006B14AC"/>
    <w:rsid w:val="006B1DB9"/>
    <w:rsid w:val="006B376C"/>
    <w:rsid w:val="006B5225"/>
    <w:rsid w:val="006B667D"/>
    <w:rsid w:val="006C1175"/>
    <w:rsid w:val="006C126A"/>
    <w:rsid w:val="006C2C58"/>
    <w:rsid w:val="006C3C91"/>
    <w:rsid w:val="006C4EDC"/>
    <w:rsid w:val="006C5235"/>
    <w:rsid w:val="006C7268"/>
    <w:rsid w:val="006D3F96"/>
    <w:rsid w:val="006D7010"/>
    <w:rsid w:val="006D7EDC"/>
    <w:rsid w:val="006E0E6A"/>
    <w:rsid w:val="006E3FB3"/>
    <w:rsid w:val="006E4175"/>
    <w:rsid w:val="006E5B9C"/>
    <w:rsid w:val="006E5DF3"/>
    <w:rsid w:val="006E63A6"/>
    <w:rsid w:val="006E7AB1"/>
    <w:rsid w:val="006F3F8B"/>
    <w:rsid w:val="006F40CC"/>
    <w:rsid w:val="006F4DA1"/>
    <w:rsid w:val="006F4E28"/>
    <w:rsid w:val="006F4ED6"/>
    <w:rsid w:val="006F57A7"/>
    <w:rsid w:val="006F5955"/>
    <w:rsid w:val="006F7DED"/>
    <w:rsid w:val="007003F3"/>
    <w:rsid w:val="007021CF"/>
    <w:rsid w:val="0070417D"/>
    <w:rsid w:val="00704266"/>
    <w:rsid w:val="0070646B"/>
    <w:rsid w:val="00706B4E"/>
    <w:rsid w:val="007070A2"/>
    <w:rsid w:val="00707508"/>
    <w:rsid w:val="0071041B"/>
    <w:rsid w:val="00711A75"/>
    <w:rsid w:val="00713EA1"/>
    <w:rsid w:val="00715A53"/>
    <w:rsid w:val="00716808"/>
    <w:rsid w:val="00716A56"/>
    <w:rsid w:val="00716E57"/>
    <w:rsid w:val="00722452"/>
    <w:rsid w:val="007254AE"/>
    <w:rsid w:val="00726611"/>
    <w:rsid w:val="007273E5"/>
    <w:rsid w:val="00730053"/>
    <w:rsid w:val="00732DFB"/>
    <w:rsid w:val="00735204"/>
    <w:rsid w:val="00740EAB"/>
    <w:rsid w:val="007416E7"/>
    <w:rsid w:val="007434AF"/>
    <w:rsid w:val="0074442F"/>
    <w:rsid w:val="007456AF"/>
    <w:rsid w:val="0075097F"/>
    <w:rsid w:val="00751119"/>
    <w:rsid w:val="007531C7"/>
    <w:rsid w:val="00756B15"/>
    <w:rsid w:val="0075761F"/>
    <w:rsid w:val="00760F54"/>
    <w:rsid w:val="00762D12"/>
    <w:rsid w:val="00763CA2"/>
    <w:rsid w:val="00763DDB"/>
    <w:rsid w:val="00763F54"/>
    <w:rsid w:val="00764528"/>
    <w:rsid w:val="00764DA1"/>
    <w:rsid w:val="007652F1"/>
    <w:rsid w:val="00767E34"/>
    <w:rsid w:val="00770042"/>
    <w:rsid w:val="00773529"/>
    <w:rsid w:val="00783C17"/>
    <w:rsid w:val="0078490D"/>
    <w:rsid w:val="00785914"/>
    <w:rsid w:val="0078698D"/>
    <w:rsid w:val="00786CCC"/>
    <w:rsid w:val="007922A9"/>
    <w:rsid w:val="00792609"/>
    <w:rsid w:val="00792E16"/>
    <w:rsid w:val="0079444F"/>
    <w:rsid w:val="00796D8D"/>
    <w:rsid w:val="00796E32"/>
    <w:rsid w:val="00796FA2"/>
    <w:rsid w:val="0079799F"/>
    <w:rsid w:val="007A172C"/>
    <w:rsid w:val="007A2800"/>
    <w:rsid w:val="007A29D6"/>
    <w:rsid w:val="007A2D23"/>
    <w:rsid w:val="007A648B"/>
    <w:rsid w:val="007A7D68"/>
    <w:rsid w:val="007B15CF"/>
    <w:rsid w:val="007B1856"/>
    <w:rsid w:val="007B2E33"/>
    <w:rsid w:val="007B3766"/>
    <w:rsid w:val="007B50F1"/>
    <w:rsid w:val="007B57A6"/>
    <w:rsid w:val="007B5840"/>
    <w:rsid w:val="007B76DF"/>
    <w:rsid w:val="007B799A"/>
    <w:rsid w:val="007C79C0"/>
    <w:rsid w:val="007D2D3A"/>
    <w:rsid w:val="007D6616"/>
    <w:rsid w:val="007E0127"/>
    <w:rsid w:val="007E1059"/>
    <w:rsid w:val="007E2D8C"/>
    <w:rsid w:val="007E3950"/>
    <w:rsid w:val="007E3FD6"/>
    <w:rsid w:val="007E7AD1"/>
    <w:rsid w:val="007F02EC"/>
    <w:rsid w:val="007F6390"/>
    <w:rsid w:val="00804BDB"/>
    <w:rsid w:val="00807CB6"/>
    <w:rsid w:val="00811AED"/>
    <w:rsid w:val="00812A90"/>
    <w:rsid w:val="0081540F"/>
    <w:rsid w:val="00815B99"/>
    <w:rsid w:val="00817C5E"/>
    <w:rsid w:val="00822551"/>
    <w:rsid w:val="008228DE"/>
    <w:rsid w:val="00822BF5"/>
    <w:rsid w:val="00826A88"/>
    <w:rsid w:val="008277A2"/>
    <w:rsid w:val="00832E10"/>
    <w:rsid w:val="008338E2"/>
    <w:rsid w:val="00835FCC"/>
    <w:rsid w:val="00836852"/>
    <w:rsid w:val="0084025A"/>
    <w:rsid w:val="00841BAF"/>
    <w:rsid w:val="008425F6"/>
    <w:rsid w:val="0084318A"/>
    <w:rsid w:val="00844105"/>
    <w:rsid w:val="008451D2"/>
    <w:rsid w:val="008452E1"/>
    <w:rsid w:val="00845661"/>
    <w:rsid w:val="008463A0"/>
    <w:rsid w:val="008478CB"/>
    <w:rsid w:val="00850A95"/>
    <w:rsid w:val="008572EB"/>
    <w:rsid w:val="00857D5E"/>
    <w:rsid w:val="00862D12"/>
    <w:rsid w:val="008644F5"/>
    <w:rsid w:val="00864DDE"/>
    <w:rsid w:val="00866303"/>
    <w:rsid w:val="00866733"/>
    <w:rsid w:val="0086799C"/>
    <w:rsid w:val="00867D4F"/>
    <w:rsid w:val="00872C80"/>
    <w:rsid w:val="0087436E"/>
    <w:rsid w:val="008753B2"/>
    <w:rsid w:val="00877F1F"/>
    <w:rsid w:val="00880672"/>
    <w:rsid w:val="008813F0"/>
    <w:rsid w:val="008829F9"/>
    <w:rsid w:val="00882B36"/>
    <w:rsid w:val="00883F55"/>
    <w:rsid w:val="00886255"/>
    <w:rsid w:val="00890B72"/>
    <w:rsid w:val="00895581"/>
    <w:rsid w:val="0089600D"/>
    <w:rsid w:val="008A1D90"/>
    <w:rsid w:val="008A2A9B"/>
    <w:rsid w:val="008A3BF9"/>
    <w:rsid w:val="008B04AF"/>
    <w:rsid w:val="008B1D09"/>
    <w:rsid w:val="008B71D3"/>
    <w:rsid w:val="008B76A0"/>
    <w:rsid w:val="008B7850"/>
    <w:rsid w:val="008C60E9"/>
    <w:rsid w:val="008C69C6"/>
    <w:rsid w:val="008D1E52"/>
    <w:rsid w:val="008D271B"/>
    <w:rsid w:val="008D6410"/>
    <w:rsid w:val="008D6882"/>
    <w:rsid w:val="008D7A7E"/>
    <w:rsid w:val="008D7EEC"/>
    <w:rsid w:val="008E3C33"/>
    <w:rsid w:val="008E3E88"/>
    <w:rsid w:val="008E4463"/>
    <w:rsid w:val="008E566F"/>
    <w:rsid w:val="008E685D"/>
    <w:rsid w:val="008F026D"/>
    <w:rsid w:val="008F098B"/>
    <w:rsid w:val="008F1B0E"/>
    <w:rsid w:val="008F4EC2"/>
    <w:rsid w:val="008F7D78"/>
    <w:rsid w:val="008F7E6E"/>
    <w:rsid w:val="00900906"/>
    <w:rsid w:val="00903023"/>
    <w:rsid w:val="00904D27"/>
    <w:rsid w:val="00914C2E"/>
    <w:rsid w:val="00915F20"/>
    <w:rsid w:val="00920BEC"/>
    <w:rsid w:val="00924701"/>
    <w:rsid w:val="00926D9F"/>
    <w:rsid w:val="00933124"/>
    <w:rsid w:val="0093482B"/>
    <w:rsid w:val="009350C5"/>
    <w:rsid w:val="009358E4"/>
    <w:rsid w:val="0094065E"/>
    <w:rsid w:val="00950D82"/>
    <w:rsid w:val="00950DF2"/>
    <w:rsid w:val="00951C9B"/>
    <w:rsid w:val="00951E8D"/>
    <w:rsid w:val="009557D1"/>
    <w:rsid w:val="009559E1"/>
    <w:rsid w:val="0095693B"/>
    <w:rsid w:val="00957AB6"/>
    <w:rsid w:val="00957E92"/>
    <w:rsid w:val="00960154"/>
    <w:rsid w:val="0096051C"/>
    <w:rsid w:val="00961EB9"/>
    <w:rsid w:val="009632FC"/>
    <w:rsid w:val="009662CB"/>
    <w:rsid w:val="00966444"/>
    <w:rsid w:val="00966922"/>
    <w:rsid w:val="00972033"/>
    <w:rsid w:val="00977B52"/>
    <w:rsid w:val="00980DF3"/>
    <w:rsid w:val="00981403"/>
    <w:rsid w:val="00983910"/>
    <w:rsid w:val="00983AD4"/>
    <w:rsid w:val="00990BB1"/>
    <w:rsid w:val="00992C36"/>
    <w:rsid w:val="00992C3D"/>
    <w:rsid w:val="0099649E"/>
    <w:rsid w:val="009A0C4A"/>
    <w:rsid w:val="009A0ECC"/>
    <w:rsid w:val="009A1832"/>
    <w:rsid w:val="009A4EDC"/>
    <w:rsid w:val="009B0108"/>
    <w:rsid w:val="009B6666"/>
    <w:rsid w:val="009C03C6"/>
    <w:rsid w:val="009C1F13"/>
    <w:rsid w:val="009C5B29"/>
    <w:rsid w:val="009C7712"/>
    <w:rsid w:val="009D0793"/>
    <w:rsid w:val="009D3EE9"/>
    <w:rsid w:val="009D4B80"/>
    <w:rsid w:val="009D4DE5"/>
    <w:rsid w:val="009F0550"/>
    <w:rsid w:val="009F0EB5"/>
    <w:rsid w:val="009F1891"/>
    <w:rsid w:val="009F2623"/>
    <w:rsid w:val="009F3A7D"/>
    <w:rsid w:val="009F70AC"/>
    <w:rsid w:val="00A00C8C"/>
    <w:rsid w:val="00A035F7"/>
    <w:rsid w:val="00A03EE0"/>
    <w:rsid w:val="00A06697"/>
    <w:rsid w:val="00A06F1B"/>
    <w:rsid w:val="00A1123A"/>
    <w:rsid w:val="00A12083"/>
    <w:rsid w:val="00A12713"/>
    <w:rsid w:val="00A13A86"/>
    <w:rsid w:val="00A1432B"/>
    <w:rsid w:val="00A16DCD"/>
    <w:rsid w:val="00A2058A"/>
    <w:rsid w:val="00A20F20"/>
    <w:rsid w:val="00A21BA3"/>
    <w:rsid w:val="00A2334F"/>
    <w:rsid w:val="00A23D41"/>
    <w:rsid w:val="00A27AA3"/>
    <w:rsid w:val="00A3047F"/>
    <w:rsid w:val="00A42BFF"/>
    <w:rsid w:val="00A43183"/>
    <w:rsid w:val="00A45AE4"/>
    <w:rsid w:val="00A46DC6"/>
    <w:rsid w:val="00A4739F"/>
    <w:rsid w:val="00A556BF"/>
    <w:rsid w:val="00A56128"/>
    <w:rsid w:val="00A561C9"/>
    <w:rsid w:val="00A616AF"/>
    <w:rsid w:val="00A621D1"/>
    <w:rsid w:val="00A631F3"/>
    <w:rsid w:val="00A6595C"/>
    <w:rsid w:val="00A65DC1"/>
    <w:rsid w:val="00A66150"/>
    <w:rsid w:val="00A66332"/>
    <w:rsid w:val="00A66DB6"/>
    <w:rsid w:val="00A71B60"/>
    <w:rsid w:val="00A8119F"/>
    <w:rsid w:val="00A83229"/>
    <w:rsid w:val="00A84D74"/>
    <w:rsid w:val="00A84E1A"/>
    <w:rsid w:val="00A8649B"/>
    <w:rsid w:val="00A87461"/>
    <w:rsid w:val="00A92CF9"/>
    <w:rsid w:val="00A93208"/>
    <w:rsid w:val="00A96F81"/>
    <w:rsid w:val="00AA148B"/>
    <w:rsid w:val="00AA1A9C"/>
    <w:rsid w:val="00AA1C2F"/>
    <w:rsid w:val="00AA526A"/>
    <w:rsid w:val="00AA64AB"/>
    <w:rsid w:val="00AA79CE"/>
    <w:rsid w:val="00AB2933"/>
    <w:rsid w:val="00AB63FF"/>
    <w:rsid w:val="00AB6FB7"/>
    <w:rsid w:val="00AC1D78"/>
    <w:rsid w:val="00AC2B41"/>
    <w:rsid w:val="00AC423D"/>
    <w:rsid w:val="00AC4A12"/>
    <w:rsid w:val="00AC5D95"/>
    <w:rsid w:val="00AD5249"/>
    <w:rsid w:val="00AD683C"/>
    <w:rsid w:val="00AE491E"/>
    <w:rsid w:val="00AE52E2"/>
    <w:rsid w:val="00AF0C6E"/>
    <w:rsid w:val="00AF1036"/>
    <w:rsid w:val="00AF44D4"/>
    <w:rsid w:val="00AF4CF5"/>
    <w:rsid w:val="00B01091"/>
    <w:rsid w:val="00B03EFC"/>
    <w:rsid w:val="00B07566"/>
    <w:rsid w:val="00B11040"/>
    <w:rsid w:val="00B110C9"/>
    <w:rsid w:val="00B11483"/>
    <w:rsid w:val="00B13408"/>
    <w:rsid w:val="00B14705"/>
    <w:rsid w:val="00B16B5E"/>
    <w:rsid w:val="00B17831"/>
    <w:rsid w:val="00B17A37"/>
    <w:rsid w:val="00B20236"/>
    <w:rsid w:val="00B214E9"/>
    <w:rsid w:val="00B22B62"/>
    <w:rsid w:val="00B23172"/>
    <w:rsid w:val="00B23695"/>
    <w:rsid w:val="00B274F7"/>
    <w:rsid w:val="00B32559"/>
    <w:rsid w:val="00B340D0"/>
    <w:rsid w:val="00B34D63"/>
    <w:rsid w:val="00B35A30"/>
    <w:rsid w:val="00B366F6"/>
    <w:rsid w:val="00B430ED"/>
    <w:rsid w:val="00B448FE"/>
    <w:rsid w:val="00B457DD"/>
    <w:rsid w:val="00B50334"/>
    <w:rsid w:val="00B53398"/>
    <w:rsid w:val="00B53AC2"/>
    <w:rsid w:val="00B57AB0"/>
    <w:rsid w:val="00B617BF"/>
    <w:rsid w:val="00B67B4E"/>
    <w:rsid w:val="00B71A2F"/>
    <w:rsid w:val="00B7365B"/>
    <w:rsid w:val="00B75B3B"/>
    <w:rsid w:val="00B802B4"/>
    <w:rsid w:val="00B822A4"/>
    <w:rsid w:val="00B83DEE"/>
    <w:rsid w:val="00B83ED6"/>
    <w:rsid w:val="00B860AB"/>
    <w:rsid w:val="00B86270"/>
    <w:rsid w:val="00B8627E"/>
    <w:rsid w:val="00B907B5"/>
    <w:rsid w:val="00B911BE"/>
    <w:rsid w:val="00B92186"/>
    <w:rsid w:val="00BA2456"/>
    <w:rsid w:val="00BA407C"/>
    <w:rsid w:val="00BA478D"/>
    <w:rsid w:val="00BA4FCB"/>
    <w:rsid w:val="00BA7236"/>
    <w:rsid w:val="00BB1117"/>
    <w:rsid w:val="00BB2503"/>
    <w:rsid w:val="00BB27A9"/>
    <w:rsid w:val="00BB2931"/>
    <w:rsid w:val="00BB3675"/>
    <w:rsid w:val="00BB736B"/>
    <w:rsid w:val="00BB78D0"/>
    <w:rsid w:val="00BC0681"/>
    <w:rsid w:val="00BC1449"/>
    <w:rsid w:val="00BC1A8A"/>
    <w:rsid w:val="00BC3748"/>
    <w:rsid w:val="00BC38B7"/>
    <w:rsid w:val="00BC6F10"/>
    <w:rsid w:val="00BC7924"/>
    <w:rsid w:val="00BD1808"/>
    <w:rsid w:val="00BD6EF9"/>
    <w:rsid w:val="00BE2963"/>
    <w:rsid w:val="00BE5A4E"/>
    <w:rsid w:val="00BF735D"/>
    <w:rsid w:val="00C0259E"/>
    <w:rsid w:val="00C12867"/>
    <w:rsid w:val="00C12ECE"/>
    <w:rsid w:val="00C15619"/>
    <w:rsid w:val="00C15C92"/>
    <w:rsid w:val="00C15FBF"/>
    <w:rsid w:val="00C16F19"/>
    <w:rsid w:val="00C2092A"/>
    <w:rsid w:val="00C22AA3"/>
    <w:rsid w:val="00C252BD"/>
    <w:rsid w:val="00C25473"/>
    <w:rsid w:val="00C32F73"/>
    <w:rsid w:val="00C344BF"/>
    <w:rsid w:val="00C352A6"/>
    <w:rsid w:val="00C35A56"/>
    <w:rsid w:val="00C37EBD"/>
    <w:rsid w:val="00C4028C"/>
    <w:rsid w:val="00C41003"/>
    <w:rsid w:val="00C41EC5"/>
    <w:rsid w:val="00C44E24"/>
    <w:rsid w:val="00C46E70"/>
    <w:rsid w:val="00C50C8E"/>
    <w:rsid w:val="00C5257A"/>
    <w:rsid w:val="00C64195"/>
    <w:rsid w:val="00C6422E"/>
    <w:rsid w:val="00C64A00"/>
    <w:rsid w:val="00C65411"/>
    <w:rsid w:val="00C655D3"/>
    <w:rsid w:val="00C65623"/>
    <w:rsid w:val="00C675B0"/>
    <w:rsid w:val="00C7096A"/>
    <w:rsid w:val="00C7154F"/>
    <w:rsid w:val="00C73FC3"/>
    <w:rsid w:val="00C74EA1"/>
    <w:rsid w:val="00C75874"/>
    <w:rsid w:val="00C763CC"/>
    <w:rsid w:val="00C772B7"/>
    <w:rsid w:val="00C77939"/>
    <w:rsid w:val="00C80A7E"/>
    <w:rsid w:val="00C82246"/>
    <w:rsid w:val="00C9029B"/>
    <w:rsid w:val="00C90CEC"/>
    <w:rsid w:val="00C9104E"/>
    <w:rsid w:val="00C93024"/>
    <w:rsid w:val="00C940DE"/>
    <w:rsid w:val="00CA0A87"/>
    <w:rsid w:val="00CA1019"/>
    <w:rsid w:val="00CA1C73"/>
    <w:rsid w:val="00CA1D67"/>
    <w:rsid w:val="00CA20B7"/>
    <w:rsid w:val="00CA4903"/>
    <w:rsid w:val="00CA5683"/>
    <w:rsid w:val="00CA5E4D"/>
    <w:rsid w:val="00CA64E8"/>
    <w:rsid w:val="00CB0B90"/>
    <w:rsid w:val="00CB2EEC"/>
    <w:rsid w:val="00CB604B"/>
    <w:rsid w:val="00CB627B"/>
    <w:rsid w:val="00CB6E8E"/>
    <w:rsid w:val="00CB6FDC"/>
    <w:rsid w:val="00CB791D"/>
    <w:rsid w:val="00CB7BD8"/>
    <w:rsid w:val="00CC12F1"/>
    <w:rsid w:val="00CC460D"/>
    <w:rsid w:val="00CC4EEF"/>
    <w:rsid w:val="00CC5ECD"/>
    <w:rsid w:val="00CD1A46"/>
    <w:rsid w:val="00CD1E4D"/>
    <w:rsid w:val="00CD294D"/>
    <w:rsid w:val="00CD3CDE"/>
    <w:rsid w:val="00CD4240"/>
    <w:rsid w:val="00CD4DDF"/>
    <w:rsid w:val="00CD77DA"/>
    <w:rsid w:val="00CE082D"/>
    <w:rsid w:val="00CE1089"/>
    <w:rsid w:val="00CE268A"/>
    <w:rsid w:val="00CE27B9"/>
    <w:rsid w:val="00CE3AB5"/>
    <w:rsid w:val="00CE4E0F"/>
    <w:rsid w:val="00CF16DB"/>
    <w:rsid w:val="00CF272E"/>
    <w:rsid w:val="00D00978"/>
    <w:rsid w:val="00D04562"/>
    <w:rsid w:val="00D0612D"/>
    <w:rsid w:val="00D07049"/>
    <w:rsid w:val="00D13B8C"/>
    <w:rsid w:val="00D14742"/>
    <w:rsid w:val="00D2396B"/>
    <w:rsid w:val="00D242D0"/>
    <w:rsid w:val="00D25228"/>
    <w:rsid w:val="00D30243"/>
    <w:rsid w:val="00D31C0A"/>
    <w:rsid w:val="00D31FF8"/>
    <w:rsid w:val="00D324D0"/>
    <w:rsid w:val="00D32A83"/>
    <w:rsid w:val="00D412D9"/>
    <w:rsid w:val="00D45F42"/>
    <w:rsid w:val="00D46AEC"/>
    <w:rsid w:val="00D46C49"/>
    <w:rsid w:val="00D47A6C"/>
    <w:rsid w:val="00D50523"/>
    <w:rsid w:val="00D50E91"/>
    <w:rsid w:val="00D5199F"/>
    <w:rsid w:val="00D51C55"/>
    <w:rsid w:val="00D51C5F"/>
    <w:rsid w:val="00D543EC"/>
    <w:rsid w:val="00D55C71"/>
    <w:rsid w:val="00D56673"/>
    <w:rsid w:val="00D60632"/>
    <w:rsid w:val="00D60A6D"/>
    <w:rsid w:val="00D61B2B"/>
    <w:rsid w:val="00D67D73"/>
    <w:rsid w:val="00D70BF5"/>
    <w:rsid w:val="00D714E4"/>
    <w:rsid w:val="00D72A08"/>
    <w:rsid w:val="00D72E5C"/>
    <w:rsid w:val="00D74E5D"/>
    <w:rsid w:val="00D77279"/>
    <w:rsid w:val="00D8091A"/>
    <w:rsid w:val="00D8441C"/>
    <w:rsid w:val="00D84C55"/>
    <w:rsid w:val="00D86D7B"/>
    <w:rsid w:val="00D96610"/>
    <w:rsid w:val="00D97A78"/>
    <w:rsid w:val="00D97C1F"/>
    <w:rsid w:val="00DA1A73"/>
    <w:rsid w:val="00DA3E04"/>
    <w:rsid w:val="00DA4205"/>
    <w:rsid w:val="00DA67A1"/>
    <w:rsid w:val="00DB01D7"/>
    <w:rsid w:val="00DB1955"/>
    <w:rsid w:val="00DB2313"/>
    <w:rsid w:val="00DB6081"/>
    <w:rsid w:val="00DC0B68"/>
    <w:rsid w:val="00DC1BA4"/>
    <w:rsid w:val="00DC1FAF"/>
    <w:rsid w:val="00DC2ADB"/>
    <w:rsid w:val="00DC2CBC"/>
    <w:rsid w:val="00DC3924"/>
    <w:rsid w:val="00DC3C6D"/>
    <w:rsid w:val="00DC60D8"/>
    <w:rsid w:val="00DC61C0"/>
    <w:rsid w:val="00DC75C4"/>
    <w:rsid w:val="00DD0C2C"/>
    <w:rsid w:val="00DD0C87"/>
    <w:rsid w:val="00DD23D3"/>
    <w:rsid w:val="00DD3527"/>
    <w:rsid w:val="00DD4901"/>
    <w:rsid w:val="00DE1F2D"/>
    <w:rsid w:val="00DE52EF"/>
    <w:rsid w:val="00DE538D"/>
    <w:rsid w:val="00DE56AB"/>
    <w:rsid w:val="00DF00BF"/>
    <w:rsid w:val="00DF18AC"/>
    <w:rsid w:val="00DF240F"/>
    <w:rsid w:val="00DF2E91"/>
    <w:rsid w:val="00DF50CF"/>
    <w:rsid w:val="00DF544A"/>
    <w:rsid w:val="00E00D3E"/>
    <w:rsid w:val="00E012B4"/>
    <w:rsid w:val="00E032FA"/>
    <w:rsid w:val="00E03D6D"/>
    <w:rsid w:val="00E0693D"/>
    <w:rsid w:val="00E0715E"/>
    <w:rsid w:val="00E07E52"/>
    <w:rsid w:val="00E155AB"/>
    <w:rsid w:val="00E20FBF"/>
    <w:rsid w:val="00E21109"/>
    <w:rsid w:val="00E21342"/>
    <w:rsid w:val="00E23CA6"/>
    <w:rsid w:val="00E23F60"/>
    <w:rsid w:val="00E246D4"/>
    <w:rsid w:val="00E250E2"/>
    <w:rsid w:val="00E25F2C"/>
    <w:rsid w:val="00E26ADA"/>
    <w:rsid w:val="00E31364"/>
    <w:rsid w:val="00E36773"/>
    <w:rsid w:val="00E403E0"/>
    <w:rsid w:val="00E40455"/>
    <w:rsid w:val="00E416C8"/>
    <w:rsid w:val="00E4560B"/>
    <w:rsid w:val="00E50FF6"/>
    <w:rsid w:val="00E54043"/>
    <w:rsid w:val="00E54696"/>
    <w:rsid w:val="00E558DF"/>
    <w:rsid w:val="00E56E4B"/>
    <w:rsid w:val="00E5708B"/>
    <w:rsid w:val="00E57B74"/>
    <w:rsid w:val="00E6088C"/>
    <w:rsid w:val="00E614EB"/>
    <w:rsid w:val="00E6283F"/>
    <w:rsid w:val="00E63C5E"/>
    <w:rsid w:val="00E6510B"/>
    <w:rsid w:val="00E65DDB"/>
    <w:rsid w:val="00E67247"/>
    <w:rsid w:val="00E67A27"/>
    <w:rsid w:val="00E70D54"/>
    <w:rsid w:val="00E718A5"/>
    <w:rsid w:val="00E71BB9"/>
    <w:rsid w:val="00E71E4A"/>
    <w:rsid w:val="00E72289"/>
    <w:rsid w:val="00E77D1E"/>
    <w:rsid w:val="00E83C21"/>
    <w:rsid w:val="00E849A7"/>
    <w:rsid w:val="00E8629F"/>
    <w:rsid w:val="00E86ECA"/>
    <w:rsid w:val="00E9130D"/>
    <w:rsid w:val="00E931B8"/>
    <w:rsid w:val="00E9421A"/>
    <w:rsid w:val="00E95AD8"/>
    <w:rsid w:val="00E96523"/>
    <w:rsid w:val="00EA2F26"/>
    <w:rsid w:val="00EA3C24"/>
    <w:rsid w:val="00EA7BDC"/>
    <w:rsid w:val="00EB1A47"/>
    <w:rsid w:val="00EB2898"/>
    <w:rsid w:val="00EB793D"/>
    <w:rsid w:val="00EC0619"/>
    <w:rsid w:val="00EC06BF"/>
    <w:rsid w:val="00EC0C6C"/>
    <w:rsid w:val="00EC39B1"/>
    <w:rsid w:val="00EC408B"/>
    <w:rsid w:val="00EC48AE"/>
    <w:rsid w:val="00ED2595"/>
    <w:rsid w:val="00ED57AA"/>
    <w:rsid w:val="00ED7603"/>
    <w:rsid w:val="00EE4A73"/>
    <w:rsid w:val="00EE5CBF"/>
    <w:rsid w:val="00EE6583"/>
    <w:rsid w:val="00EE79CC"/>
    <w:rsid w:val="00EF0D02"/>
    <w:rsid w:val="00EF1A3C"/>
    <w:rsid w:val="00EF39D1"/>
    <w:rsid w:val="00EF477F"/>
    <w:rsid w:val="00EF4A19"/>
    <w:rsid w:val="00EF5870"/>
    <w:rsid w:val="00EF59F2"/>
    <w:rsid w:val="00F0241C"/>
    <w:rsid w:val="00F049A7"/>
    <w:rsid w:val="00F114F1"/>
    <w:rsid w:val="00F1375E"/>
    <w:rsid w:val="00F13D4B"/>
    <w:rsid w:val="00F1458D"/>
    <w:rsid w:val="00F15342"/>
    <w:rsid w:val="00F15832"/>
    <w:rsid w:val="00F15D6B"/>
    <w:rsid w:val="00F16A88"/>
    <w:rsid w:val="00F1745E"/>
    <w:rsid w:val="00F22726"/>
    <w:rsid w:val="00F2411B"/>
    <w:rsid w:val="00F26129"/>
    <w:rsid w:val="00F33072"/>
    <w:rsid w:val="00F3551D"/>
    <w:rsid w:val="00F36A5F"/>
    <w:rsid w:val="00F414EE"/>
    <w:rsid w:val="00F427BE"/>
    <w:rsid w:val="00F429D0"/>
    <w:rsid w:val="00F43946"/>
    <w:rsid w:val="00F474B8"/>
    <w:rsid w:val="00F47A3F"/>
    <w:rsid w:val="00F50678"/>
    <w:rsid w:val="00F507BD"/>
    <w:rsid w:val="00F50E1D"/>
    <w:rsid w:val="00F51C68"/>
    <w:rsid w:val="00F53355"/>
    <w:rsid w:val="00F53FEF"/>
    <w:rsid w:val="00F62C4A"/>
    <w:rsid w:val="00F62FEB"/>
    <w:rsid w:val="00F64F7F"/>
    <w:rsid w:val="00F65C90"/>
    <w:rsid w:val="00F66836"/>
    <w:rsid w:val="00F679A8"/>
    <w:rsid w:val="00F7051B"/>
    <w:rsid w:val="00F7138E"/>
    <w:rsid w:val="00F73C9B"/>
    <w:rsid w:val="00F73CBF"/>
    <w:rsid w:val="00F740DE"/>
    <w:rsid w:val="00F7452E"/>
    <w:rsid w:val="00F7677D"/>
    <w:rsid w:val="00F7745D"/>
    <w:rsid w:val="00F777B8"/>
    <w:rsid w:val="00F81A67"/>
    <w:rsid w:val="00F82400"/>
    <w:rsid w:val="00F830BA"/>
    <w:rsid w:val="00F90675"/>
    <w:rsid w:val="00F926A4"/>
    <w:rsid w:val="00F93901"/>
    <w:rsid w:val="00FA0C79"/>
    <w:rsid w:val="00FA27C1"/>
    <w:rsid w:val="00FA36C1"/>
    <w:rsid w:val="00FA3DCE"/>
    <w:rsid w:val="00FA4297"/>
    <w:rsid w:val="00FA748A"/>
    <w:rsid w:val="00FB21A2"/>
    <w:rsid w:val="00FB2B91"/>
    <w:rsid w:val="00FB3146"/>
    <w:rsid w:val="00FB5ACA"/>
    <w:rsid w:val="00FB6EAE"/>
    <w:rsid w:val="00FB7655"/>
    <w:rsid w:val="00FC1681"/>
    <w:rsid w:val="00FC1759"/>
    <w:rsid w:val="00FC3351"/>
    <w:rsid w:val="00FC5539"/>
    <w:rsid w:val="00FD64C1"/>
    <w:rsid w:val="00FD72F6"/>
    <w:rsid w:val="00FD7BD0"/>
    <w:rsid w:val="00FE050F"/>
    <w:rsid w:val="00FE339F"/>
    <w:rsid w:val="00FE5C3D"/>
    <w:rsid w:val="00FF01FD"/>
    <w:rsid w:val="00FF5CB0"/>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Strong"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0F98"/>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96F81"/>
    <w:rPr>
      <w:rFonts w:ascii="Arial" w:hAnsi="Arial"/>
      <w:sz w:val="36"/>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A96F81"/>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96F81"/>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A96F81"/>
    <w:rPr>
      <w:rFonts w:ascii="Arial" w:hAnsi="Arial"/>
      <w:sz w:val="18"/>
      <w:lang w:val="en-GB" w:eastAsia="en-US" w:bidi="ar-SA"/>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A96F81"/>
    <w:rPr>
      <w:lang w:val="en-GB" w:eastAsia="en-US" w:bidi="ar-SA"/>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96F81"/>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3GPP Caption Table"/>
    <w:basedOn w:val="Normal"/>
    <w:next w:val="Normal"/>
    <w:link w:val="CaptionChar"/>
    <w:uiPriority w:val="99"/>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A96F81"/>
    <w:rPr>
      <w:i/>
      <w:color w:val="0000FF"/>
      <w:lang w:val="en-GB" w:eastAsia="en-US" w:bidi="ar-SA"/>
    </w:rPr>
  </w:style>
  <w:style w:type="paragraph" w:styleId="CommentText">
    <w:name w:val="annotation text"/>
    <w:basedOn w:val="Normal"/>
    <w:semiHidden/>
  </w:style>
  <w:style w:type="table" w:styleId="TableGrid">
    <w:name w:val="Table Grid"/>
    <w:basedOn w:val="TableNormal"/>
    <w:uiPriority w:val="59"/>
    <w:rsid w:val="00A96F81"/>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96F81"/>
  </w:style>
  <w:style w:type="paragraph" w:styleId="BalloonText">
    <w:name w:val="Balloon Text"/>
    <w:basedOn w:val="Normal"/>
    <w:semiHidden/>
    <w:rsid w:val="00CB627B"/>
    <w:rPr>
      <w:rFonts w:ascii="Tahoma" w:hAnsi="Tahoma" w:cs="Tahoma"/>
      <w:sz w:val="16"/>
      <w:szCs w:val="16"/>
    </w:rPr>
  </w:style>
  <w:style w:type="paragraph" w:styleId="CommentSubject">
    <w:name w:val="annotation subject"/>
    <w:basedOn w:val="CommentText"/>
    <w:next w:val="CommentText"/>
    <w:semiHidden/>
    <w:rsid w:val="006136D7"/>
    <w:rPr>
      <w:b/>
      <w:bCs/>
    </w:rPr>
  </w:style>
  <w:style w:type="character" w:customStyle="1" w:styleId="TALCar">
    <w:name w:val="TAL Car"/>
    <w:rsid w:val="002C79F8"/>
    <w:rPr>
      <w:rFonts w:ascii="Arial" w:hAnsi="Arial"/>
      <w:sz w:val="18"/>
      <w:lang w:val="en-GB" w:eastAsia="ja-JP" w:bidi="ar-SA"/>
    </w:rPr>
  </w:style>
  <w:style w:type="paragraph" w:customStyle="1" w:styleId="CRCoverPage">
    <w:name w:val="CR Cover Page"/>
    <w:rsid w:val="00E72289"/>
    <w:pPr>
      <w:spacing w:after="120"/>
    </w:pPr>
    <w:rPr>
      <w:rFonts w:ascii="Arial" w:hAnsi="Arial"/>
      <w:lang w:val="en-GB"/>
    </w:rPr>
  </w:style>
  <w:style w:type="character" w:customStyle="1" w:styleId="TAHCar">
    <w:name w:val="TAH Car"/>
    <w:link w:val="TAH"/>
    <w:rsid w:val="003A20F7"/>
    <w:rPr>
      <w:rFonts w:ascii="Arial" w:hAnsi="Arial"/>
      <w:b/>
      <w:sz w:val="18"/>
      <w:lang w:val="en-GB" w:eastAsia="en-US"/>
    </w:rPr>
  </w:style>
  <w:style w:type="character" w:customStyle="1" w:styleId="TANChar">
    <w:name w:val="TAN Char"/>
    <w:link w:val="TAN"/>
    <w:rsid w:val="003A20F7"/>
    <w:rPr>
      <w:rFonts w:ascii="Arial" w:hAnsi="Arial"/>
      <w:sz w:val="18"/>
      <w:lang w:val="en-GB" w:eastAsia="en-US"/>
    </w:rPr>
  </w:style>
  <w:style w:type="character" w:styleId="Strong">
    <w:name w:val="Strong"/>
    <w:qFormat/>
    <w:rsid w:val="00216825"/>
    <w:rPr>
      <w:b/>
      <w:bCs/>
    </w:rPr>
  </w:style>
  <w:style w:type="paragraph" w:customStyle="1" w:styleId="TdocHeader2">
    <w:name w:val="Tdoc_Header_2"/>
    <w:basedOn w:val="Normal"/>
    <w:rsid w:val="00DB6081"/>
    <w:pPr>
      <w:widowControl w:val="0"/>
      <w:tabs>
        <w:tab w:val="left" w:pos="1701"/>
        <w:tab w:val="right" w:pos="9072"/>
        <w:tab w:val="right" w:pos="10206"/>
      </w:tabs>
      <w:spacing w:after="0"/>
      <w:jc w:val="both"/>
    </w:pPr>
    <w:rPr>
      <w:rFonts w:ascii="Arial" w:eastAsia="Batang" w:hAnsi="Arial"/>
      <w:b/>
      <w:sz w:val="18"/>
    </w:rPr>
  </w:style>
  <w:style w:type="paragraph" w:customStyle="1" w:styleId="2">
    <w:name w:val="??? 2"/>
    <w:basedOn w:val="Normal"/>
    <w:next w:val="Normal"/>
    <w:rsid w:val="00C940DE"/>
    <w:pPr>
      <w:keepNext/>
      <w:widowControl w:val="0"/>
      <w:spacing w:after="0"/>
    </w:pPr>
    <w:rPr>
      <w:rFonts w:ascii="Arial" w:hAnsi="Arial"/>
      <w:b/>
      <w:sz w:val="24"/>
      <w:lang w:val="en-US"/>
    </w:rPr>
  </w:style>
  <w:style w:type="paragraph" w:styleId="ListParagraph">
    <w:name w:val="List Paragraph"/>
    <w:basedOn w:val="Normal"/>
    <w:uiPriority w:val="34"/>
    <w:qFormat/>
    <w:rsid w:val="0036612C"/>
    <w:pPr>
      <w:spacing w:after="200" w:line="276" w:lineRule="auto"/>
      <w:ind w:left="720"/>
      <w:contextualSpacing/>
    </w:pPr>
    <w:rPr>
      <w:rFonts w:ascii="Calibri" w:eastAsia="Calibri" w:hAnsi="Calibri"/>
      <w:sz w:val="22"/>
      <w:szCs w:val="22"/>
      <w:lang w:val="en-US"/>
    </w:rPr>
  </w:style>
  <w:style w:type="paragraph" w:styleId="Title">
    <w:name w:val="Title"/>
    <w:basedOn w:val="Normal"/>
    <w:next w:val="Normal"/>
    <w:link w:val="TitleChar"/>
    <w:qFormat/>
    <w:rsid w:val="004B0E52"/>
    <w:pPr>
      <w:spacing w:before="240" w:after="60"/>
      <w:jc w:val="center"/>
      <w:outlineLvl w:val="0"/>
    </w:pPr>
    <w:rPr>
      <w:rFonts w:ascii="Cambria" w:hAnsi="Cambria"/>
      <w:b/>
      <w:bCs/>
      <w:kern w:val="28"/>
      <w:sz w:val="32"/>
      <w:szCs w:val="32"/>
    </w:rPr>
  </w:style>
  <w:style w:type="character" w:customStyle="1" w:styleId="TitleChar">
    <w:name w:val="Title Char"/>
    <w:link w:val="Title"/>
    <w:rsid w:val="004B0E52"/>
    <w:rPr>
      <w:rFonts w:ascii="Cambria" w:eastAsia="Times New Roman" w:hAnsi="Cambria" w:cs="Times New Roman"/>
      <w:b/>
      <w:bCs/>
      <w:kern w:val="28"/>
      <w:sz w:val="32"/>
      <w:szCs w:val="32"/>
      <w:lang w:val="en-GB" w:eastAsia="en-US"/>
    </w:rPr>
  </w:style>
  <w:style w:type="paragraph" w:customStyle="1" w:styleId="Figure">
    <w:name w:val="Figure"/>
    <w:basedOn w:val="Normal"/>
    <w:next w:val="Caption"/>
    <w:rsid w:val="00352A2D"/>
    <w:pPr>
      <w:keepNext/>
      <w:keepLines/>
      <w:overflowPunct w:val="0"/>
      <w:autoSpaceDE w:val="0"/>
      <w:autoSpaceDN w:val="0"/>
      <w:adjustRightInd w:val="0"/>
      <w:spacing w:before="180" w:after="120"/>
      <w:jc w:val="center"/>
      <w:textAlignment w:val="baseline"/>
    </w:pPr>
    <w:rPr>
      <w:rFonts w:ascii="Arial" w:hAnsi="Arial"/>
      <w:lang w:eastAsia="zh-CN"/>
    </w:rPr>
  </w:style>
  <w:style w:type="character" w:customStyle="1" w:styleId="CaptionChar">
    <w:name w:val="Caption Char"/>
    <w:aliases w:val="cap Char,3GPP Caption Table Char"/>
    <w:link w:val="Caption"/>
    <w:rsid w:val="00352A2D"/>
    <w:rPr>
      <w:b/>
      <w:lang w:val="en-GB" w:eastAsia="en-US"/>
    </w:rPr>
  </w:style>
  <w:style w:type="character" w:customStyle="1" w:styleId="PlainTextChar">
    <w:name w:val="Plain Text Char"/>
    <w:link w:val="PlainText"/>
    <w:uiPriority w:val="99"/>
    <w:rsid w:val="00836852"/>
    <w:rPr>
      <w:rFonts w:ascii="Courier New" w:hAnsi="Courier New"/>
      <w:lang w:val="nb-NO"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B3675"/>
    <w:rPr>
      <w:rFonts w:ascii="Arial" w:hAnsi="Arial"/>
      <w:b/>
      <w:noProof/>
      <w:sz w:val="18"/>
      <w:lang w:val="en-GB"/>
    </w:rPr>
  </w:style>
  <w:style w:type="character" w:customStyle="1" w:styleId="TFChar">
    <w:name w:val="TF Char"/>
    <w:link w:val="TF"/>
    <w:rsid w:val="00E4560B"/>
    <w:rPr>
      <w:rFonts w:ascii="Arial" w:hAnsi="Arial"/>
      <w:b/>
      <w:lang w:val="en-GB"/>
    </w:rPr>
  </w:style>
  <w:style w:type="character" w:customStyle="1" w:styleId="B2Char">
    <w:name w:val="B2 Char"/>
    <w:link w:val="B2"/>
    <w:rsid w:val="00E4560B"/>
    <w:rPr>
      <w:lang w:val="en-GB"/>
    </w:rPr>
  </w:style>
  <w:style w:type="character" w:customStyle="1" w:styleId="FooterChar">
    <w:name w:val="Footer Char"/>
    <w:aliases w:val="footer odd Char,footer Char,fo Char,pie de página Char"/>
    <w:link w:val="Footer"/>
    <w:uiPriority w:val="99"/>
    <w:rsid w:val="00D70BF5"/>
    <w:rPr>
      <w:rFonts w:ascii="Arial" w:hAnsi="Arial"/>
      <w:b/>
      <w:i/>
      <w:noProof/>
      <w:sz w:val="18"/>
      <w:lang w:val="en-GB"/>
    </w:rPr>
  </w:style>
  <w:style w:type="paragraph" w:customStyle="1" w:styleId="LGTdoc">
    <w:name w:val="LGTdoc_본문"/>
    <w:basedOn w:val="Normal"/>
    <w:rsid w:val="00D70BF5"/>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styleId="NormalWeb">
    <w:name w:val="Normal (Web)"/>
    <w:basedOn w:val="Normal"/>
    <w:uiPriority w:val="99"/>
    <w:unhideWhenUsed/>
    <w:rsid w:val="009F70AC"/>
    <w:pPr>
      <w:spacing w:before="100" w:beforeAutospacing="1" w:after="100" w:afterAutospacing="1"/>
    </w:pPr>
    <w:rPr>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Strong"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0F98"/>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96F81"/>
    <w:rPr>
      <w:rFonts w:ascii="Arial" w:hAnsi="Arial"/>
      <w:sz w:val="36"/>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A96F81"/>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96F81"/>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A96F81"/>
    <w:rPr>
      <w:rFonts w:ascii="Arial" w:hAnsi="Arial"/>
      <w:sz w:val="18"/>
      <w:lang w:val="en-GB" w:eastAsia="en-US" w:bidi="ar-SA"/>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A96F81"/>
    <w:rPr>
      <w:lang w:val="en-GB" w:eastAsia="en-US" w:bidi="ar-SA"/>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96F81"/>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3GPP Caption Table"/>
    <w:basedOn w:val="Normal"/>
    <w:next w:val="Normal"/>
    <w:link w:val="CaptionChar"/>
    <w:uiPriority w:val="99"/>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A96F81"/>
    <w:rPr>
      <w:i/>
      <w:color w:val="0000FF"/>
      <w:lang w:val="en-GB" w:eastAsia="en-US" w:bidi="ar-SA"/>
    </w:rPr>
  </w:style>
  <w:style w:type="paragraph" w:styleId="CommentText">
    <w:name w:val="annotation text"/>
    <w:basedOn w:val="Normal"/>
    <w:semiHidden/>
  </w:style>
  <w:style w:type="table" w:styleId="TableGrid">
    <w:name w:val="Table Grid"/>
    <w:basedOn w:val="TableNormal"/>
    <w:uiPriority w:val="59"/>
    <w:rsid w:val="00A96F81"/>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96F81"/>
  </w:style>
  <w:style w:type="paragraph" w:styleId="BalloonText">
    <w:name w:val="Balloon Text"/>
    <w:basedOn w:val="Normal"/>
    <w:semiHidden/>
    <w:rsid w:val="00CB627B"/>
    <w:rPr>
      <w:rFonts w:ascii="Tahoma" w:hAnsi="Tahoma" w:cs="Tahoma"/>
      <w:sz w:val="16"/>
      <w:szCs w:val="16"/>
    </w:rPr>
  </w:style>
  <w:style w:type="paragraph" w:styleId="CommentSubject">
    <w:name w:val="annotation subject"/>
    <w:basedOn w:val="CommentText"/>
    <w:next w:val="CommentText"/>
    <w:semiHidden/>
    <w:rsid w:val="006136D7"/>
    <w:rPr>
      <w:b/>
      <w:bCs/>
    </w:rPr>
  </w:style>
  <w:style w:type="character" w:customStyle="1" w:styleId="TALCar">
    <w:name w:val="TAL Car"/>
    <w:rsid w:val="002C79F8"/>
    <w:rPr>
      <w:rFonts w:ascii="Arial" w:hAnsi="Arial"/>
      <w:sz w:val="18"/>
      <w:lang w:val="en-GB" w:eastAsia="ja-JP" w:bidi="ar-SA"/>
    </w:rPr>
  </w:style>
  <w:style w:type="paragraph" w:customStyle="1" w:styleId="CRCoverPage">
    <w:name w:val="CR Cover Page"/>
    <w:rsid w:val="00E72289"/>
    <w:pPr>
      <w:spacing w:after="120"/>
    </w:pPr>
    <w:rPr>
      <w:rFonts w:ascii="Arial" w:hAnsi="Arial"/>
      <w:lang w:val="en-GB"/>
    </w:rPr>
  </w:style>
  <w:style w:type="character" w:customStyle="1" w:styleId="TAHCar">
    <w:name w:val="TAH Car"/>
    <w:link w:val="TAH"/>
    <w:rsid w:val="003A20F7"/>
    <w:rPr>
      <w:rFonts w:ascii="Arial" w:hAnsi="Arial"/>
      <w:b/>
      <w:sz w:val="18"/>
      <w:lang w:val="en-GB" w:eastAsia="en-US"/>
    </w:rPr>
  </w:style>
  <w:style w:type="character" w:customStyle="1" w:styleId="TANChar">
    <w:name w:val="TAN Char"/>
    <w:link w:val="TAN"/>
    <w:rsid w:val="003A20F7"/>
    <w:rPr>
      <w:rFonts w:ascii="Arial" w:hAnsi="Arial"/>
      <w:sz w:val="18"/>
      <w:lang w:val="en-GB" w:eastAsia="en-US"/>
    </w:rPr>
  </w:style>
  <w:style w:type="character" w:styleId="Strong">
    <w:name w:val="Strong"/>
    <w:qFormat/>
    <w:rsid w:val="00216825"/>
    <w:rPr>
      <w:b/>
      <w:bCs/>
    </w:rPr>
  </w:style>
  <w:style w:type="paragraph" w:customStyle="1" w:styleId="TdocHeader2">
    <w:name w:val="Tdoc_Header_2"/>
    <w:basedOn w:val="Normal"/>
    <w:rsid w:val="00DB6081"/>
    <w:pPr>
      <w:widowControl w:val="0"/>
      <w:tabs>
        <w:tab w:val="left" w:pos="1701"/>
        <w:tab w:val="right" w:pos="9072"/>
        <w:tab w:val="right" w:pos="10206"/>
      </w:tabs>
      <w:spacing w:after="0"/>
      <w:jc w:val="both"/>
    </w:pPr>
    <w:rPr>
      <w:rFonts w:ascii="Arial" w:eastAsia="Batang" w:hAnsi="Arial"/>
      <w:b/>
      <w:sz w:val="18"/>
    </w:rPr>
  </w:style>
  <w:style w:type="paragraph" w:customStyle="1" w:styleId="2">
    <w:name w:val="??? 2"/>
    <w:basedOn w:val="Normal"/>
    <w:next w:val="Normal"/>
    <w:rsid w:val="00C940DE"/>
    <w:pPr>
      <w:keepNext/>
      <w:widowControl w:val="0"/>
      <w:spacing w:after="0"/>
    </w:pPr>
    <w:rPr>
      <w:rFonts w:ascii="Arial" w:hAnsi="Arial"/>
      <w:b/>
      <w:sz w:val="24"/>
      <w:lang w:val="en-US"/>
    </w:rPr>
  </w:style>
  <w:style w:type="paragraph" w:styleId="ListParagraph">
    <w:name w:val="List Paragraph"/>
    <w:basedOn w:val="Normal"/>
    <w:uiPriority w:val="34"/>
    <w:qFormat/>
    <w:rsid w:val="0036612C"/>
    <w:pPr>
      <w:spacing w:after="200" w:line="276" w:lineRule="auto"/>
      <w:ind w:left="720"/>
      <w:contextualSpacing/>
    </w:pPr>
    <w:rPr>
      <w:rFonts w:ascii="Calibri" w:eastAsia="Calibri" w:hAnsi="Calibri"/>
      <w:sz w:val="22"/>
      <w:szCs w:val="22"/>
      <w:lang w:val="en-US"/>
    </w:rPr>
  </w:style>
  <w:style w:type="paragraph" w:styleId="Title">
    <w:name w:val="Title"/>
    <w:basedOn w:val="Normal"/>
    <w:next w:val="Normal"/>
    <w:link w:val="TitleChar"/>
    <w:qFormat/>
    <w:rsid w:val="004B0E52"/>
    <w:pPr>
      <w:spacing w:before="240" w:after="60"/>
      <w:jc w:val="center"/>
      <w:outlineLvl w:val="0"/>
    </w:pPr>
    <w:rPr>
      <w:rFonts w:ascii="Cambria" w:hAnsi="Cambria"/>
      <w:b/>
      <w:bCs/>
      <w:kern w:val="28"/>
      <w:sz w:val="32"/>
      <w:szCs w:val="32"/>
    </w:rPr>
  </w:style>
  <w:style w:type="character" w:customStyle="1" w:styleId="TitleChar">
    <w:name w:val="Title Char"/>
    <w:link w:val="Title"/>
    <w:rsid w:val="004B0E52"/>
    <w:rPr>
      <w:rFonts w:ascii="Cambria" w:eastAsia="Times New Roman" w:hAnsi="Cambria" w:cs="Times New Roman"/>
      <w:b/>
      <w:bCs/>
      <w:kern w:val="28"/>
      <w:sz w:val="32"/>
      <w:szCs w:val="32"/>
      <w:lang w:val="en-GB" w:eastAsia="en-US"/>
    </w:rPr>
  </w:style>
  <w:style w:type="paragraph" w:customStyle="1" w:styleId="Figure">
    <w:name w:val="Figure"/>
    <w:basedOn w:val="Normal"/>
    <w:next w:val="Caption"/>
    <w:rsid w:val="00352A2D"/>
    <w:pPr>
      <w:keepNext/>
      <w:keepLines/>
      <w:overflowPunct w:val="0"/>
      <w:autoSpaceDE w:val="0"/>
      <w:autoSpaceDN w:val="0"/>
      <w:adjustRightInd w:val="0"/>
      <w:spacing w:before="180" w:after="120"/>
      <w:jc w:val="center"/>
      <w:textAlignment w:val="baseline"/>
    </w:pPr>
    <w:rPr>
      <w:rFonts w:ascii="Arial" w:hAnsi="Arial"/>
      <w:lang w:eastAsia="zh-CN"/>
    </w:rPr>
  </w:style>
  <w:style w:type="character" w:customStyle="1" w:styleId="CaptionChar">
    <w:name w:val="Caption Char"/>
    <w:aliases w:val="cap Char,3GPP Caption Table Char"/>
    <w:link w:val="Caption"/>
    <w:rsid w:val="00352A2D"/>
    <w:rPr>
      <w:b/>
      <w:lang w:val="en-GB" w:eastAsia="en-US"/>
    </w:rPr>
  </w:style>
  <w:style w:type="character" w:customStyle="1" w:styleId="PlainTextChar">
    <w:name w:val="Plain Text Char"/>
    <w:link w:val="PlainText"/>
    <w:uiPriority w:val="99"/>
    <w:rsid w:val="00836852"/>
    <w:rPr>
      <w:rFonts w:ascii="Courier New" w:hAnsi="Courier New"/>
      <w:lang w:val="nb-NO"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B3675"/>
    <w:rPr>
      <w:rFonts w:ascii="Arial" w:hAnsi="Arial"/>
      <w:b/>
      <w:noProof/>
      <w:sz w:val="18"/>
      <w:lang w:val="en-GB"/>
    </w:rPr>
  </w:style>
  <w:style w:type="character" w:customStyle="1" w:styleId="TFChar">
    <w:name w:val="TF Char"/>
    <w:link w:val="TF"/>
    <w:rsid w:val="00E4560B"/>
    <w:rPr>
      <w:rFonts w:ascii="Arial" w:hAnsi="Arial"/>
      <w:b/>
      <w:lang w:val="en-GB"/>
    </w:rPr>
  </w:style>
  <w:style w:type="character" w:customStyle="1" w:styleId="B2Char">
    <w:name w:val="B2 Char"/>
    <w:link w:val="B2"/>
    <w:rsid w:val="00E4560B"/>
    <w:rPr>
      <w:lang w:val="en-GB"/>
    </w:rPr>
  </w:style>
  <w:style w:type="character" w:customStyle="1" w:styleId="FooterChar">
    <w:name w:val="Footer Char"/>
    <w:aliases w:val="footer odd Char,footer Char,fo Char,pie de página Char"/>
    <w:link w:val="Footer"/>
    <w:uiPriority w:val="99"/>
    <w:rsid w:val="00D70BF5"/>
    <w:rPr>
      <w:rFonts w:ascii="Arial" w:hAnsi="Arial"/>
      <w:b/>
      <w:i/>
      <w:noProof/>
      <w:sz w:val="18"/>
      <w:lang w:val="en-GB"/>
    </w:rPr>
  </w:style>
  <w:style w:type="paragraph" w:customStyle="1" w:styleId="LGTdoc">
    <w:name w:val="LGTdoc_본문"/>
    <w:basedOn w:val="Normal"/>
    <w:rsid w:val="00D70BF5"/>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styleId="NormalWeb">
    <w:name w:val="Normal (Web)"/>
    <w:basedOn w:val="Normal"/>
    <w:uiPriority w:val="99"/>
    <w:unhideWhenUsed/>
    <w:rsid w:val="009F70AC"/>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5060487">
      <w:bodyDiv w:val="1"/>
      <w:marLeft w:val="0"/>
      <w:marRight w:val="0"/>
      <w:marTop w:val="0"/>
      <w:marBottom w:val="0"/>
      <w:divBdr>
        <w:top w:val="none" w:sz="0" w:space="0" w:color="auto"/>
        <w:left w:val="none" w:sz="0" w:space="0" w:color="auto"/>
        <w:bottom w:val="none" w:sz="0" w:space="0" w:color="auto"/>
        <w:right w:val="none" w:sz="0" w:space="0" w:color="auto"/>
      </w:divBdr>
    </w:div>
    <w:div w:id="440809539">
      <w:bodyDiv w:val="1"/>
      <w:marLeft w:val="0"/>
      <w:marRight w:val="0"/>
      <w:marTop w:val="0"/>
      <w:marBottom w:val="0"/>
      <w:divBdr>
        <w:top w:val="none" w:sz="0" w:space="0" w:color="auto"/>
        <w:left w:val="none" w:sz="0" w:space="0" w:color="auto"/>
        <w:bottom w:val="none" w:sz="0" w:space="0" w:color="auto"/>
        <w:right w:val="none" w:sz="0" w:space="0" w:color="auto"/>
      </w:divBdr>
      <w:divsChild>
        <w:div w:id="607859863">
          <w:marLeft w:val="0"/>
          <w:marRight w:val="0"/>
          <w:marTop w:val="0"/>
          <w:marBottom w:val="0"/>
          <w:divBdr>
            <w:top w:val="none" w:sz="0" w:space="0" w:color="auto"/>
            <w:left w:val="none" w:sz="0" w:space="0" w:color="auto"/>
            <w:bottom w:val="none" w:sz="0" w:space="0" w:color="auto"/>
            <w:right w:val="none" w:sz="0" w:space="0" w:color="auto"/>
          </w:divBdr>
        </w:div>
      </w:divsChild>
    </w:div>
    <w:div w:id="505823639">
      <w:bodyDiv w:val="1"/>
      <w:marLeft w:val="0"/>
      <w:marRight w:val="0"/>
      <w:marTop w:val="0"/>
      <w:marBottom w:val="0"/>
      <w:divBdr>
        <w:top w:val="none" w:sz="0" w:space="0" w:color="auto"/>
        <w:left w:val="none" w:sz="0" w:space="0" w:color="auto"/>
        <w:bottom w:val="none" w:sz="0" w:space="0" w:color="auto"/>
        <w:right w:val="none" w:sz="0" w:space="0" w:color="auto"/>
      </w:divBdr>
    </w:div>
    <w:div w:id="599796299">
      <w:bodyDiv w:val="1"/>
      <w:marLeft w:val="0"/>
      <w:marRight w:val="0"/>
      <w:marTop w:val="0"/>
      <w:marBottom w:val="0"/>
      <w:divBdr>
        <w:top w:val="none" w:sz="0" w:space="0" w:color="auto"/>
        <w:left w:val="none" w:sz="0" w:space="0" w:color="auto"/>
        <w:bottom w:val="none" w:sz="0" w:space="0" w:color="auto"/>
        <w:right w:val="none" w:sz="0" w:space="0" w:color="auto"/>
      </w:divBdr>
      <w:divsChild>
        <w:div w:id="75984146">
          <w:marLeft w:val="1166"/>
          <w:marRight w:val="0"/>
          <w:marTop w:val="82"/>
          <w:marBottom w:val="0"/>
          <w:divBdr>
            <w:top w:val="none" w:sz="0" w:space="0" w:color="auto"/>
            <w:left w:val="none" w:sz="0" w:space="0" w:color="auto"/>
            <w:bottom w:val="none" w:sz="0" w:space="0" w:color="auto"/>
            <w:right w:val="none" w:sz="0" w:space="0" w:color="auto"/>
          </w:divBdr>
        </w:div>
        <w:div w:id="274100632">
          <w:marLeft w:val="1166"/>
          <w:marRight w:val="0"/>
          <w:marTop w:val="82"/>
          <w:marBottom w:val="0"/>
          <w:divBdr>
            <w:top w:val="none" w:sz="0" w:space="0" w:color="auto"/>
            <w:left w:val="none" w:sz="0" w:space="0" w:color="auto"/>
            <w:bottom w:val="none" w:sz="0" w:space="0" w:color="auto"/>
            <w:right w:val="none" w:sz="0" w:space="0" w:color="auto"/>
          </w:divBdr>
        </w:div>
        <w:div w:id="791287990">
          <w:marLeft w:val="547"/>
          <w:marRight w:val="0"/>
          <w:marTop w:val="96"/>
          <w:marBottom w:val="0"/>
          <w:divBdr>
            <w:top w:val="none" w:sz="0" w:space="0" w:color="auto"/>
            <w:left w:val="none" w:sz="0" w:space="0" w:color="auto"/>
            <w:bottom w:val="none" w:sz="0" w:space="0" w:color="auto"/>
            <w:right w:val="none" w:sz="0" w:space="0" w:color="auto"/>
          </w:divBdr>
        </w:div>
        <w:div w:id="1160193403">
          <w:marLeft w:val="1166"/>
          <w:marRight w:val="0"/>
          <w:marTop w:val="82"/>
          <w:marBottom w:val="0"/>
          <w:divBdr>
            <w:top w:val="none" w:sz="0" w:space="0" w:color="auto"/>
            <w:left w:val="none" w:sz="0" w:space="0" w:color="auto"/>
            <w:bottom w:val="none" w:sz="0" w:space="0" w:color="auto"/>
            <w:right w:val="none" w:sz="0" w:space="0" w:color="auto"/>
          </w:divBdr>
        </w:div>
        <w:div w:id="1245139678">
          <w:marLeft w:val="1166"/>
          <w:marRight w:val="0"/>
          <w:marTop w:val="82"/>
          <w:marBottom w:val="0"/>
          <w:divBdr>
            <w:top w:val="none" w:sz="0" w:space="0" w:color="auto"/>
            <w:left w:val="none" w:sz="0" w:space="0" w:color="auto"/>
            <w:bottom w:val="none" w:sz="0" w:space="0" w:color="auto"/>
            <w:right w:val="none" w:sz="0" w:space="0" w:color="auto"/>
          </w:divBdr>
        </w:div>
        <w:div w:id="1473130566">
          <w:marLeft w:val="547"/>
          <w:marRight w:val="0"/>
          <w:marTop w:val="96"/>
          <w:marBottom w:val="0"/>
          <w:divBdr>
            <w:top w:val="none" w:sz="0" w:space="0" w:color="auto"/>
            <w:left w:val="none" w:sz="0" w:space="0" w:color="auto"/>
            <w:bottom w:val="none" w:sz="0" w:space="0" w:color="auto"/>
            <w:right w:val="none" w:sz="0" w:space="0" w:color="auto"/>
          </w:divBdr>
        </w:div>
        <w:div w:id="1771467739">
          <w:marLeft w:val="547"/>
          <w:marRight w:val="0"/>
          <w:marTop w:val="96"/>
          <w:marBottom w:val="0"/>
          <w:divBdr>
            <w:top w:val="none" w:sz="0" w:space="0" w:color="auto"/>
            <w:left w:val="none" w:sz="0" w:space="0" w:color="auto"/>
            <w:bottom w:val="none" w:sz="0" w:space="0" w:color="auto"/>
            <w:right w:val="none" w:sz="0" w:space="0" w:color="auto"/>
          </w:divBdr>
        </w:div>
        <w:div w:id="2027319358">
          <w:marLeft w:val="1166"/>
          <w:marRight w:val="0"/>
          <w:marTop w:val="82"/>
          <w:marBottom w:val="0"/>
          <w:divBdr>
            <w:top w:val="none" w:sz="0" w:space="0" w:color="auto"/>
            <w:left w:val="none" w:sz="0" w:space="0" w:color="auto"/>
            <w:bottom w:val="none" w:sz="0" w:space="0" w:color="auto"/>
            <w:right w:val="none" w:sz="0" w:space="0" w:color="auto"/>
          </w:divBdr>
        </w:div>
        <w:div w:id="2106031673">
          <w:marLeft w:val="547"/>
          <w:marRight w:val="0"/>
          <w:marTop w:val="96"/>
          <w:marBottom w:val="0"/>
          <w:divBdr>
            <w:top w:val="none" w:sz="0" w:space="0" w:color="auto"/>
            <w:left w:val="none" w:sz="0" w:space="0" w:color="auto"/>
            <w:bottom w:val="none" w:sz="0" w:space="0" w:color="auto"/>
            <w:right w:val="none" w:sz="0" w:space="0" w:color="auto"/>
          </w:divBdr>
        </w:div>
        <w:div w:id="2130389714">
          <w:marLeft w:val="1166"/>
          <w:marRight w:val="0"/>
          <w:marTop w:val="82"/>
          <w:marBottom w:val="0"/>
          <w:divBdr>
            <w:top w:val="none" w:sz="0" w:space="0" w:color="auto"/>
            <w:left w:val="none" w:sz="0" w:space="0" w:color="auto"/>
            <w:bottom w:val="none" w:sz="0" w:space="0" w:color="auto"/>
            <w:right w:val="none" w:sz="0" w:space="0" w:color="auto"/>
          </w:divBdr>
        </w:div>
      </w:divsChild>
    </w:div>
    <w:div w:id="658506445">
      <w:bodyDiv w:val="1"/>
      <w:marLeft w:val="0"/>
      <w:marRight w:val="0"/>
      <w:marTop w:val="0"/>
      <w:marBottom w:val="0"/>
      <w:divBdr>
        <w:top w:val="none" w:sz="0" w:space="0" w:color="auto"/>
        <w:left w:val="none" w:sz="0" w:space="0" w:color="auto"/>
        <w:bottom w:val="none" w:sz="0" w:space="0" w:color="auto"/>
        <w:right w:val="none" w:sz="0" w:space="0" w:color="auto"/>
      </w:divBdr>
    </w:div>
    <w:div w:id="662204229">
      <w:bodyDiv w:val="1"/>
      <w:marLeft w:val="0"/>
      <w:marRight w:val="0"/>
      <w:marTop w:val="0"/>
      <w:marBottom w:val="0"/>
      <w:divBdr>
        <w:top w:val="none" w:sz="0" w:space="0" w:color="auto"/>
        <w:left w:val="none" w:sz="0" w:space="0" w:color="auto"/>
        <w:bottom w:val="none" w:sz="0" w:space="0" w:color="auto"/>
        <w:right w:val="none" w:sz="0" w:space="0" w:color="auto"/>
      </w:divBdr>
      <w:divsChild>
        <w:div w:id="235476991">
          <w:marLeft w:val="547"/>
          <w:marRight w:val="0"/>
          <w:marTop w:val="96"/>
          <w:marBottom w:val="0"/>
          <w:divBdr>
            <w:top w:val="none" w:sz="0" w:space="0" w:color="auto"/>
            <w:left w:val="none" w:sz="0" w:space="0" w:color="auto"/>
            <w:bottom w:val="none" w:sz="0" w:space="0" w:color="auto"/>
            <w:right w:val="none" w:sz="0" w:space="0" w:color="auto"/>
          </w:divBdr>
        </w:div>
        <w:div w:id="385226217">
          <w:marLeft w:val="547"/>
          <w:marRight w:val="0"/>
          <w:marTop w:val="96"/>
          <w:marBottom w:val="0"/>
          <w:divBdr>
            <w:top w:val="none" w:sz="0" w:space="0" w:color="auto"/>
            <w:left w:val="none" w:sz="0" w:space="0" w:color="auto"/>
            <w:bottom w:val="none" w:sz="0" w:space="0" w:color="auto"/>
            <w:right w:val="none" w:sz="0" w:space="0" w:color="auto"/>
          </w:divBdr>
        </w:div>
        <w:div w:id="1010520829">
          <w:marLeft w:val="547"/>
          <w:marRight w:val="0"/>
          <w:marTop w:val="96"/>
          <w:marBottom w:val="0"/>
          <w:divBdr>
            <w:top w:val="none" w:sz="0" w:space="0" w:color="auto"/>
            <w:left w:val="none" w:sz="0" w:space="0" w:color="auto"/>
            <w:bottom w:val="none" w:sz="0" w:space="0" w:color="auto"/>
            <w:right w:val="none" w:sz="0" w:space="0" w:color="auto"/>
          </w:divBdr>
        </w:div>
        <w:div w:id="1255238299">
          <w:marLeft w:val="547"/>
          <w:marRight w:val="0"/>
          <w:marTop w:val="96"/>
          <w:marBottom w:val="0"/>
          <w:divBdr>
            <w:top w:val="none" w:sz="0" w:space="0" w:color="auto"/>
            <w:left w:val="none" w:sz="0" w:space="0" w:color="auto"/>
            <w:bottom w:val="none" w:sz="0" w:space="0" w:color="auto"/>
            <w:right w:val="none" w:sz="0" w:space="0" w:color="auto"/>
          </w:divBdr>
        </w:div>
        <w:div w:id="1396515923">
          <w:marLeft w:val="547"/>
          <w:marRight w:val="0"/>
          <w:marTop w:val="96"/>
          <w:marBottom w:val="0"/>
          <w:divBdr>
            <w:top w:val="none" w:sz="0" w:space="0" w:color="auto"/>
            <w:left w:val="none" w:sz="0" w:space="0" w:color="auto"/>
            <w:bottom w:val="none" w:sz="0" w:space="0" w:color="auto"/>
            <w:right w:val="none" w:sz="0" w:space="0" w:color="auto"/>
          </w:divBdr>
        </w:div>
        <w:div w:id="1970864173">
          <w:marLeft w:val="547"/>
          <w:marRight w:val="0"/>
          <w:marTop w:val="96"/>
          <w:marBottom w:val="0"/>
          <w:divBdr>
            <w:top w:val="none" w:sz="0" w:space="0" w:color="auto"/>
            <w:left w:val="none" w:sz="0" w:space="0" w:color="auto"/>
            <w:bottom w:val="none" w:sz="0" w:space="0" w:color="auto"/>
            <w:right w:val="none" w:sz="0" w:space="0" w:color="auto"/>
          </w:divBdr>
        </w:div>
      </w:divsChild>
    </w:div>
    <w:div w:id="666787072">
      <w:bodyDiv w:val="1"/>
      <w:marLeft w:val="0"/>
      <w:marRight w:val="0"/>
      <w:marTop w:val="0"/>
      <w:marBottom w:val="0"/>
      <w:divBdr>
        <w:top w:val="none" w:sz="0" w:space="0" w:color="auto"/>
        <w:left w:val="none" w:sz="0" w:space="0" w:color="auto"/>
        <w:bottom w:val="none" w:sz="0" w:space="0" w:color="auto"/>
        <w:right w:val="none" w:sz="0" w:space="0" w:color="auto"/>
      </w:divBdr>
      <w:divsChild>
        <w:div w:id="192546550">
          <w:marLeft w:val="274"/>
          <w:marRight w:val="0"/>
          <w:marTop w:val="77"/>
          <w:marBottom w:val="0"/>
          <w:divBdr>
            <w:top w:val="none" w:sz="0" w:space="0" w:color="auto"/>
            <w:left w:val="none" w:sz="0" w:space="0" w:color="auto"/>
            <w:bottom w:val="none" w:sz="0" w:space="0" w:color="auto"/>
            <w:right w:val="none" w:sz="0" w:space="0" w:color="auto"/>
          </w:divBdr>
        </w:div>
        <w:div w:id="416748418">
          <w:marLeft w:val="274"/>
          <w:marRight w:val="0"/>
          <w:marTop w:val="77"/>
          <w:marBottom w:val="0"/>
          <w:divBdr>
            <w:top w:val="none" w:sz="0" w:space="0" w:color="auto"/>
            <w:left w:val="none" w:sz="0" w:space="0" w:color="auto"/>
            <w:bottom w:val="none" w:sz="0" w:space="0" w:color="auto"/>
            <w:right w:val="none" w:sz="0" w:space="0" w:color="auto"/>
          </w:divBdr>
        </w:div>
        <w:div w:id="419646073">
          <w:marLeft w:val="274"/>
          <w:marRight w:val="0"/>
          <w:marTop w:val="77"/>
          <w:marBottom w:val="0"/>
          <w:divBdr>
            <w:top w:val="none" w:sz="0" w:space="0" w:color="auto"/>
            <w:left w:val="none" w:sz="0" w:space="0" w:color="auto"/>
            <w:bottom w:val="none" w:sz="0" w:space="0" w:color="auto"/>
            <w:right w:val="none" w:sz="0" w:space="0" w:color="auto"/>
          </w:divBdr>
        </w:div>
        <w:div w:id="505442811">
          <w:marLeft w:val="274"/>
          <w:marRight w:val="0"/>
          <w:marTop w:val="77"/>
          <w:marBottom w:val="0"/>
          <w:divBdr>
            <w:top w:val="none" w:sz="0" w:space="0" w:color="auto"/>
            <w:left w:val="none" w:sz="0" w:space="0" w:color="auto"/>
            <w:bottom w:val="none" w:sz="0" w:space="0" w:color="auto"/>
            <w:right w:val="none" w:sz="0" w:space="0" w:color="auto"/>
          </w:divBdr>
        </w:div>
        <w:div w:id="830675693">
          <w:marLeft w:val="274"/>
          <w:marRight w:val="0"/>
          <w:marTop w:val="77"/>
          <w:marBottom w:val="0"/>
          <w:divBdr>
            <w:top w:val="none" w:sz="0" w:space="0" w:color="auto"/>
            <w:left w:val="none" w:sz="0" w:space="0" w:color="auto"/>
            <w:bottom w:val="none" w:sz="0" w:space="0" w:color="auto"/>
            <w:right w:val="none" w:sz="0" w:space="0" w:color="auto"/>
          </w:divBdr>
        </w:div>
        <w:div w:id="969047142">
          <w:marLeft w:val="274"/>
          <w:marRight w:val="0"/>
          <w:marTop w:val="77"/>
          <w:marBottom w:val="0"/>
          <w:divBdr>
            <w:top w:val="none" w:sz="0" w:space="0" w:color="auto"/>
            <w:left w:val="none" w:sz="0" w:space="0" w:color="auto"/>
            <w:bottom w:val="none" w:sz="0" w:space="0" w:color="auto"/>
            <w:right w:val="none" w:sz="0" w:space="0" w:color="auto"/>
          </w:divBdr>
        </w:div>
        <w:div w:id="1055276082">
          <w:marLeft w:val="274"/>
          <w:marRight w:val="0"/>
          <w:marTop w:val="77"/>
          <w:marBottom w:val="0"/>
          <w:divBdr>
            <w:top w:val="none" w:sz="0" w:space="0" w:color="auto"/>
            <w:left w:val="none" w:sz="0" w:space="0" w:color="auto"/>
            <w:bottom w:val="none" w:sz="0" w:space="0" w:color="auto"/>
            <w:right w:val="none" w:sz="0" w:space="0" w:color="auto"/>
          </w:divBdr>
        </w:div>
        <w:div w:id="1118060110">
          <w:marLeft w:val="274"/>
          <w:marRight w:val="0"/>
          <w:marTop w:val="77"/>
          <w:marBottom w:val="0"/>
          <w:divBdr>
            <w:top w:val="none" w:sz="0" w:space="0" w:color="auto"/>
            <w:left w:val="none" w:sz="0" w:space="0" w:color="auto"/>
            <w:bottom w:val="none" w:sz="0" w:space="0" w:color="auto"/>
            <w:right w:val="none" w:sz="0" w:space="0" w:color="auto"/>
          </w:divBdr>
        </w:div>
        <w:div w:id="1240292419">
          <w:marLeft w:val="274"/>
          <w:marRight w:val="0"/>
          <w:marTop w:val="77"/>
          <w:marBottom w:val="0"/>
          <w:divBdr>
            <w:top w:val="none" w:sz="0" w:space="0" w:color="auto"/>
            <w:left w:val="none" w:sz="0" w:space="0" w:color="auto"/>
            <w:bottom w:val="none" w:sz="0" w:space="0" w:color="auto"/>
            <w:right w:val="none" w:sz="0" w:space="0" w:color="auto"/>
          </w:divBdr>
        </w:div>
        <w:div w:id="1407261612">
          <w:marLeft w:val="274"/>
          <w:marRight w:val="0"/>
          <w:marTop w:val="77"/>
          <w:marBottom w:val="0"/>
          <w:divBdr>
            <w:top w:val="none" w:sz="0" w:space="0" w:color="auto"/>
            <w:left w:val="none" w:sz="0" w:space="0" w:color="auto"/>
            <w:bottom w:val="none" w:sz="0" w:space="0" w:color="auto"/>
            <w:right w:val="none" w:sz="0" w:space="0" w:color="auto"/>
          </w:divBdr>
        </w:div>
        <w:div w:id="1426075019">
          <w:marLeft w:val="274"/>
          <w:marRight w:val="0"/>
          <w:marTop w:val="77"/>
          <w:marBottom w:val="0"/>
          <w:divBdr>
            <w:top w:val="none" w:sz="0" w:space="0" w:color="auto"/>
            <w:left w:val="none" w:sz="0" w:space="0" w:color="auto"/>
            <w:bottom w:val="none" w:sz="0" w:space="0" w:color="auto"/>
            <w:right w:val="none" w:sz="0" w:space="0" w:color="auto"/>
          </w:divBdr>
        </w:div>
        <w:div w:id="1906722116">
          <w:marLeft w:val="274"/>
          <w:marRight w:val="0"/>
          <w:marTop w:val="77"/>
          <w:marBottom w:val="0"/>
          <w:divBdr>
            <w:top w:val="none" w:sz="0" w:space="0" w:color="auto"/>
            <w:left w:val="none" w:sz="0" w:space="0" w:color="auto"/>
            <w:bottom w:val="none" w:sz="0" w:space="0" w:color="auto"/>
            <w:right w:val="none" w:sz="0" w:space="0" w:color="auto"/>
          </w:divBdr>
        </w:div>
      </w:divsChild>
    </w:div>
    <w:div w:id="701171170">
      <w:bodyDiv w:val="1"/>
      <w:marLeft w:val="0"/>
      <w:marRight w:val="0"/>
      <w:marTop w:val="0"/>
      <w:marBottom w:val="0"/>
      <w:divBdr>
        <w:top w:val="none" w:sz="0" w:space="0" w:color="auto"/>
        <w:left w:val="none" w:sz="0" w:space="0" w:color="auto"/>
        <w:bottom w:val="none" w:sz="0" w:space="0" w:color="auto"/>
        <w:right w:val="none" w:sz="0" w:space="0" w:color="auto"/>
      </w:divBdr>
    </w:div>
    <w:div w:id="728192602">
      <w:bodyDiv w:val="1"/>
      <w:marLeft w:val="0"/>
      <w:marRight w:val="0"/>
      <w:marTop w:val="0"/>
      <w:marBottom w:val="0"/>
      <w:divBdr>
        <w:top w:val="none" w:sz="0" w:space="0" w:color="auto"/>
        <w:left w:val="none" w:sz="0" w:space="0" w:color="auto"/>
        <w:bottom w:val="none" w:sz="0" w:space="0" w:color="auto"/>
        <w:right w:val="none" w:sz="0" w:space="0" w:color="auto"/>
      </w:divBdr>
    </w:div>
    <w:div w:id="819813471">
      <w:bodyDiv w:val="1"/>
      <w:marLeft w:val="0"/>
      <w:marRight w:val="0"/>
      <w:marTop w:val="0"/>
      <w:marBottom w:val="0"/>
      <w:divBdr>
        <w:top w:val="none" w:sz="0" w:space="0" w:color="auto"/>
        <w:left w:val="none" w:sz="0" w:space="0" w:color="auto"/>
        <w:bottom w:val="none" w:sz="0" w:space="0" w:color="auto"/>
        <w:right w:val="none" w:sz="0" w:space="0" w:color="auto"/>
      </w:divBdr>
    </w:div>
    <w:div w:id="905841457">
      <w:bodyDiv w:val="1"/>
      <w:marLeft w:val="0"/>
      <w:marRight w:val="0"/>
      <w:marTop w:val="0"/>
      <w:marBottom w:val="0"/>
      <w:divBdr>
        <w:top w:val="none" w:sz="0" w:space="0" w:color="auto"/>
        <w:left w:val="none" w:sz="0" w:space="0" w:color="auto"/>
        <w:bottom w:val="none" w:sz="0" w:space="0" w:color="auto"/>
        <w:right w:val="none" w:sz="0" w:space="0" w:color="auto"/>
      </w:divBdr>
    </w:div>
    <w:div w:id="964313860">
      <w:bodyDiv w:val="1"/>
      <w:marLeft w:val="0"/>
      <w:marRight w:val="0"/>
      <w:marTop w:val="0"/>
      <w:marBottom w:val="0"/>
      <w:divBdr>
        <w:top w:val="none" w:sz="0" w:space="0" w:color="auto"/>
        <w:left w:val="none" w:sz="0" w:space="0" w:color="auto"/>
        <w:bottom w:val="none" w:sz="0" w:space="0" w:color="auto"/>
        <w:right w:val="none" w:sz="0" w:space="0" w:color="auto"/>
      </w:divBdr>
      <w:divsChild>
        <w:div w:id="1230769935">
          <w:marLeft w:val="1267"/>
          <w:marRight w:val="0"/>
          <w:marTop w:val="86"/>
          <w:marBottom w:val="0"/>
          <w:divBdr>
            <w:top w:val="none" w:sz="0" w:space="0" w:color="auto"/>
            <w:left w:val="none" w:sz="0" w:space="0" w:color="auto"/>
            <w:bottom w:val="none" w:sz="0" w:space="0" w:color="auto"/>
            <w:right w:val="none" w:sz="0" w:space="0" w:color="auto"/>
          </w:divBdr>
        </w:div>
      </w:divsChild>
    </w:div>
    <w:div w:id="1183973646">
      <w:bodyDiv w:val="1"/>
      <w:marLeft w:val="0"/>
      <w:marRight w:val="0"/>
      <w:marTop w:val="0"/>
      <w:marBottom w:val="0"/>
      <w:divBdr>
        <w:top w:val="none" w:sz="0" w:space="0" w:color="auto"/>
        <w:left w:val="none" w:sz="0" w:space="0" w:color="auto"/>
        <w:bottom w:val="none" w:sz="0" w:space="0" w:color="auto"/>
        <w:right w:val="none" w:sz="0" w:space="0" w:color="auto"/>
      </w:divBdr>
    </w:div>
    <w:div w:id="1450783481">
      <w:bodyDiv w:val="1"/>
      <w:marLeft w:val="0"/>
      <w:marRight w:val="0"/>
      <w:marTop w:val="0"/>
      <w:marBottom w:val="0"/>
      <w:divBdr>
        <w:top w:val="none" w:sz="0" w:space="0" w:color="auto"/>
        <w:left w:val="none" w:sz="0" w:space="0" w:color="auto"/>
        <w:bottom w:val="none" w:sz="0" w:space="0" w:color="auto"/>
        <w:right w:val="none" w:sz="0" w:space="0" w:color="auto"/>
      </w:divBdr>
      <w:divsChild>
        <w:div w:id="833373930">
          <w:marLeft w:val="1267"/>
          <w:marRight w:val="0"/>
          <w:marTop w:val="86"/>
          <w:marBottom w:val="0"/>
          <w:divBdr>
            <w:top w:val="none" w:sz="0" w:space="0" w:color="auto"/>
            <w:left w:val="none" w:sz="0" w:space="0" w:color="auto"/>
            <w:bottom w:val="none" w:sz="0" w:space="0" w:color="auto"/>
            <w:right w:val="none" w:sz="0" w:space="0" w:color="auto"/>
          </w:divBdr>
        </w:div>
        <w:div w:id="1815027346">
          <w:marLeft w:val="1267"/>
          <w:marRight w:val="0"/>
          <w:marTop w:val="86"/>
          <w:marBottom w:val="0"/>
          <w:divBdr>
            <w:top w:val="none" w:sz="0" w:space="0" w:color="auto"/>
            <w:left w:val="none" w:sz="0" w:space="0" w:color="auto"/>
            <w:bottom w:val="none" w:sz="0" w:space="0" w:color="auto"/>
            <w:right w:val="none" w:sz="0" w:space="0" w:color="auto"/>
          </w:divBdr>
        </w:div>
      </w:divsChild>
    </w:div>
    <w:div w:id="1514418376">
      <w:bodyDiv w:val="1"/>
      <w:marLeft w:val="0"/>
      <w:marRight w:val="0"/>
      <w:marTop w:val="0"/>
      <w:marBottom w:val="0"/>
      <w:divBdr>
        <w:top w:val="none" w:sz="0" w:space="0" w:color="auto"/>
        <w:left w:val="none" w:sz="0" w:space="0" w:color="auto"/>
        <w:bottom w:val="none" w:sz="0" w:space="0" w:color="auto"/>
        <w:right w:val="none" w:sz="0" w:space="0" w:color="auto"/>
      </w:divBdr>
      <w:divsChild>
        <w:div w:id="31924562">
          <w:marLeft w:val="1166"/>
          <w:marRight w:val="0"/>
          <w:marTop w:val="86"/>
          <w:marBottom w:val="0"/>
          <w:divBdr>
            <w:top w:val="none" w:sz="0" w:space="0" w:color="auto"/>
            <w:left w:val="none" w:sz="0" w:space="0" w:color="auto"/>
            <w:bottom w:val="none" w:sz="0" w:space="0" w:color="auto"/>
            <w:right w:val="none" w:sz="0" w:space="0" w:color="auto"/>
          </w:divBdr>
        </w:div>
        <w:div w:id="59602788">
          <w:marLeft w:val="1166"/>
          <w:marRight w:val="0"/>
          <w:marTop w:val="86"/>
          <w:marBottom w:val="0"/>
          <w:divBdr>
            <w:top w:val="none" w:sz="0" w:space="0" w:color="auto"/>
            <w:left w:val="none" w:sz="0" w:space="0" w:color="auto"/>
            <w:bottom w:val="none" w:sz="0" w:space="0" w:color="auto"/>
            <w:right w:val="none" w:sz="0" w:space="0" w:color="auto"/>
          </w:divBdr>
        </w:div>
        <w:div w:id="319312568">
          <w:marLeft w:val="547"/>
          <w:marRight w:val="0"/>
          <w:marTop w:val="96"/>
          <w:marBottom w:val="0"/>
          <w:divBdr>
            <w:top w:val="none" w:sz="0" w:space="0" w:color="auto"/>
            <w:left w:val="none" w:sz="0" w:space="0" w:color="auto"/>
            <w:bottom w:val="none" w:sz="0" w:space="0" w:color="auto"/>
            <w:right w:val="none" w:sz="0" w:space="0" w:color="auto"/>
          </w:divBdr>
        </w:div>
        <w:div w:id="461575781">
          <w:marLeft w:val="547"/>
          <w:marRight w:val="0"/>
          <w:marTop w:val="96"/>
          <w:marBottom w:val="0"/>
          <w:divBdr>
            <w:top w:val="none" w:sz="0" w:space="0" w:color="auto"/>
            <w:left w:val="none" w:sz="0" w:space="0" w:color="auto"/>
            <w:bottom w:val="none" w:sz="0" w:space="0" w:color="auto"/>
            <w:right w:val="none" w:sz="0" w:space="0" w:color="auto"/>
          </w:divBdr>
        </w:div>
        <w:div w:id="1317763820">
          <w:marLeft w:val="547"/>
          <w:marRight w:val="0"/>
          <w:marTop w:val="96"/>
          <w:marBottom w:val="0"/>
          <w:divBdr>
            <w:top w:val="none" w:sz="0" w:space="0" w:color="auto"/>
            <w:left w:val="none" w:sz="0" w:space="0" w:color="auto"/>
            <w:bottom w:val="none" w:sz="0" w:space="0" w:color="auto"/>
            <w:right w:val="none" w:sz="0" w:space="0" w:color="auto"/>
          </w:divBdr>
        </w:div>
        <w:div w:id="1634478944">
          <w:marLeft w:val="1166"/>
          <w:marRight w:val="0"/>
          <w:marTop w:val="86"/>
          <w:marBottom w:val="0"/>
          <w:divBdr>
            <w:top w:val="none" w:sz="0" w:space="0" w:color="auto"/>
            <w:left w:val="none" w:sz="0" w:space="0" w:color="auto"/>
            <w:bottom w:val="none" w:sz="0" w:space="0" w:color="auto"/>
            <w:right w:val="none" w:sz="0" w:space="0" w:color="auto"/>
          </w:divBdr>
        </w:div>
      </w:divsChild>
    </w:div>
    <w:div w:id="1603563691">
      <w:bodyDiv w:val="1"/>
      <w:marLeft w:val="0"/>
      <w:marRight w:val="0"/>
      <w:marTop w:val="0"/>
      <w:marBottom w:val="0"/>
      <w:divBdr>
        <w:top w:val="none" w:sz="0" w:space="0" w:color="auto"/>
        <w:left w:val="none" w:sz="0" w:space="0" w:color="auto"/>
        <w:bottom w:val="none" w:sz="0" w:space="0" w:color="auto"/>
        <w:right w:val="none" w:sz="0" w:space="0" w:color="auto"/>
      </w:divBdr>
    </w:div>
    <w:div w:id="1689286218">
      <w:bodyDiv w:val="1"/>
      <w:marLeft w:val="0"/>
      <w:marRight w:val="0"/>
      <w:marTop w:val="0"/>
      <w:marBottom w:val="0"/>
      <w:divBdr>
        <w:top w:val="none" w:sz="0" w:space="0" w:color="auto"/>
        <w:left w:val="none" w:sz="0" w:space="0" w:color="auto"/>
        <w:bottom w:val="none" w:sz="0" w:space="0" w:color="auto"/>
        <w:right w:val="none" w:sz="0" w:space="0" w:color="auto"/>
      </w:divBdr>
      <w:divsChild>
        <w:div w:id="170024814">
          <w:marLeft w:val="1166"/>
          <w:marRight w:val="0"/>
          <w:marTop w:val="86"/>
          <w:marBottom w:val="0"/>
          <w:divBdr>
            <w:top w:val="none" w:sz="0" w:space="0" w:color="auto"/>
            <w:left w:val="none" w:sz="0" w:space="0" w:color="auto"/>
            <w:bottom w:val="none" w:sz="0" w:space="0" w:color="auto"/>
            <w:right w:val="none" w:sz="0" w:space="0" w:color="auto"/>
          </w:divBdr>
        </w:div>
        <w:div w:id="708184677">
          <w:marLeft w:val="1166"/>
          <w:marRight w:val="0"/>
          <w:marTop w:val="86"/>
          <w:marBottom w:val="0"/>
          <w:divBdr>
            <w:top w:val="none" w:sz="0" w:space="0" w:color="auto"/>
            <w:left w:val="none" w:sz="0" w:space="0" w:color="auto"/>
            <w:bottom w:val="none" w:sz="0" w:space="0" w:color="auto"/>
            <w:right w:val="none" w:sz="0" w:space="0" w:color="auto"/>
          </w:divBdr>
        </w:div>
        <w:div w:id="894389931">
          <w:marLeft w:val="1166"/>
          <w:marRight w:val="0"/>
          <w:marTop w:val="86"/>
          <w:marBottom w:val="0"/>
          <w:divBdr>
            <w:top w:val="none" w:sz="0" w:space="0" w:color="auto"/>
            <w:left w:val="none" w:sz="0" w:space="0" w:color="auto"/>
            <w:bottom w:val="none" w:sz="0" w:space="0" w:color="auto"/>
            <w:right w:val="none" w:sz="0" w:space="0" w:color="auto"/>
          </w:divBdr>
        </w:div>
        <w:div w:id="903178478">
          <w:marLeft w:val="547"/>
          <w:marRight w:val="0"/>
          <w:marTop w:val="96"/>
          <w:marBottom w:val="0"/>
          <w:divBdr>
            <w:top w:val="none" w:sz="0" w:space="0" w:color="auto"/>
            <w:left w:val="none" w:sz="0" w:space="0" w:color="auto"/>
            <w:bottom w:val="none" w:sz="0" w:space="0" w:color="auto"/>
            <w:right w:val="none" w:sz="0" w:space="0" w:color="auto"/>
          </w:divBdr>
        </w:div>
        <w:div w:id="927613683">
          <w:marLeft w:val="1166"/>
          <w:marRight w:val="0"/>
          <w:marTop w:val="86"/>
          <w:marBottom w:val="0"/>
          <w:divBdr>
            <w:top w:val="none" w:sz="0" w:space="0" w:color="auto"/>
            <w:left w:val="none" w:sz="0" w:space="0" w:color="auto"/>
            <w:bottom w:val="none" w:sz="0" w:space="0" w:color="auto"/>
            <w:right w:val="none" w:sz="0" w:space="0" w:color="auto"/>
          </w:divBdr>
        </w:div>
        <w:div w:id="1001352905">
          <w:marLeft w:val="547"/>
          <w:marRight w:val="0"/>
          <w:marTop w:val="96"/>
          <w:marBottom w:val="0"/>
          <w:divBdr>
            <w:top w:val="none" w:sz="0" w:space="0" w:color="auto"/>
            <w:left w:val="none" w:sz="0" w:space="0" w:color="auto"/>
            <w:bottom w:val="none" w:sz="0" w:space="0" w:color="auto"/>
            <w:right w:val="none" w:sz="0" w:space="0" w:color="auto"/>
          </w:divBdr>
        </w:div>
        <w:div w:id="1216551910">
          <w:marLeft w:val="1166"/>
          <w:marRight w:val="0"/>
          <w:marTop w:val="86"/>
          <w:marBottom w:val="0"/>
          <w:divBdr>
            <w:top w:val="none" w:sz="0" w:space="0" w:color="auto"/>
            <w:left w:val="none" w:sz="0" w:space="0" w:color="auto"/>
            <w:bottom w:val="none" w:sz="0" w:space="0" w:color="auto"/>
            <w:right w:val="none" w:sz="0" w:space="0" w:color="auto"/>
          </w:divBdr>
        </w:div>
        <w:div w:id="1334336937">
          <w:marLeft w:val="547"/>
          <w:marRight w:val="0"/>
          <w:marTop w:val="96"/>
          <w:marBottom w:val="0"/>
          <w:divBdr>
            <w:top w:val="none" w:sz="0" w:space="0" w:color="auto"/>
            <w:left w:val="none" w:sz="0" w:space="0" w:color="auto"/>
            <w:bottom w:val="none" w:sz="0" w:space="0" w:color="auto"/>
            <w:right w:val="none" w:sz="0" w:space="0" w:color="auto"/>
          </w:divBdr>
        </w:div>
        <w:div w:id="1735352122">
          <w:marLeft w:val="547"/>
          <w:marRight w:val="0"/>
          <w:marTop w:val="96"/>
          <w:marBottom w:val="0"/>
          <w:divBdr>
            <w:top w:val="none" w:sz="0" w:space="0" w:color="auto"/>
            <w:left w:val="none" w:sz="0" w:space="0" w:color="auto"/>
            <w:bottom w:val="none" w:sz="0" w:space="0" w:color="auto"/>
            <w:right w:val="none" w:sz="0" w:space="0" w:color="auto"/>
          </w:divBdr>
        </w:div>
        <w:div w:id="1890678778">
          <w:marLeft w:val="1166"/>
          <w:marRight w:val="0"/>
          <w:marTop w:val="86"/>
          <w:marBottom w:val="0"/>
          <w:divBdr>
            <w:top w:val="none" w:sz="0" w:space="0" w:color="auto"/>
            <w:left w:val="none" w:sz="0" w:space="0" w:color="auto"/>
            <w:bottom w:val="none" w:sz="0" w:space="0" w:color="auto"/>
            <w:right w:val="none" w:sz="0" w:space="0" w:color="auto"/>
          </w:divBdr>
        </w:div>
        <w:div w:id="1910188530">
          <w:marLeft w:val="547"/>
          <w:marRight w:val="0"/>
          <w:marTop w:val="96"/>
          <w:marBottom w:val="0"/>
          <w:divBdr>
            <w:top w:val="none" w:sz="0" w:space="0" w:color="auto"/>
            <w:left w:val="none" w:sz="0" w:space="0" w:color="auto"/>
            <w:bottom w:val="none" w:sz="0" w:space="0" w:color="auto"/>
            <w:right w:val="none" w:sz="0" w:space="0" w:color="auto"/>
          </w:divBdr>
        </w:div>
      </w:divsChild>
    </w:div>
    <w:div w:id="1771469019">
      <w:bodyDiv w:val="1"/>
      <w:marLeft w:val="0"/>
      <w:marRight w:val="0"/>
      <w:marTop w:val="0"/>
      <w:marBottom w:val="0"/>
      <w:divBdr>
        <w:top w:val="none" w:sz="0" w:space="0" w:color="auto"/>
        <w:left w:val="none" w:sz="0" w:space="0" w:color="auto"/>
        <w:bottom w:val="none" w:sz="0" w:space="0" w:color="auto"/>
        <w:right w:val="none" w:sz="0" w:space="0" w:color="auto"/>
      </w:divBdr>
      <w:divsChild>
        <w:div w:id="147093123">
          <w:marLeft w:val="547"/>
          <w:marRight w:val="0"/>
          <w:marTop w:val="86"/>
          <w:marBottom w:val="0"/>
          <w:divBdr>
            <w:top w:val="none" w:sz="0" w:space="0" w:color="auto"/>
            <w:left w:val="none" w:sz="0" w:space="0" w:color="auto"/>
            <w:bottom w:val="none" w:sz="0" w:space="0" w:color="auto"/>
            <w:right w:val="none" w:sz="0" w:space="0" w:color="auto"/>
          </w:divBdr>
        </w:div>
        <w:div w:id="430395233">
          <w:marLeft w:val="547"/>
          <w:marRight w:val="0"/>
          <w:marTop w:val="86"/>
          <w:marBottom w:val="0"/>
          <w:divBdr>
            <w:top w:val="none" w:sz="0" w:space="0" w:color="auto"/>
            <w:left w:val="none" w:sz="0" w:space="0" w:color="auto"/>
            <w:bottom w:val="none" w:sz="0" w:space="0" w:color="auto"/>
            <w:right w:val="none" w:sz="0" w:space="0" w:color="auto"/>
          </w:divBdr>
        </w:div>
        <w:div w:id="536092260">
          <w:marLeft w:val="547"/>
          <w:marRight w:val="0"/>
          <w:marTop w:val="86"/>
          <w:marBottom w:val="0"/>
          <w:divBdr>
            <w:top w:val="none" w:sz="0" w:space="0" w:color="auto"/>
            <w:left w:val="none" w:sz="0" w:space="0" w:color="auto"/>
            <w:bottom w:val="none" w:sz="0" w:space="0" w:color="auto"/>
            <w:right w:val="none" w:sz="0" w:space="0" w:color="auto"/>
          </w:divBdr>
        </w:div>
        <w:div w:id="930428286">
          <w:marLeft w:val="547"/>
          <w:marRight w:val="0"/>
          <w:marTop w:val="86"/>
          <w:marBottom w:val="0"/>
          <w:divBdr>
            <w:top w:val="none" w:sz="0" w:space="0" w:color="auto"/>
            <w:left w:val="none" w:sz="0" w:space="0" w:color="auto"/>
            <w:bottom w:val="none" w:sz="0" w:space="0" w:color="auto"/>
            <w:right w:val="none" w:sz="0" w:space="0" w:color="auto"/>
          </w:divBdr>
        </w:div>
        <w:div w:id="1332106083">
          <w:marLeft w:val="1166"/>
          <w:marRight w:val="0"/>
          <w:marTop w:val="77"/>
          <w:marBottom w:val="0"/>
          <w:divBdr>
            <w:top w:val="none" w:sz="0" w:space="0" w:color="auto"/>
            <w:left w:val="none" w:sz="0" w:space="0" w:color="auto"/>
            <w:bottom w:val="none" w:sz="0" w:space="0" w:color="auto"/>
            <w:right w:val="none" w:sz="0" w:space="0" w:color="auto"/>
          </w:divBdr>
        </w:div>
        <w:div w:id="1821773216">
          <w:marLeft w:val="547"/>
          <w:marRight w:val="0"/>
          <w:marTop w:val="86"/>
          <w:marBottom w:val="0"/>
          <w:divBdr>
            <w:top w:val="none" w:sz="0" w:space="0" w:color="auto"/>
            <w:left w:val="none" w:sz="0" w:space="0" w:color="auto"/>
            <w:bottom w:val="none" w:sz="0" w:space="0" w:color="auto"/>
            <w:right w:val="none" w:sz="0" w:space="0" w:color="auto"/>
          </w:divBdr>
        </w:div>
        <w:div w:id="1984844090">
          <w:marLeft w:val="1166"/>
          <w:marRight w:val="0"/>
          <w:marTop w:val="77"/>
          <w:marBottom w:val="0"/>
          <w:divBdr>
            <w:top w:val="none" w:sz="0" w:space="0" w:color="auto"/>
            <w:left w:val="none" w:sz="0" w:space="0" w:color="auto"/>
            <w:bottom w:val="none" w:sz="0" w:space="0" w:color="auto"/>
            <w:right w:val="none" w:sz="0" w:space="0" w:color="auto"/>
          </w:divBdr>
        </w:div>
      </w:divsChild>
    </w:div>
    <w:div w:id="1823765927">
      <w:bodyDiv w:val="1"/>
      <w:marLeft w:val="0"/>
      <w:marRight w:val="0"/>
      <w:marTop w:val="0"/>
      <w:marBottom w:val="0"/>
      <w:divBdr>
        <w:top w:val="none" w:sz="0" w:space="0" w:color="auto"/>
        <w:left w:val="none" w:sz="0" w:space="0" w:color="auto"/>
        <w:bottom w:val="none" w:sz="0" w:space="0" w:color="auto"/>
        <w:right w:val="none" w:sz="0" w:space="0" w:color="auto"/>
      </w:divBdr>
      <w:divsChild>
        <w:div w:id="733351473">
          <w:marLeft w:val="547"/>
          <w:marRight w:val="0"/>
          <w:marTop w:val="125"/>
          <w:marBottom w:val="0"/>
          <w:divBdr>
            <w:top w:val="none" w:sz="0" w:space="0" w:color="auto"/>
            <w:left w:val="none" w:sz="0" w:space="0" w:color="auto"/>
            <w:bottom w:val="none" w:sz="0" w:space="0" w:color="auto"/>
            <w:right w:val="none" w:sz="0" w:space="0" w:color="auto"/>
          </w:divBdr>
        </w:div>
        <w:div w:id="301732360">
          <w:marLeft w:val="547"/>
          <w:marRight w:val="0"/>
          <w:marTop w:val="125"/>
          <w:marBottom w:val="0"/>
          <w:divBdr>
            <w:top w:val="none" w:sz="0" w:space="0" w:color="auto"/>
            <w:left w:val="none" w:sz="0" w:space="0" w:color="auto"/>
            <w:bottom w:val="none" w:sz="0" w:space="0" w:color="auto"/>
            <w:right w:val="none" w:sz="0" w:space="0" w:color="auto"/>
          </w:divBdr>
        </w:div>
        <w:div w:id="1504784101">
          <w:marLeft w:val="1166"/>
          <w:marRight w:val="0"/>
          <w:marTop w:val="106"/>
          <w:marBottom w:val="0"/>
          <w:divBdr>
            <w:top w:val="none" w:sz="0" w:space="0" w:color="auto"/>
            <w:left w:val="none" w:sz="0" w:space="0" w:color="auto"/>
            <w:bottom w:val="none" w:sz="0" w:space="0" w:color="auto"/>
            <w:right w:val="none" w:sz="0" w:space="0" w:color="auto"/>
          </w:divBdr>
        </w:div>
        <w:div w:id="2066370769">
          <w:marLeft w:val="547"/>
          <w:marRight w:val="0"/>
          <w:marTop w:val="125"/>
          <w:marBottom w:val="0"/>
          <w:divBdr>
            <w:top w:val="none" w:sz="0" w:space="0" w:color="auto"/>
            <w:left w:val="none" w:sz="0" w:space="0" w:color="auto"/>
            <w:bottom w:val="none" w:sz="0" w:space="0" w:color="auto"/>
            <w:right w:val="none" w:sz="0" w:space="0" w:color="auto"/>
          </w:divBdr>
        </w:div>
        <w:div w:id="1983466033">
          <w:marLeft w:val="1166"/>
          <w:marRight w:val="0"/>
          <w:marTop w:val="106"/>
          <w:marBottom w:val="0"/>
          <w:divBdr>
            <w:top w:val="none" w:sz="0" w:space="0" w:color="auto"/>
            <w:left w:val="none" w:sz="0" w:space="0" w:color="auto"/>
            <w:bottom w:val="none" w:sz="0" w:space="0" w:color="auto"/>
            <w:right w:val="none" w:sz="0" w:space="0" w:color="auto"/>
          </w:divBdr>
        </w:div>
        <w:div w:id="315650125">
          <w:marLeft w:val="1166"/>
          <w:marRight w:val="0"/>
          <w:marTop w:val="106"/>
          <w:marBottom w:val="0"/>
          <w:divBdr>
            <w:top w:val="none" w:sz="0" w:space="0" w:color="auto"/>
            <w:left w:val="none" w:sz="0" w:space="0" w:color="auto"/>
            <w:bottom w:val="none" w:sz="0" w:space="0" w:color="auto"/>
            <w:right w:val="none" w:sz="0" w:space="0" w:color="auto"/>
          </w:divBdr>
        </w:div>
        <w:div w:id="1030882938">
          <w:marLeft w:val="1166"/>
          <w:marRight w:val="0"/>
          <w:marTop w:val="106"/>
          <w:marBottom w:val="0"/>
          <w:divBdr>
            <w:top w:val="none" w:sz="0" w:space="0" w:color="auto"/>
            <w:left w:val="none" w:sz="0" w:space="0" w:color="auto"/>
            <w:bottom w:val="none" w:sz="0" w:space="0" w:color="auto"/>
            <w:right w:val="none" w:sz="0" w:space="0" w:color="auto"/>
          </w:divBdr>
        </w:div>
        <w:div w:id="321543399">
          <w:marLeft w:val="1166"/>
          <w:marRight w:val="0"/>
          <w:marTop w:val="106"/>
          <w:marBottom w:val="0"/>
          <w:divBdr>
            <w:top w:val="none" w:sz="0" w:space="0" w:color="auto"/>
            <w:left w:val="none" w:sz="0" w:space="0" w:color="auto"/>
            <w:bottom w:val="none" w:sz="0" w:space="0" w:color="auto"/>
            <w:right w:val="none" w:sz="0" w:space="0" w:color="auto"/>
          </w:divBdr>
        </w:div>
        <w:div w:id="1497065679">
          <w:marLeft w:val="1166"/>
          <w:marRight w:val="0"/>
          <w:marTop w:val="106"/>
          <w:marBottom w:val="0"/>
          <w:divBdr>
            <w:top w:val="none" w:sz="0" w:space="0" w:color="auto"/>
            <w:left w:val="none" w:sz="0" w:space="0" w:color="auto"/>
            <w:bottom w:val="none" w:sz="0" w:space="0" w:color="auto"/>
            <w:right w:val="none" w:sz="0" w:space="0" w:color="auto"/>
          </w:divBdr>
        </w:div>
        <w:div w:id="1019159563">
          <w:marLeft w:val="1166"/>
          <w:marRight w:val="0"/>
          <w:marTop w:val="106"/>
          <w:marBottom w:val="0"/>
          <w:divBdr>
            <w:top w:val="none" w:sz="0" w:space="0" w:color="auto"/>
            <w:left w:val="none" w:sz="0" w:space="0" w:color="auto"/>
            <w:bottom w:val="none" w:sz="0" w:space="0" w:color="auto"/>
            <w:right w:val="none" w:sz="0" w:space="0" w:color="auto"/>
          </w:divBdr>
        </w:div>
        <w:div w:id="121384415">
          <w:marLeft w:val="1166"/>
          <w:marRight w:val="0"/>
          <w:marTop w:val="106"/>
          <w:marBottom w:val="0"/>
          <w:divBdr>
            <w:top w:val="none" w:sz="0" w:space="0" w:color="auto"/>
            <w:left w:val="none" w:sz="0" w:space="0" w:color="auto"/>
            <w:bottom w:val="none" w:sz="0" w:space="0" w:color="auto"/>
            <w:right w:val="none" w:sz="0" w:space="0" w:color="auto"/>
          </w:divBdr>
        </w:div>
      </w:divsChild>
    </w:div>
    <w:div w:id="2097021396">
      <w:bodyDiv w:val="1"/>
      <w:marLeft w:val="0"/>
      <w:marRight w:val="0"/>
      <w:marTop w:val="0"/>
      <w:marBottom w:val="0"/>
      <w:divBdr>
        <w:top w:val="none" w:sz="0" w:space="0" w:color="auto"/>
        <w:left w:val="none" w:sz="0" w:space="0" w:color="auto"/>
        <w:bottom w:val="none" w:sz="0" w:space="0" w:color="auto"/>
        <w:right w:val="none" w:sz="0" w:space="0" w:color="auto"/>
      </w:divBdr>
      <w:divsChild>
        <w:div w:id="1976794564">
          <w:marLeft w:val="0"/>
          <w:marRight w:val="0"/>
          <w:marTop w:val="0"/>
          <w:marBottom w:val="0"/>
          <w:divBdr>
            <w:top w:val="none" w:sz="0" w:space="0" w:color="auto"/>
            <w:left w:val="none" w:sz="0" w:space="0" w:color="auto"/>
            <w:bottom w:val="none" w:sz="0" w:space="0" w:color="auto"/>
            <w:right w:val="none" w:sz="0" w:space="0" w:color="auto"/>
          </w:divBdr>
          <w:divsChild>
            <w:div w:id="243534765">
              <w:marLeft w:val="0"/>
              <w:marRight w:val="0"/>
              <w:marTop w:val="0"/>
              <w:marBottom w:val="0"/>
              <w:divBdr>
                <w:top w:val="none" w:sz="0" w:space="0" w:color="auto"/>
                <w:left w:val="none" w:sz="0" w:space="0" w:color="auto"/>
                <w:bottom w:val="none" w:sz="0" w:space="0" w:color="auto"/>
                <w:right w:val="none" w:sz="0" w:space="0" w:color="auto"/>
              </w:divBdr>
            </w:div>
            <w:div w:id="376588846">
              <w:marLeft w:val="0"/>
              <w:marRight w:val="0"/>
              <w:marTop w:val="0"/>
              <w:marBottom w:val="0"/>
              <w:divBdr>
                <w:top w:val="none" w:sz="0" w:space="0" w:color="auto"/>
                <w:left w:val="none" w:sz="0" w:space="0" w:color="auto"/>
                <w:bottom w:val="none" w:sz="0" w:space="0" w:color="auto"/>
                <w:right w:val="none" w:sz="0" w:space="0" w:color="auto"/>
              </w:divBdr>
            </w:div>
            <w:div w:id="526867802">
              <w:marLeft w:val="0"/>
              <w:marRight w:val="0"/>
              <w:marTop w:val="0"/>
              <w:marBottom w:val="0"/>
              <w:divBdr>
                <w:top w:val="none" w:sz="0" w:space="0" w:color="auto"/>
                <w:left w:val="none" w:sz="0" w:space="0" w:color="auto"/>
                <w:bottom w:val="none" w:sz="0" w:space="0" w:color="auto"/>
                <w:right w:val="none" w:sz="0" w:space="0" w:color="auto"/>
              </w:divBdr>
            </w:div>
            <w:div w:id="1216357842">
              <w:marLeft w:val="0"/>
              <w:marRight w:val="0"/>
              <w:marTop w:val="0"/>
              <w:marBottom w:val="0"/>
              <w:divBdr>
                <w:top w:val="none" w:sz="0" w:space="0" w:color="auto"/>
                <w:left w:val="none" w:sz="0" w:space="0" w:color="auto"/>
                <w:bottom w:val="none" w:sz="0" w:space="0" w:color="auto"/>
                <w:right w:val="none" w:sz="0" w:space="0" w:color="auto"/>
              </w:divBdr>
            </w:div>
            <w:div w:id="1346903216">
              <w:marLeft w:val="0"/>
              <w:marRight w:val="0"/>
              <w:marTop w:val="0"/>
              <w:marBottom w:val="0"/>
              <w:divBdr>
                <w:top w:val="none" w:sz="0" w:space="0" w:color="auto"/>
                <w:left w:val="none" w:sz="0" w:space="0" w:color="auto"/>
                <w:bottom w:val="none" w:sz="0" w:space="0" w:color="auto"/>
                <w:right w:val="none" w:sz="0" w:space="0" w:color="auto"/>
              </w:divBdr>
            </w:div>
            <w:div w:id="1370569326">
              <w:marLeft w:val="0"/>
              <w:marRight w:val="0"/>
              <w:marTop w:val="0"/>
              <w:marBottom w:val="0"/>
              <w:divBdr>
                <w:top w:val="none" w:sz="0" w:space="0" w:color="auto"/>
                <w:left w:val="none" w:sz="0" w:space="0" w:color="auto"/>
                <w:bottom w:val="none" w:sz="0" w:space="0" w:color="auto"/>
                <w:right w:val="none" w:sz="0" w:space="0" w:color="auto"/>
              </w:divBdr>
            </w:div>
            <w:div w:id="1604917343">
              <w:marLeft w:val="0"/>
              <w:marRight w:val="0"/>
              <w:marTop w:val="0"/>
              <w:marBottom w:val="0"/>
              <w:divBdr>
                <w:top w:val="none" w:sz="0" w:space="0" w:color="auto"/>
                <w:left w:val="none" w:sz="0" w:space="0" w:color="auto"/>
                <w:bottom w:val="none" w:sz="0" w:space="0" w:color="auto"/>
                <w:right w:val="none" w:sz="0" w:space="0" w:color="auto"/>
              </w:divBdr>
            </w:div>
            <w:div w:id="1961716992">
              <w:marLeft w:val="0"/>
              <w:marRight w:val="0"/>
              <w:marTop w:val="0"/>
              <w:marBottom w:val="0"/>
              <w:divBdr>
                <w:top w:val="none" w:sz="0" w:space="0" w:color="auto"/>
                <w:left w:val="none" w:sz="0" w:space="0" w:color="auto"/>
                <w:bottom w:val="none" w:sz="0" w:space="0" w:color="auto"/>
                <w:right w:val="none" w:sz="0" w:space="0" w:color="auto"/>
              </w:divBdr>
            </w:div>
            <w:div w:id="21274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193F4-DADC-48FB-A2AA-A9B62A4A6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1226</Words>
  <Characters>6989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8199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Gary Boudreau</cp:lastModifiedBy>
  <cp:revision>5</cp:revision>
  <cp:lastPrinted>2011-11-07T16:11:00Z</cp:lastPrinted>
  <dcterms:created xsi:type="dcterms:W3CDTF">2016-08-12T15:05:00Z</dcterms:created>
  <dcterms:modified xsi:type="dcterms:W3CDTF">2016-08-12T18:09:00Z</dcterms:modified>
</cp:coreProperties>
</file>