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52700" w:rsidRPr="00EC4797" w:rsidRDefault="00D52700" w:rsidP="00D52700">
      <w:pPr>
        <w:tabs>
          <w:tab w:val="right" w:pos="9639"/>
        </w:tabs>
        <w:spacing w:after="0"/>
        <w:rPr>
          <w:rFonts w:ascii="Arial" w:hAnsi="Arial"/>
          <w:b/>
          <w:i/>
          <w:noProof/>
          <w:sz w:val="28"/>
        </w:rPr>
      </w:pPr>
      <w:r>
        <w:rPr>
          <w:rFonts w:ascii="Arial" w:hAnsi="Arial"/>
          <w:b/>
          <w:noProof/>
          <w:sz w:val="24"/>
        </w:rPr>
        <w:t>3GPP RAN4</w:t>
      </w:r>
      <w:r w:rsidRPr="00EC4797">
        <w:rPr>
          <w:rFonts w:ascii="Arial" w:hAnsi="Arial"/>
          <w:b/>
          <w:noProof/>
          <w:sz w:val="24"/>
        </w:rPr>
        <w:t xml:space="preserve"> Meeting #7</w:t>
      </w:r>
      <w:r>
        <w:rPr>
          <w:rFonts w:ascii="Arial" w:hAnsi="Arial"/>
          <w:b/>
          <w:noProof/>
          <w:sz w:val="24"/>
        </w:rPr>
        <w:t>8-BIS</w:t>
      </w:r>
      <w:r w:rsidRPr="00EC4797">
        <w:rPr>
          <w:rFonts w:ascii="Arial" w:hAnsi="Arial"/>
          <w:b/>
          <w:i/>
          <w:noProof/>
          <w:sz w:val="28"/>
        </w:rPr>
        <w:t xml:space="preserve">  </w:t>
      </w:r>
      <w:r w:rsidRPr="00EC4797">
        <w:rPr>
          <w:rFonts w:ascii="Arial" w:hAnsi="Arial"/>
          <w:b/>
          <w:sz w:val="18"/>
        </w:rPr>
        <w:t xml:space="preserve">  </w:t>
      </w:r>
      <w:r w:rsidRPr="00EC4797">
        <w:rPr>
          <w:rFonts w:ascii="Arial" w:hAnsi="Arial"/>
          <w:b/>
          <w:noProof/>
          <w:sz w:val="28"/>
        </w:rPr>
        <w:t xml:space="preserve">                                        </w:t>
      </w:r>
      <w:r w:rsidR="004B327D">
        <w:rPr>
          <w:rFonts w:ascii="Arial" w:hAnsi="Arial"/>
          <w:b/>
          <w:noProof/>
          <w:sz w:val="28"/>
        </w:rPr>
        <w:t xml:space="preserve">           </w:t>
      </w:r>
      <w:r w:rsidRPr="00EC4797">
        <w:rPr>
          <w:rFonts w:ascii="Arial" w:hAnsi="Arial"/>
          <w:b/>
          <w:noProof/>
          <w:sz w:val="28"/>
        </w:rPr>
        <w:t>R4-</w:t>
      </w:r>
      <w:r w:rsidR="00E75AAB">
        <w:rPr>
          <w:rFonts w:ascii="Arial" w:hAnsi="Arial"/>
          <w:b/>
          <w:noProof/>
          <w:sz w:val="28"/>
        </w:rPr>
        <w:t>16</w:t>
      </w:r>
      <w:r w:rsidR="00E75AAB">
        <w:rPr>
          <w:rFonts w:ascii="Arial" w:hAnsi="Arial"/>
          <w:b/>
          <w:noProof/>
          <w:sz w:val="28"/>
        </w:rPr>
        <w:t>3071</w:t>
      </w:r>
    </w:p>
    <w:p w:rsidR="00D52700" w:rsidRPr="00EC4797" w:rsidRDefault="00D52700" w:rsidP="00D52700">
      <w:pPr>
        <w:spacing w:after="120"/>
        <w:outlineLvl w:val="0"/>
        <w:rPr>
          <w:rFonts w:ascii="Arial" w:hAnsi="Arial"/>
          <w:b/>
          <w:noProof/>
          <w:sz w:val="24"/>
          <w:lang w:val="it-IT"/>
        </w:rPr>
      </w:pPr>
      <w:r>
        <w:rPr>
          <w:rFonts w:ascii="Arial" w:hAnsi="Arial"/>
          <w:b/>
          <w:noProof/>
          <w:sz w:val="24"/>
          <w:lang w:val="it-IT"/>
        </w:rPr>
        <w:t>San Jose del Cabo,  Mexico,  April 11-15</w:t>
      </w:r>
      <w:r w:rsidRPr="00EC4797">
        <w:rPr>
          <w:rFonts w:ascii="Arial" w:hAnsi="Arial"/>
          <w:b/>
          <w:noProof/>
          <w:sz w:val="24"/>
          <w:lang w:val="it-IT"/>
        </w:rPr>
        <w:t xml:space="preserve"> 201</w:t>
      </w:r>
      <w:r>
        <w:rPr>
          <w:rFonts w:ascii="Arial" w:hAnsi="Arial"/>
          <w:b/>
          <w:noProof/>
          <w:sz w:val="24"/>
          <w:lang w:val="it-IT"/>
        </w:rPr>
        <w:t>6</w:t>
      </w:r>
    </w:p>
    <w:p w:rsidR="00D52700" w:rsidRDefault="00D52700" w:rsidP="00D52700">
      <w:pPr>
        <w:tabs>
          <w:tab w:val="left" w:pos="1985"/>
        </w:tabs>
        <w:jc w:val="both"/>
        <w:rPr>
          <w:b/>
          <w:sz w:val="22"/>
        </w:rPr>
      </w:pPr>
    </w:p>
    <w:p w:rsidR="00D52700" w:rsidRPr="00B16EEF" w:rsidRDefault="00D52700" w:rsidP="00D52700">
      <w:pPr>
        <w:tabs>
          <w:tab w:val="left" w:pos="1985"/>
        </w:tabs>
        <w:rPr>
          <w:b/>
          <w:sz w:val="22"/>
        </w:rPr>
      </w:pPr>
      <w:r w:rsidRPr="00B16EEF">
        <w:rPr>
          <w:b/>
          <w:sz w:val="22"/>
        </w:rPr>
        <w:t xml:space="preserve">Source: </w:t>
      </w:r>
      <w:r w:rsidRPr="00B16EEF">
        <w:rPr>
          <w:b/>
          <w:sz w:val="22"/>
        </w:rPr>
        <w:tab/>
      </w:r>
      <w:r>
        <w:rPr>
          <w:sz w:val="22"/>
        </w:rPr>
        <w:t xml:space="preserve">Motorola </w:t>
      </w:r>
      <w:r w:rsidRPr="00A47707">
        <w:rPr>
          <w:sz w:val="22"/>
        </w:rPr>
        <w:t>Mobility</w:t>
      </w:r>
      <w:r>
        <w:rPr>
          <w:sz w:val="22"/>
        </w:rPr>
        <w:t xml:space="preserve"> LLC, Sony</w:t>
      </w:r>
      <w:r w:rsidR="0056640D">
        <w:rPr>
          <w:sz w:val="22"/>
        </w:rPr>
        <w:t>, Intel</w:t>
      </w:r>
      <w:r w:rsidR="00665BEC">
        <w:rPr>
          <w:sz w:val="22"/>
        </w:rPr>
        <w:t xml:space="preserve">, </w:t>
      </w:r>
      <w:proofErr w:type="spellStart"/>
      <w:r w:rsidR="00665BEC">
        <w:rPr>
          <w:sz w:val="22"/>
        </w:rPr>
        <w:t>Huawei</w:t>
      </w:r>
      <w:proofErr w:type="spellEnd"/>
      <w:r>
        <w:rPr>
          <w:sz w:val="22"/>
        </w:rPr>
        <w:t xml:space="preserve"> </w:t>
      </w:r>
      <w:r w:rsidR="00E75AAB">
        <w:rPr>
          <w:sz w:val="22"/>
        </w:rPr>
        <w:t>and AT&amp;T</w:t>
      </w:r>
    </w:p>
    <w:p w:rsidR="00D52700" w:rsidRPr="00090CC0" w:rsidRDefault="00D52700" w:rsidP="00D52700">
      <w:pPr>
        <w:tabs>
          <w:tab w:val="left" w:pos="1985"/>
        </w:tabs>
        <w:ind w:left="1980" w:hanging="1980"/>
        <w:jc w:val="both"/>
        <w:rPr>
          <w:b/>
          <w:sz w:val="22"/>
        </w:rPr>
      </w:pPr>
      <w:r w:rsidRPr="00B16EEF">
        <w:rPr>
          <w:b/>
          <w:sz w:val="22"/>
        </w:rPr>
        <w:t>Title:</w:t>
      </w:r>
      <w:r>
        <w:rPr>
          <w:sz w:val="22"/>
        </w:rPr>
        <w:t xml:space="preserve"> </w:t>
      </w:r>
      <w:r>
        <w:rPr>
          <w:sz w:val="22"/>
        </w:rPr>
        <w:tab/>
      </w:r>
      <w:r>
        <w:rPr>
          <w:sz w:val="22"/>
        </w:rPr>
        <w:tab/>
        <w:t xml:space="preserve">UTRA BHH TRP/TRS performance requirements </w:t>
      </w:r>
    </w:p>
    <w:p w:rsidR="00D52700" w:rsidRDefault="00D52700" w:rsidP="00D52700">
      <w:pPr>
        <w:tabs>
          <w:tab w:val="left" w:pos="1985"/>
          <w:tab w:val="left" w:pos="2608"/>
          <w:tab w:val="left" w:pos="7140"/>
        </w:tabs>
        <w:rPr>
          <w:sz w:val="22"/>
        </w:rPr>
      </w:pPr>
      <w:r w:rsidRPr="00B16EEF">
        <w:rPr>
          <w:b/>
          <w:sz w:val="22"/>
        </w:rPr>
        <w:t>Agenda Item:</w:t>
      </w:r>
      <w:r>
        <w:rPr>
          <w:b/>
          <w:sz w:val="22"/>
        </w:rPr>
        <w:t xml:space="preserve"> </w:t>
      </w:r>
      <w:r>
        <w:rPr>
          <w:b/>
          <w:sz w:val="22"/>
        </w:rPr>
        <w:tab/>
      </w:r>
      <w:r>
        <w:rPr>
          <w:sz w:val="22"/>
        </w:rPr>
        <w:t>6.1</w:t>
      </w:r>
    </w:p>
    <w:p w:rsidR="00D52700" w:rsidRDefault="00D52700" w:rsidP="00D52700">
      <w:pPr>
        <w:tabs>
          <w:tab w:val="left" w:pos="1985"/>
        </w:tabs>
        <w:rPr>
          <w:sz w:val="22"/>
        </w:rPr>
      </w:pPr>
      <w:r w:rsidRPr="00B16EEF">
        <w:rPr>
          <w:b/>
          <w:sz w:val="22"/>
        </w:rPr>
        <w:t>Document for:</w:t>
      </w:r>
      <w:r w:rsidRPr="00B16EEF">
        <w:rPr>
          <w:sz w:val="22"/>
        </w:rPr>
        <w:tab/>
      </w:r>
      <w:r>
        <w:rPr>
          <w:sz w:val="22"/>
        </w:rPr>
        <w:t>Approval</w:t>
      </w:r>
    </w:p>
    <w:p w:rsidR="005E63DA" w:rsidRDefault="005E63DA">
      <w:pPr>
        <w:pStyle w:val="normal0"/>
        <w:tabs>
          <w:tab w:val="left" w:pos="1985"/>
        </w:tabs>
      </w:pPr>
    </w:p>
    <w:p w:rsidR="005E63DA" w:rsidRDefault="00EE4D1A">
      <w:pPr>
        <w:pStyle w:val="Heading1"/>
      </w:pPr>
      <w:r>
        <w:rPr>
          <w:rFonts w:ascii="Times New Roman" w:eastAsia="Times New Roman" w:hAnsi="Times New Roman" w:cs="Times New Roman"/>
          <w:sz w:val="28"/>
          <w:szCs w:val="28"/>
        </w:rPr>
        <w:t>1. Introduction</w:t>
      </w:r>
      <w:r>
        <w:rPr>
          <w:b/>
          <w:color w:val="FFFFF0"/>
        </w:rPr>
        <w:t xml:space="preserve"> R4-125719</w:t>
      </w:r>
    </w:p>
    <w:p w:rsidR="005E63DA" w:rsidRDefault="00EE4D1A" w:rsidP="005B433F">
      <w:pPr>
        <w:pStyle w:val="normal0"/>
      </w:pPr>
      <w:r>
        <w:t xml:space="preserve">At the end of the 3GPP RAN4 #78 the TP to TS 37.144 [1] was approved without UE UTRA or E-UTRA BHH performance requirement values. This outcome was </w:t>
      </w:r>
      <w:r w:rsidR="00126C0D">
        <w:t>due to a</w:t>
      </w:r>
      <w:r>
        <w:t xml:space="preserve"> lack of agreement on band VIII TRP, and bands V and VIII TRS.  </w:t>
      </w:r>
    </w:p>
    <w:p w:rsidR="005E63DA" w:rsidRDefault="00EE4D1A">
      <w:pPr>
        <w:pStyle w:val="normal0"/>
      </w:pPr>
      <w:r>
        <w:rPr>
          <w:sz w:val="28"/>
          <w:szCs w:val="28"/>
        </w:rPr>
        <w:t>2. Background</w:t>
      </w:r>
    </w:p>
    <w:p w:rsidR="005E63DA" w:rsidRDefault="00EE4D1A" w:rsidP="001145BE">
      <w:pPr>
        <w:pStyle w:val="normal0"/>
        <w:spacing w:after="0"/>
        <w:jc w:val="both"/>
      </w:pPr>
      <w:r>
        <w:t xml:space="preserve">During the 3GPP RAN4 #77 meeting, </w:t>
      </w:r>
      <w:r w:rsidR="0023512A">
        <w:t xml:space="preserve">the </w:t>
      </w:r>
      <w:r w:rsidR="00126C0D">
        <w:t xml:space="preserve">view </w:t>
      </w:r>
      <w:r w:rsidR="0023512A">
        <w:t xml:space="preserve">was presented </w:t>
      </w:r>
      <w:r>
        <w:t xml:space="preserve">[2] </w:t>
      </w:r>
      <w:r w:rsidR="00126C0D">
        <w:t xml:space="preserve">that </w:t>
      </w:r>
      <w:r>
        <w:t xml:space="preserve">the pass/fail criteria associated with TRP/TRS certification values should be defined based on the complete set of frequency bands </w:t>
      </w:r>
      <w:r w:rsidR="002B4B2D">
        <w:t xml:space="preserve">supported </w:t>
      </w:r>
      <w:r>
        <w:t xml:space="preserve">in the </w:t>
      </w:r>
      <w:r w:rsidR="00624C22">
        <w:t xml:space="preserve">UE </w:t>
      </w:r>
      <w:r>
        <w:t xml:space="preserve">rather than a single band radiated performance as currently defined. </w:t>
      </w:r>
      <w:r w:rsidR="00126C0D">
        <w:t xml:space="preserve">The reason for this view is that a UE which declares support </w:t>
      </w:r>
      <w:r w:rsidR="0023512A">
        <w:t xml:space="preserve">for </w:t>
      </w:r>
      <w:r w:rsidR="00126C0D">
        <w:t xml:space="preserve">four bands and fails to meet the performance requirement for any one of the four bands will fail certification.  </w:t>
      </w:r>
      <w:r w:rsidR="00624C22">
        <w:t>Based on this interpretation of the current available data t</w:t>
      </w:r>
      <w:r w:rsidR="00A52EF2">
        <w:t xml:space="preserve">he </w:t>
      </w:r>
      <w:r w:rsidR="00964935">
        <w:t>UE manufacturers believe</w:t>
      </w:r>
      <w:r w:rsidR="00624C22">
        <w:t>s</w:t>
      </w:r>
      <w:r w:rsidR="00A52EF2">
        <w:t xml:space="preserve"> </w:t>
      </w:r>
      <w:r w:rsidR="00624C22">
        <w:t xml:space="preserve">the adoption of  </w:t>
      </w:r>
      <w:r>
        <w:t xml:space="preserve">the pass/fail criteria definition on multi-band performance is </w:t>
      </w:r>
      <w:r w:rsidR="0023512A">
        <w:t>a necessary</w:t>
      </w:r>
      <w:r w:rsidR="001145BE">
        <w:t xml:space="preserve"> requirement</w:t>
      </w:r>
      <w:r w:rsidR="0023512A">
        <w:t xml:space="preserve"> </w:t>
      </w:r>
      <w:r w:rsidR="00A52EF2">
        <w:t>for today’s multi-band devices.</w:t>
      </w:r>
    </w:p>
    <w:p w:rsidR="004B327D" w:rsidRDefault="00EE4D1A" w:rsidP="001145BE">
      <w:pPr>
        <w:pStyle w:val="normal0"/>
        <w:spacing w:before="240" w:after="120" w:line="259" w:lineRule="auto"/>
        <w:jc w:val="both"/>
      </w:pPr>
      <w:r>
        <w:t xml:space="preserve">The limited amount of available data for devices </w:t>
      </w:r>
      <w:r w:rsidR="00126C0D">
        <w:t xml:space="preserve">measured for all </w:t>
      </w:r>
      <w:r>
        <w:t>four bands</w:t>
      </w:r>
      <w:r w:rsidR="002B4B2D">
        <w:t xml:space="preserve"> </w:t>
      </w:r>
      <w:r w:rsidR="0023512A">
        <w:t xml:space="preserve">indicates that two-thirds of these devices will </w:t>
      </w:r>
      <w:r>
        <w:t>fail to comply with</w:t>
      </w:r>
      <w:r w:rsidR="0023512A">
        <w:t xml:space="preserve"> any of the</w:t>
      </w:r>
      <w:r>
        <w:t xml:space="preserve"> proposed </w:t>
      </w:r>
      <w:r w:rsidR="0023512A">
        <w:t>requirements under consideration</w:t>
      </w:r>
      <w:r w:rsidR="00EE7F4C">
        <w:t xml:space="preserve"> [2]</w:t>
      </w:r>
      <w:r>
        <w:t xml:space="preserve"> when all four bands are considered.</w:t>
      </w:r>
      <w:r w:rsidR="00126C0D">
        <w:t xml:space="preserve"> </w:t>
      </w:r>
      <w:r w:rsidR="0023512A">
        <w:t xml:space="preserve">As the number of bands </w:t>
      </w:r>
      <w:r w:rsidR="00A52EF2">
        <w:t>supported by device</w:t>
      </w:r>
      <w:r>
        <w:t>s</w:t>
      </w:r>
      <w:r w:rsidR="00A52EF2">
        <w:t xml:space="preserve"> </w:t>
      </w:r>
      <w:r w:rsidR="0023512A">
        <w:t>increases, the failure rate is likely to be even higher.</w:t>
      </w:r>
    </w:p>
    <w:p w:rsidR="005E63DA" w:rsidRDefault="00EE4D1A">
      <w:pPr>
        <w:pStyle w:val="normal0"/>
      </w:pPr>
      <w:r>
        <w:rPr>
          <w:sz w:val="28"/>
          <w:szCs w:val="28"/>
        </w:rPr>
        <w:t>3. Moving Forward</w:t>
      </w:r>
    </w:p>
    <w:p w:rsidR="004C34BF" w:rsidRDefault="005A7E2F" w:rsidP="004C34BF">
      <w:pPr>
        <w:tabs>
          <w:tab w:val="left" w:pos="1985"/>
        </w:tabs>
        <w:jc w:val="both"/>
      </w:pPr>
      <w:r>
        <w:t>The authors supported the three month WI extension, and are</w:t>
      </w:r>
      <w:r w:rsidR="00EE4D1A">
        <w:t xml:space="preserve"> looking forward to </w:t>
      </w:r>
      <w:r w:rsidR="000B05A8">
        <w:t xml:space="preserve">continuing </w:t>
      </w:r>
      <w:r w:rsidR="00EE4D1A">
        <w:t xml:space="preserve">constructive discussions with the objective </w:t>
      </w:r>
      <w:r w:rsidR="000B05A8">
        <w:t xml:space="preserve">of </w:t>
      </w:r>
      <w:r w:rsidR="00EE4D1A">
        <w:t>reach</w:t>
      </w:r>
      <w:r w:rsidR="000B05A8">
        <w:t>ing</w:t>
      </w:r>
      <w:r w:rsidR="00EE4D1A">
        <w:t xml:space="preserve"> a realistic consensus.</w:t>
      </w:r>
      <w:r w:rsidR="00D52700">
        <w:t xml:space="preserve"> O</w:t>
      </w:r>
      <w:r w:rsidR="00EE4D1A">
        <w:t xml:space="preserve">ther important aspects of this complex problem should be addressed in </w:t>
      </w:r>
      <w:r w:rsidR="002B4B2D">
        <w:t>the three month extension period</w:t>
      </w:r>
      <w:r w:rsidR="00EE4D1A">
        <w:t xml:space="preserve"> such as:</w:t>
      </w:r>
    </w:p>
    <w:p w:rsidR="00DB37C7" w:rsidRDefault="00EE4D1A" w:rsidP="005B433F">
      <w:pPr>
        <w:pStyle w:val="normal0"/>
        <w:jc w:val="both"/>
      </w:pPr>
      <w:proofErr w:type="spellStart"/>
      <w:r>
        <w:t>i</w:t>
      </w:r>
      <w:proofErr w:type="spellEnd"/>
      <w:r>
        <w:t>. Performance requirement definitions for multi-band devices</w:t>
      </w:r>
    </w:p>
    <w:p w:rsidR="001145BE" w:rsidRDefault="00DB37C7" w:rsidP="005B433F">
      <w:pPr>
        <w:pStyle w:val="normal0"/>
        <w:jc w:val="both"/>
      </w:pPr>
      <w:r>
        <w:t xml:space="preserve">There are no single band devices in the </w:t>
      </w:r>
      <w:r w:rsidR="005B433F">
        <w:t xml:space="preserve">feature or Smartphone </w:t>
      </w:r>
      <w:r>
        <w:t>market nowadays</w:t>
      </w:r>
      <w:r w:rsidR="00964935">
        <w:t xml:space="preserve">, therefore any attempt to define UE radiated performance requirements </w:t>
      </w:r>
      <w:r w:rsidR="000B05A8">
        <w:t>must realistically address the</w:t>
      </w:r>
      <w:r w:rsidR="00964935">
        <w:t xml:space="preserve"> larger RF front-end and antenna mismatch losses which are intrinsic to UE multi-band antenna designs.  As noted, spec proposals to date are based on a specified failure rate for each band treated in isolation, such that these spec proposals are applicable only to a (non-existent) single-band device.</w:t>
      </w:r>
    </w:p>
    <w:p w:rsidR="005A7E2F" w:rsidRDefault="005A7E2F" w:rsidP="005B433F">
      <w:pPr>
        <w:pStyle w:val="normal0"/>
        <w:jc w:val="both"/>
      </w:pPr>
    </w:p>
    <w:p w:rsidR="005E63DA" w:rsidRDefault="00EE4D1A" w:rsidP="005B433F">
      <w:pPr>
        <w:pStyle w:val="normal0"/>
        <w:jc w:val="both"/>
      </w:pPr>
      <w:r>
        <w:t xml:space="preserve">ii. Definition of performance requirements for devices </w:t>
      </w:r>
      <w:r w:rsidR="002B4B2D">
        <w:t xml:space="preserve">supporting </w:t>
      </w:r>
      <w:r>
        <w:t>carrier aggregation (CA)</w:t>
      </w:r>
    </w:p>
    <w:p w:rsidR="004C34BF" w:rsidRDefault="00DB37C7">
      <w:pPr>
        <w:pStyle w:val="normal0"/>
        <w:jc w:val="both"/>
      </w:pPr>
      <w:r>
        <w:t xml:space="preserve">Carrier aggregation </w:t>
      </w:r>
      <w:r w:rsidR="000B05A8">
        <w:t xml:space="preserve">support requires additional components in the signal path which increase insertion loss and thus devices supporting CA for </w:t>
      </w:r>
      <w:r w:rsidR="000B05A8" w:rsidRPr="00093EB2">
        <w:rPr>
          <w:i/>
        </w:rPr>
        <w:t>any band combination</w:t>
      </w:r>
      <w:r w:rsidR="000B05A8">
        <w:t xml:space="preserve"> are not covered by the requirements defined in </w:t>
      </w:r>
      <w:r w:rsidR="00CF012C">
        <w:t>this WI</w:t>
      </w:r>
      <w:r w:rsidR="000B05A8">
        <w:t xml:space="preserve">. A separate WI will be required for devices supporting CA. </w:t>
      </w:r>
    </w:p>
    <w:p w:rsidR="005A7E2F" w:rsidRDefault="005A7E2F">
      <w:pPr>
        <w:pStyle w:val="normal0"/>
        <w:jc w:val="both"/>
      </w:pPr>
    </w:p>
    <w:p w:rsidR="005A7E2F" w:rsidRDefault="005A7E2F">
      <w:pPr>
        <w:pStyle w:val="normal0"/>
        <w:jc w:val="both"/>
      </w:pPr>
    </w:p>
    <w:p w:rsidR="001048F9" w:rsidRDefault="001048F9" w:rsidP="001048F9">
      <w:pPr>
        <w:pStyle w:val="Normal1"/>
        <w:jc w:val="both"/>
      </w:pPr>
      <w:r w:rsidRPr="00601365">
        <w:rPr>
          <w:b/>
        </w:rPr>
        <w:lastRenderedPageBreak/>
        <w:t>Proposal 1</w:t>
      </w:r>
      <w:r>
        <w:t>: Any agreement on UTRA handset requirements based on the data currently available to RAN4 will include the following note:</w:t>
      </w:r>
    </w:p>
    <w:p w:rsidR="001048F9" w:rsidRDefault="001048F9" w:rsidP="001048F9">
      <w:pPr>
        <w:pStyle w:val="Normal1"/>
        <w:ind w:left="720"/>
        <w:jc w:val="both"/>
      </w:pPr>
      <w:r w:rsidRPr="00BB63DB">
        <w:rPr>
          <w:i/>
          <w:lang w:eastAsia="en-GB"/>
        </w:rPr>
        <w:t xml:space="preserve">NOTE: TRP/TRS minimum performance requirements in </w:t>
      </w:r>
      <w:r>
        <w:rPr>
          <w:i/>
          <w:lang w:eastAsia="en-GB"/>
        </w:rPr>
        <w:t>T</w:t>
      </w:r>
      <w:r w:rsidRPr="00BB63DB">
        <w:rPr>
          <w:i/>
          <w:lang w:eastAsia="en-GB"/>
        </w:rPr>
        <w:t xml:space="preserve">able </w:t>
      </w:r>
      <w:proofErr w:type="spellStart"/>
      <w:r w:rsidRPr="00BB63DB">
        <w:rPr>
          <w:i/>
          <w:lang w:eastAsia="en-GB"/>
        </w:rPr>
        <w:t>x.x.x</w:t>
      </w:r>
      <w:proofErr w:type="spellEnd"/>
      <w:r w:rsidRPr="00BB63DB">
        <w:rPr>
          <w:i/>
          <w:lang w:eastAsia="en-GB"/>
        </w:rPr>
        <w:t xml:space="preserve"> apply to HSPA and LTE UEs supporting only single carrier operation. Their applicability to multi-carrier operation is FFS. This is because it has not been verified whether the UEs measured to derive the requirements supported carrier aggregation or not.</w:t>
      </w:r>
    </w:p>
    <w:p w:rsidR="001048F9" w:rsidRDefault="001048F9">
      <w:pPr>
        <w:pStyle w:val="normal0"/>
        <w:jc w:val="both"/>
      </w:pPr>
    </w:p>
    <w:p w:rsidR="000B05A8" w:rsidRDefault="00227E5F" w:rsidP="000B05A8">
      <w:pPr>
        <w:pStyle w:val="normal0"/>
        <w:jc w:val="both"/>
      </w:pPr>
      <w:r>
        <w:t>iii</w:t>
      </w:r>
      <w:r w:rsidR="000B05A8">
        <w:t xml:space="preserve">. </w:t>
      </w:r>
      <w:r>
        <w:t>The e</w:t>
      </w:r>
      <w:r w:rsidR="000B05A8">
        <w:t>xisting data</w:t>
      </w:r>
      <w:r>
        <w:t xml:space="preserve">-set and </w:t>
      </w:r>
      <w:r w:rsidR="000B05A8">
        <w:t xml:space="preserve">methodology </w:t>
      </w:r>
      <w:r>
        <w:t>has produced a</w:t>
      </w:r>
      <w:r w:rsidR="005A7E2F">
        <w:t>n</w:t>
      </w:r>
      <w:r>
        <w:t xml:space="preserve"> </w:t>
      </w:r>
      <w:r w:rsidR="005A7E2F">
        <w:t xml:space="preserve">irregular </w:t>
      </w:r>
      <w:r>
        <w:t>result</w:t>
      </w:r>
      <w:r w:rsidR="000B05A8">
        <w:t xml:space="preserve"> </w:t>
      </w:r>
    </w:p>
    <w:p w:rsidR="000B05A8" w:rsidRDefault="000B05A8" w:rsidP="000B05A8">
      <w:pPr>
        <w:pStyle w:val="normal0"/>
        <w:jc w:val="both"/>
      </w:pPr>
      <w:r>
        <w:t xml:space="preserve">The current pool of data is </w:t>
      </w:r>
      <w:r w:rsidR="00227E5F">
        <w:t>biased</w:t>
      </w:r>
      <w:r>
        <w:t xml:space="preserve"> by large samples of single market</w:t>
      </w:r>
      <w:r w:rsidR="00227E5F">
        <w:t xml:space="preserve"> phones</w:t>
      </w:r>
      <w:r>
        <w:t xml:space="preserve"> skewing results in one direction.  This is evident in all of the proposed spec limit sets to date, by virtue of the gross difference in spec limits produced by the methodology for U</w:t>
      </w:r>
      <w:r w:rsidR="00227E5F">
        <w:t>.</w:t>
      </w:r>
      <w:r>
        <w:t>S</w:t>
      </w:r>
      <w:r w:rsidR="00227E5F">
        <w:t>.</w:t>
      </w:r>
      <w:r>
        <w:t xml:space="preserve"> bands and non-U</w:t>
      </w:r>
      <w:r w:rsidR="00227E5F">
        <w:t>.</w:t>
      </w:r>
      <w:r>
        <w:t>S</w:t>
      </w:r>
      <w:r w:rsidR="00227E5F">
        <w:t>.</w:t>
      </w:r>
      <w:r>
        <w:t xml:space="preserve"> bands (i.e. B2/B5 vs. B1/B8)</w:t>
      </w:r>
    </w:p>
    <w:p w:rsidR="000B05A8" w:rsidRDefault="000B05A8" w:rsidP="000B05A8">
      <w:pPr>
        <w:pStyle w:val="normal0"/>
        <w:jc w:val="both"/>
      </w:pPr>
      <w:r>
        <w:t xml:space="preserve">By way of illustration, </w:t>
      </w:r>
      <w:r w:rsidR="00227E5F">
        <w:t>consider the specification values in the DCM proposal [4] shown below.</w:t>
      </w:r>
      <w:r>
        <w:t xml:space="preserve">  The DCM proposal is chosen here as an example because it adheres most closely with the current (single-band) framework </w:t>
      </w:r>
      <w:r w:rsidR="00227E5F">
        <w:t xml:space="preserve">[3] </w:t>
      </w:r>
      <w:r>
        <w:t xml:space="preserve">in that the </w:t>
      </w:r>
      <w:r w:rsidR="00F614F9">
        <w:t>methodology is strictly applied without arbitrary exclusion of selected data points from the CDF’s</w:t>
      </w:r>
      <w:r w:rsidR="00227E5F">
        <w:t>.</w:t>
      </w:r>
    </w:p>
    <w:p w:rsidR="000B05A8" w:rsidRDefault="00F614F9" w:rsidP="000B05A8">
      <w:pPr>
        <w:jc w:val="both"/>
        <w:rPr>
          <w:lang w:eastAsia="zh-CN"/>
        </w:rPr>
      </w:pPr>
      <w:r>
        <w:rPr>
          <w:lang w:eastAsia="zh-CN"/>
        </w:rPr>
        <w:t xml:space="preserve">Fundamentally, there is no reason why the TRP requirements should be different for bands I and II.  However, in the proposal below, </w:t>
      </w:r>
      <w:r w:rsidRPr="00F614F9">
        <w:rPr>
          <w:i/>
          <w:lang w:eastAsia="zh-CN"/>
        </w:rPr>
        <w:t xml:space="preserve">the Band 1 requirement is </w:t>
      </w:r>
      <w:r w:rsidR="002607BB">
        <w:rPr>
          <w:i/>
          <w:lang w:eastAsia="zh-CN"/>
        </w:rPr>
        <w:t>4</w:t>
      </w:r>
      <w:r w:rsidRPr="00F614F9">
        <w:rPr>
          <w:i/>
          <w:lang w:eastAsia="zh-CN"/>
        </w:rPr>
        <w:t>.5 dB tighter than for Band II</w:t>
      </w:r>
      <w:r>
        <w:rPr>
          <w:lang w:eastAsia="zh-CN"/>
        </w:rPr>
        <w:t xml:space="preserve">.  Similarly, there is fundamentally no reason why the TRP requirement for Band V should be different than Band VIII, and yet the proposed value for Band VIII is 1.5 dB tighter than for Band V.  </w:t>
      </w:r>
      <w:r w:rsidRPr="00291812">
        <w:rPr>
          <w:lang w:eastAsia="zh-CN"/>
        </w:rPr>
        <w:t xml:space="preserve">The reason for </w:t>
      </w:r>
      <w:r>
        <w:rPr>
          <w:lang w:eastAsia="zh-CN"/>
        </w:rPr>
        <w:t>these disparities</w:t>
      </w:r>
      <w:r w:rsidRPr="00291812">
        <w:rPr>
          <w:lang w:eastAsia="zh-CN"/>
        </w:rPr>
        <w:t xml:space="preserve"> is the quant</w:t>
      </w:r>
      <w:r w:rsidR="00AF4972">
        <w:rPr>
          <w:lang w:eastAsia="zh-CN"/>
        </w:rPr>
        <w:t>ity and source of the data</w:t>
      </w:r>
      <w:r>
        <w:rPr>
          <w:lang w:eastAsia="zh-CN"/>
        </w:rPr>
        <w:t>sets which</w:t>
      </w:r>
      <w:r w:rsidR="00093EB2">
        <w:rPr>
          <w:lang w:eastAsia="zh-CN"/>
        </w:rPr>
        <w:t xml:space="preserve"> has</w:t>
      </w:r>
      <w:r w:rsidRPr="00291812">
        <w:rPr>
          <w:lang w:eastAsia="zh-CN"/>
        </w:rPr>
        <w:t xml:space="preserve"> bias</w:t>
      </w:r>
      <w:r w:rsidR="00093EB2">
        <w:rPr>
          <w:lang w:eastAsia="zh-CN"/>
        </w:rPr>
        <w:t>ed</w:t>
      </w:r>
      <w:r>
        <w:rPr>
          <w:lang w:eastAsia="zh-CN"/>
        </w:rPr>
        <w:t xml:space="preserve"> the outcome of the results.</w:t>
      </w:r>
      <w:r w:rsidRPr="00291812">
        <w:rPr>
          <w:lang w:eastAsia="zh-CN"/>
        </w:rPr>
        <w:t xml:space="preserve"> </w:t>
      </w:r>
    </w:p>
    <w:p w:rsidR="005A7E2F" w:rsidRPr="00291812" w:rsidRDefault="005A7E2F" w:rsidP="000B05A8">
      <w:pPr>
        <w:jc w:val="both"/>
      </w:pPr>
    </w:p>
    <w:tbl>
      <w:tblPr>
        <w:tblW w:w="4695" w:type="dxa"/>
        <w:jc w:val="center"/>
        <w:tblInd w:w="94" w:type="dxa"/>
        <w:tblCellMar>
          <w:left w:w="99" w:type="dxa"/>
          <w:right w:w="99" w:type="dxa"/>
        </w:tblCellMar>
        <w:tblLook w:val="04A0"/>
      </w:tblPr>
      <w:tblGrid>
        <w:gridCol w:w="1492"/>
        <w:gridCol w:w="1301"/>
        <w:gridCol w:w="1902"/>
      </w:tblGrid>
      <w:tr w:rsidR="000B05A8" w:rsidRPr="00291812" w:rsidTr="001B65F1">
        <w:trPr>
          <w:trHeight w:val="274"/>
          <w:jc w:val="center"/>
        </w:trPr>
        <w:tc>
          <w:tcPr>
            <w:tcW w:w="469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Proposal of minimum average requirement</w:t>
            </w:r>
          </w:p>
        </w:tc>
      </w:tr>
      <w:tr w:rsidR="000B05A8" w:rsidRPr="00291812" w:rsidTr="001B65F1">
        <w:trPr>
          <w:trHeight w:val="274"/>
          <w:jc w:val="center"/>
        </w:trPr>
        <w:tc>
          <w:tcPr>
            <w:tcW w:w="1492" w:type="dxa"/>
            <w:tcBorders>
              <w:left w:val="single" w:sz="4" w:space="0" w:color="auto"/>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Band</w:t>
            </w:r>
          </w:p>
        </w:tc>
        <w:tc>
          <w:tcPr>
            <w:tcW w:w="1301" w:type="dxa"/>
            <w:tcBorders>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TRP</w:t>
            </w:r>
          </w:p>
        </w:tc>
        <w:tc>
          <w:tcPr>
            <w:tcW w:w="1901" w:type="dxa"/>
            <w:tcBorders>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TRS</w:t>
            </w:r>
          </w:p>
        </w:tc>
      </w:tr>
      <w:tr w:rsidR="000B05A8" w:rsidRPr="00291812" w:rsidTr="001B65F1">
        <w:trPr>
          <w:trHeight w:val="274"/>
          <w:jc w:val="center"/>
        </w:trPr>
        <w:tc>
          <w:tcPr>
            <w:tcW w:w="1492" w:type="dxa"/>
            <w:tcBorders>
              <w:left w:val="single" w:sz="4" w:space="0" w:color="auto"/>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I</w:t>
            </w:r>
          </w:p>
        </w:tc>
        <w:tc>
          <w:tcPr>
            <w:tcW w:w="1301" w:type="dxa"/>
            <w:tcBorders>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13.0</w:t>
            </w:r>
          </w:p>
        </w:tc>
        <w:tc>
          <w:tcPr>
            <w:tcW w:w="1901" w:type="dxa"/>
            <w:tcBorders>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-100.0</w:t>
            </w:r>
          </w:p>
        </w:tc>
      </w:tr>
      <w:tr w:rsidR="000B05A8" w:rsidRPr="00291812" w:rsidTr="001B65F1">
        <w:trPr>
          <w:trHeight w:val="274"/>
          <w:jc w:val="center"/>
        </w:trPr>
        <w:tc>
          <w:tcPr>
            <w:tcW w:w="1492" w:type="dxa"/>
            <w:tcBorders>
              <w:left w:val="single" w:sz="4" w:space="0" w:color="auto"/>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II</w:t>
            </w:r>
          </w:p>
        </w:tc>
        <w:tc>
          <w:tcPr>
            <w:tcW w:w="1301" w:type="dxa"/>
            <w:tcBorders>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8.5</w:t>
            </w:r>
          </w:p>
        </w:tc>
        <w:tc>
          <w:tcPr>
            <w:tcW w:w="1901" w:type="dxa"/>
            <w:tcBorders>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-99.5</w:t>
            </w:r>
          </w:p>
        </w:tc>
      </w:tr>
      <w:tr w:rsidR="000B05A8" w:rsidRPr="00291812" w:rsidTr="001B65F1">
        <w:trPr>
          <w:trHeight w:val="274"/>
          <w:jc w:val="center"/>
        </w:trPr>
        <w:tc>
          <w:tcPr>
            <w:tcW w:w="1492" w:type="dxa"/>
            <w:tcBorders>
              <w:left w:val="single" w:sz="4" w:space="0" w:color="auto"/>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V</w:t>
            </w:r>
          </w:p>
        </w:tc>
        <w:tc>
          <w:tcPr>
            <w:tcW w:w="1301" w:type="dxa"/>
            <w:tcBorders>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7.5</w:t>
            </w:r>
          </w:p>
        </w:tc>
        <w:tc>
          <w:tcPr>
            <w:tcW w:w="1901" w:type="dxa"/>
            <w:tcBorders>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-96.0</w:t>
            </w:r>
          </w:p>
        </w:tc>
      </w:tr>
      <w:tr w:rsidR="000B05A8" w:rsidRPr="00291812" w:rsidTr="001B65F1">
        <w:trPr>
          <w:trHeight w:val="274"/>
          <w:jc w:val="center"/>
        </w:trPr>
        <w:tc>
          <w:tcPr>
            <w:tcW w:w="1492" w:type="dxa"/>
            <w:tcBorders>
              <w:left w:val="single" w:sz="4" w:space="0" w:color="auto"/>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VIII</w:t>
            </w:r>
          </w:p>
        </w:tc>
        <w:tc>
          <w:tcPr>
            <w:tcW w:w="1301" w:type="dxa"/>
            <w:tcBorders>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9.0</w:t>
            </w:r>
          </w:p>
        </w:tc>
        <w:tc>
          <w:tcPr>
            <w:tcW w:w="1901" w:type="dxa"/>
            <w:tcBorders>
              <w:bottom w:val="single" w:sz="4" w:space="0" w:color="auto"/>
              <w:right w:val="single" w:sz="4" w:space="0" w:color="auto"/>
            </w:tcBorders>
            <w:shd w:val="clear" w:color="auto" w:fill="auto"/>
            <w:noWrap/>
            <w:vAlign w:val="bottom"/>
            <w:hideMark/>
          </w:tcPr>
          <w:p w:rsidR="000B05A8" w:rsidRPr="00291812" w:rsidRDefault="000B05A8" w:rsidP="001B65F1">
            <w:pPr>
              <w:pStyle w:val="NoSpacing"/>
              <w:jc w:val="center"/>
              <w:rPr>
                <w:rFonts w:eastAsia="MS PGothic"/>
                <w:lang w:val="en-US" w:eastAsia="ja-JP"/>
              </w:rPr>
            </w:pPr>
            <w:r w:rsidRPr="00291812">
              <w:rPr>
                <w:rFonts w:eastAsia="MS PGothic"/>
                <w:lang w:val="en-US" w:eastAsia="ja-JP"/>
              </w:rPr>
              <w:t>-96.0</w:t>
            </w:r>
          </w:p>
        </w:tc>
      </w:tr>
    </w:tbl>
    <w:p w:rsidR="00F614F9" w:rsidRDefault="00F614F9" w:rsidP="000B05A8">
      <w:pPr>
        <w:jc w:val="both"/>
      </w:pPr>
    </w:p>
    <w:p w:rsidR="002607BB" w:rsidRDefault="002607BB" w:rsidP="002607BB">
      <w:pPr>
        <w:jc w:val="both"/>
      </w:pPr>
      <w:r w:rsidRPr="00291812">
        <w:rPr>
          <w:lang w:eastAsia="zh-CN"/>
        </w:rPr>
        <w:t>The reason for such discrepancy is the quantity and source of the data-sets, biasing the outcome results post-processed adopting of the current method.</w:t>
      </w:r>
      <w:r>
        <w:rPr>
          <w:lang w:eastAsia="zh-CN"/>
        </w:rPr>
        <w:t xml:space="preserve"> </w:t>
      </w:r>
      <w:r>
        <w:t>Note that other proposed spec sets have similar pronounced imbalance between B2/B5 and B1/B8.  Shown here is the Vodafone proposed spec set [5]:</w:t>
      </w:r>
    </w:p>
    <w:p w:rsidR="005A7E2F" w:rsidRDefault="005A7E2F" w:rsidP="002607BB">
      <w:pPr>
        <w:jc w:val="both"/>
      </w:pPr>
    </w:p>
    <w:tbl>
      <w:tblPr>
        <w:tblW w:w="288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803"/>
        <w:gridCol w:w="1145"/>
      </w:tblGrid>
      <w:tr w:rsidR="002607BB" w:rsidRPr="002607BB" w:rsidTr="004A0EB4">
        <w:trPr>
          <w:trHeight w:val="300"/>
          <w:jc w:val="center"/>
        </w:trPr>
        <w:tc>
          <w:tcPr>
            <w:tcW w:w="932"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Band</w:t>
            </w:r>
          </w:p>
        </w:tc>
        <w:tc>
          <w:tcPr>
            <w:tcW w:w="803"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TRP</w:t>
            </w:r>
          </w:p>
        </w:tc>
        <w:tc>
          <w:tcPr>
            <w:tcW w:w="1145"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TRS</w:t>
            </w:r>
          </w:p>
        </w:tc>
      </w:tr>
      <w:tr w:rsidR="002607BB" w:rsidRPr="002607BB" w:rsidTr="004A0EB4">
        <w:trPr>
          <w:trHeight w:val="300"/>
          <w:jc w:val="center"/>
        </w:trPr>
        <w:tc>
          <w:tcPr>
            <w:tcW w:w="932"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I</w:t>
            </w:r>
          </w:p>
        </w:tc>
        <w:tc>
          <w:tcPr>
            <w:tcW w:w="803"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13,5</w:t>
            </w:r>
          </w:p>
        </w:tc>
        <w:tc>
          <w:tcPr>
            <w:tcW w:w="1145"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-101,5</w:t>
            </w:r>
          </w:p>
        </w:tc>
      </w:tr>
      <w:tr w:rsidR="002607BB" w:rsidRPr="002607BB" w:rsidTr="004A0EB4">
        <w:trPr>
          <w:trHeight w:val="300"/>
          <w:jc w:val="center"/>
        </w:trPr>
        <w:tc>
          <w:tcPr>
            <w:tcW w:w="932"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II</w:t>
            </w:r>
          </w:p>
        </w:tc>
        <w:tc>
          <w:tcPr>
            <w:tcW w:w="803"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10</w:t>
            </w:r>
          </w:p>
        </w:tc>
        <w:tc>
          <w:tcPr>
            <w:tcW w:w="1145"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-100,5</w:t>
            </w:r>
          </w:p>
        </w:tc>
      </w:tr>
      <w:tr w:rsidR="002607BB" w:rsidRPr="002607BB" w:rsidTr="004A0EB4">
        <w:trPr>
          <w:trHeight w:val="300"/>
          <w:jc w:val="center"/>
        </w:trPr>
        <w:tc>
          <w:tcPr>
            <w:tcW w:w="932"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V</w:t>
            </w:r>
          </w:p>
        </w:tc>
        <w:tc>
          <w:tcPr>
            <w:tcW w:w="803"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8</w:t>
            </w:r>
          </w:p>
        </w:tc>
        <w:tc>
          <w:tcPr>
            <w:tcW w:w="1145"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-96,5</w:t>
            </w:r>
          </w:p>
        </w:tc>
      </w:tr>
      <w:tr w:rsidR="002607BB" w:rsidRPr="002607BB" w:rsidTr="004A0EB4">
        <w:trPr>
          <w:trHeight w:val="300"/>
          <w:jc w:val="center"/>
        </w:trPr>
        <w:tc>
          <w:tcPr>
            <w:tcW w:w="932"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VIII</w:t>
            </w:r>
          </w:p>
        </w:tc>
        <w:tc>
          <w:tcPr>
            <w:tcW w:w="803"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10,5</w:t>
            </w:r>
          </w:p>
        </w:tc>
        <w:tc>
          <w:tcPr>
            <w:tcW w:w="1145" w:type="dxa"/>
            <w:shd w:val="clear" w:color="auto" w:fill="auto"/>
            <w:noWrap/>
            <w:vAlign w:val="bottom"/>
            <w:hideMark/>
          </w:tcPr>
          <w:p w:rsidR="002607BB" w:rsidRPr="002607BB" w:rsidRDefault="002607BB" w:rsidP="004A0EB4">
            <w:pPr>
              <w:pStyle w:val="NoSpacing"/>
              <w:jc w:val="center"/>
              <w:rPr>
                <w:lang w:eastAsia="en-GB"/>
              </w:rPr>
            </w:pPr>
            <w:r w:rsidRPr="002607BB">
              <w:rPr>
                <w:lang w:eastAsia="en-GB"/>
              </w:rPr>
              <w:t>-97,5</w:t>
            </w:r>
          </w:p>
        </w:tc>
      </w:tr>
    </w:tbl>
    <w:p w:rsidR="002607BB" w:rsidRDefault="002607BB" w:rsidP="000B05A8">
      <w:pPr>
        <w:jc w:val="both"/>
      </w:pPr>
    </w:p>
    <w:p w:rsidR="002607BB" w:rsidRDefault="000B05A8" w:rsidP="000B05A8">
      <w:pPr>
        <w:jc w:val="both"/>
      </w:pPr>
      <w:r>
        <w:t xml:space="preserve">If such an unbalanced </w:t>
      </w:r>
      <w:r w:rsidR="009E4AB0">
        <w:t>specification</w:t>
      </w:r>
      <w:r>
        <w:t xml:space="preserve"> were adopted, the result would be that carriers in </w:t>
      </w:r>
      <w:r w:rsidR="00AF4972">
        <w:t>some</w:t>
      </w:r>
      <w:r>
        <w:t xml:space="preserve"> geographic region</w:t>
      </w:r>
      <w:r w:rsidR="00AF4972">
        <w:t>s</w:t>
      </w:r>
      <w:r>
        <w:t xml:space="preserve"> would be disadvantaged </w:t>
      </w:r>
      <w:r w:rsidR="00AF4972">
        <w:t>by requirements</w:t>
      </w:r>
      <w:r>
        <w:t xml:space="preserve"> that compromise perf</w:t>
      </w:r>
      <w:r w:rsidR="00AF4972">
        <w:t>ormance in their own core bands</w:t>
      </w:r>
      <w:r>
        <w:t xml:space="preserve"> in order to support </w:t>
      </w:r>
      <w:r w:rsidR="00F614F9">
        <w:t xml:space="preserve">overly aggressive requirements for bands which are </w:t>
      </w:r>
      <w:r>
        <w:t>roaming bands</w:t>
      </w:r>
      <w:r w:rsidR="00F614F9">
        <w:t xml:space="preserve"> in their markets</w:t>
      </w:r>
      <w:r>
        <w:t xml:space="preserve">.  </w:t>
      </w:r>
      <w:r w:rsidR="00093EB2">
        <w:t>For example, it would be necessary for a U.S. operator to accept reduced performance for Bands II and Band V in order to meet the very aggressive requirements for Bands I and VIII.</w:t>
      </w:r>
    </w:p>
    <w:p w:rsidR="005A7E2F" w:rsidRDefault="005A7E2F" w:rsidP="000B05A8">
      <w:pPr>
        <w:jc w:val="both"/>
      </w:pPr>
    </w:p>
    <w:p w:rsidR="005A7E2F" w:rsidRDefault="005A7E2F" w:rsidP="000B05A8">
      <w:pPr>
        <w:jc w:val="both"/>
      </w:pPr>
    </w:p>
    <w:p w:rsidR="005A7E2F" w:rsidRDefault="005A7E2F" w:rsidP="000B05A8">
      <w:pPr>
        <w:jc w:val="both"/>
      </w:pPr>
    </w:p>
    <w:p w:rsidR="005A7E2F" w:rsidRDefault="005A7E2F" w:rsidP="000B05A8">
      <w:pPr>
        <w:jc w:val="both"/>
      </w:pPr>
    </w:p>
    <w:p w:rsidR="00093EB2" w:rsidRDefault="00093EB2">
      <w:pPr>
        <w:pStyle w:val="normal0"/>
        <w:jc w:val="both"/>
      </w:pPr>
      <w:r>
        <w:t>iv</w:t>
      </w:r>
      <w:r w:rsidR="00C02664">
        <w:t>.</w:t>
      </w:r>
      <w:r>
        <w:t xml:space="preserve"> The UTRA requirements </w:t>
      </w:r>
      <w:r w:rsidRPr="00AF4972">
        <w:rPr>
          <w:i/>
        </w:rPr>
        <w:t>will affect</w:t>
      </w:r>
      <w:r>
        <w:t xml:space="preserve"> the LTE requirements</w:t>
      </w:r>
    </w:p>
    <w:p w:rsidR="00093EB2" w:rsidRDefault="00093EB2">
      <w:pPr>
        <w:pStyle w:val="normal0"/>
        <w:jc w:val="both"/>
      </w:pPr>
      <w:r>
        <w:t xml:space="preserve">Very aggressive requirements for some bands will require that the antenna matching networks be defined to favor these bands at the expense of other bands.  If a device supports both UTRA and LTE, then the same antenna matching networks must be used for both UTRA and </w:t>
      </w:r>
      <w:r w:rsidR="00CF012C">
        <w:t>E-UTRA</w:t>
      </w:r>
      <w:r>
        <w:t xml:space="preserve">.  As a result, if Band I is favored at the expense of Band II with respect to the UTRA requirements, it follows that Band 2 performance will similarly be worse than Band 1 for </w:t>
      </w:r>
      <w:r w:rsidR="00CF012C">
        <w:t>E-UTRA</w:t>
      </w:r>
      <w:r>
        <w:t>.</w:t>
      </w:r>
    </w:p>
    <w:p w:rsidR="005A7E2F" w:rsidRDefault="005A7E2F">
      <w:pPr>
        <w:pStyle w:val="normal0"/>
        <w:jc w:val="both"/>
      </w:pPr>
    </w:p>
    <w:p w:rsidR="00D320C0" w:rsidRDefault="00960F65">
      <w:pPr>
        <w:pStyle w:val="normal0"/>
        <w:jc w:val="both"/>
      </w:pPr>
      <w:r>
        <w:t>v</w:t>
      </w:r>
      <w:r w:rsidR="004B327D">
        <w:t>. Device width and applicable hand phantoms.</w:t>
      </w:r>
    </w:p>
    <w:p w:rsidR="004C34BF" w:rsidRDefault="004B327D" w:rsidP="005B433F">
      <w:pPr>
        <w:pStyle w:val="normal0"/>
        <w:jc w:val="both"/>
      </w:pPr>
      <w:r>
        <w:t>The data pool for the WI is based on devices measured in the "PDA hand" phantom, which are devices narrower than 72 mm.  Results for wider devices measured in the new "Wide hand" are known to be different.  Therefore, any performance limits generated in this WI should be limited to devices of 72 mm width or less.</w:t>
      </w:r>
    </w:p>
    <w:p w:rsidR="001048F9" w:rsidRDefault="001048F9" w:rsidP="001048F9">
      <w:pPr>
        <w:pStyle w:val="Normal1"/>
        <w:jc w:val="both"/>
      </w:pPr>
      <w:r w:rsidRPr="00601365">
        <w:rPr>
          <w:b/>
        </w:rPr>
        <w:t>Proposal 2</w:t>
      </w:r>
      <w:r>
        <w:t>: Any agreement on UTRA handset requirements based on the data currently available to RAN4 will include the following note:</w:t>
      </w:r>
    </w:p>
    <w:p w:rsidR="001048F9" w:rsidRDefault="001048F9" w:rsidP="001048F9">
      <w:pPr>
        <w:pStyle w:val="normal0"/>
        <w:jc w:val="both"/>
        <w:rPr>
          <w:i/>
          <w:lang w:eastAsia="en-GB"/>
        </w:rPr>
      </w:pPr>
      <w:r w:rsidRPr="00BB63DB">
        <w:rPr>
          <w:i/>
          <w:lang w:eastAsia="en-GB"/>
        </w:rPr>
        <w:t xml:space="preserve">NOTE: TRP/TRS minimum performance requirements in </w:t>
      </w:r>
      <w:r>
        <w:rPr>
          <w:i/>
          <w:lang w:eastAsia="en-GB"/>
        </w:rPr>
        <w:t>T</w:t>
      </w:r>
      <w:r w:rsidRPr="00BB63DB">
        <w:rPr>
          <w:i/>
          <w:lang w:eastAsia="en-GB"/>
        </w:rPr>
        <w:t xml:space="preserve">able </w:t>
      </w:r>
      <w:proofErr w:type="spellStart"/>
      <w:r w:rsidRPr="00BB63DB">
        <w:rPr>
          <w:i/>
          <w:lang w:eastAsia="en-GB"/>
        </w:rPr>
        <w:t>x.x.x</w:t>
      </w:r>
      <w:proofErr w:type="spellEnd"/>
      <w:r w:rsidRPr="00BB63DB">
        <w:rPr>
          <w:i/>
          <w:lang w:eastAsia="en-GB"/>
        </w:rPr>
        <w:t xml:space="preserve"> apply to UEs </w:t>
      </w:r>
      <w:r>
        <w:rPr>
          <w:i/>
          <w:lang w:eastAsia="en-GB"/>
        </w:rPr>
        <w:t xml:space="preserve">narrower than 72mm such that they can be measured using the hand phantoms defined in TR 25.914, </w:t>
      </w:r>
      <w:proofErr w:type="spellStart"/>
      <w:r>
        <w:rPr>
          <w:i/>
          <w:lang w:eastAsia="en-GB"/>
        </w:rPr>
        <w:t>subclauses</w:t>
      </w:r>
      <w:proofErr w:type="spellEnd"/>
      <w:r>
        <w:rPr>
          <w:i/>
          <w:lang w:eastAsia="en-GB"/>
        </w:rPr>
        <w:t xml:space="preserve"> 5.1.5 </w:t>
      </w:r>
      <w:proofErr w:type="gramStart"/>
      <w:r>
        <w:rPr>
          <w:i/>
          <w:lang w:eastAsia="en-GB"/>
        </w:rPr>
        <w:t>and  5.1.6</w:t>
      </w:r>
      <w:proofErr w:type="gramEnd"/>
      <w:r>
        <w:rPr>
          <w:i/>
          <w:lang w:eastAsia="en-GB"/>
        </w:rPr>
        <w:t>.</w:t>
      </w:r>
    </w:p>
    <w:p w:rsidR="005A7E2F" w:rsidRDefault="005A7E2F" w:rsidP="001048F9">
      <w:pPr>
        <w:pStyle w:val="normal0"/>
        <w:jc w:val="both"/>
      </w:pPr>
    </w:p>
    <w:p w:rsidR="00724772" w:rsidRDefault="002B087F" w:rsidP="005B433F">
      <w:pPr>
        <w:pStyle w:val="normal0"/>
        <w:jc w:val="both"/>
      </w:pPr>
      <w:r>
        <w:t xml:space="preserve">vi. </w:t>
      </w:r>
      <w:r w:rsidR="00724772">
        <w:t>Going forward with flaw</w:t>
      </w:r>
      <w:r w:rsidR="009E4AB0">
        <w:t>ed</w:t>
      </w:r>
      <w:r w:rsidR="00724772">
        <w:t xml:space="preserve"> framework will carry </w:t>
      </w:r>
      <w:r w:rsidR="009E4AB0">
        <w:t xml:space="preserve">negative </w:t>
      </w:r>
      <w:r w:rsidR="00724772">
        <w:t xml:space="preserve">consequences </w:t>
      </w:r>
      <w:r w:rsidR="009E4AB0">
        <w:t xml:space="preserve">for </w:t>
      </w:r>
      <w:r w:rsidR="00724772">
        <w:t>E-UTRA</w:t>
      </w:r>
      <w:r w:rsidR="009E4AB0">
        <w:t xml:space="preserve"> with respect to</w:t>
      </w:r>
      <w:r w:rsidR="00724772">
        <w:t xml:space="preserve"> roamin</w:t>
      </w:r>
      <w:r>
        <w:t>g vs. core bands, multi-band</w:t>
      </w:r>
      <w:r w:rsidR="009E4AB0">
        <w:t xml:space="preserve"> performance</w:t>
      </w:r>
      <w:r>
        <w:t xml:space="preserve">, </w:t>
      </w:r>
      <w:r w:rsidR="00D52700">
        <w:t xml:space="preserve">and </w:t>
      </w:r>
      <w:r w:rsidR="009E4AB0">
        <w:t xml:space="preserve">overall </w:t>
      </w:r>
      <w:r>
        <w:t>device dimensions</w:t>
      </w:r>
      <w:r w:rsidR="005B433F">
        <w:t>.</w:t>
      </w:r>
    </w:p>
    <w:p w:rsidR="001145BE" w:rsidRDefault="005B433F" w:rsidP="005B433F">
      <w:pPr>
        <w:pStyle w:val="normal0"/>
        <w:jc w:val="both"/>
      </w:pPr>
      <w:r>
        <w:t>As noted above, the antenna</w:t>
      </w:r>
      <w:r w:rsidR="009E4AB0">
        <w:t>s</w:t>
      </w:r>
      <w:r>
        <w:t xml:space="preserve"> and </w:t>
      </w:r>
      <w:r w:rsidR="009E4AB0">
        <w:t>matching networks</w:t>
      </w:r>
      <w:r>
        <w:t xml:space="preserve"> are technology agnostic.  Setting a spec for </w:t>
      </w:r>
      <w:r w:rsidR="009E4AB0">
        <w:t xml:space="preserve">UTRA </w:t>
      </w:r>
      <w:r>
        <w:t xml:space="preserve">bands/modes will continue to impact device design and performance in all modes. </w:t>
      </w:r>
      <w:r w:rsidR="009E4AB0">
        <w:t xml:space="preserve">Overly </w:t>
      </w:r>
      <w:r>
        <w:t xml:space="preserve">strict </w:t>
      </w:r>
      <w:r w:rsidR="00291812">
        <w:t xml:space="preserve">and unrealistic </w:t>
      </w:r>
      <w:r>
        <w:t xml:space="preserve">performance requirements for </w:t>
      </w:r>
      <w:r w:rsidR="00960F65">
        <w:t xml:space="preserve">some </w:t>
      </w:r>
      <w:r>
        <w:t>bands will force manufacturers to grow devices</w:t>
      </w:r>
      <w:r w:rsidR="00AF4972">
        <w:t xml:space="preserve"> in order to get the larger antenna volumes needed </w:t>
      </w:r>
      <w:r w:rsidR="009E4AB0">
        <w:t>to</w:t>
      </w:r>
      <w:r>
        <w:t xml:space="preserve"> </w:t>
      </w:r>
      <w:r w:rsidR="009E4AB0">
        <w:t xml:space="preserve">achieve better </w:t>
      </w:r>
      <w:r>
        <w:t>radiated performance</w:t>
      </w:r>
      <w:r w:rsidR="009E4AB0">
        <w:t>.</w:t>
      </w:r>
    </w:p>
    <w:p w:rsidR="005A7E2F" w:rsidRDefault="005A7E2F" w:rsidP="005B433F">
      <w:pPr>
        <w:pStyle w:val="normal0"/>
        <w:jc w:val="both"/>
      </w:pPr>
    </w:p>
    <w:p w:rsidR="00724772" w:rsidRDefault="00F23B58" w:rsidP="005B433F">
      <w:pPr>
        <w:pStyle w:val="normal0"/>
        <w:jc w:val="both"/>
      </w:pPr>
      <w:r>
        <w:t>vii</w:t>
      </w:r>
      <w:r w:rsidR="002B087F">
        <w:t xml:space="preserve">. </w:t>
      </w:r>
      <w:r w:rsidR="00724772">
        <w:t xml:space="preserve">We </w:t>
      </w:r>
      <w:r w:rsidR="00AF4972">
        <w:t xml:space="preserve">do not </w:t>
      </w:r>
      <w:r w:rsidR="002B087F">
        <w:t>propose taking extra data or adopting a new framework</w:t>
      </w:r>
      <w:r w:rsidR="00AF4972">
        <w:t>; rather,</w:t>
      </w:r>
      <w:r w:rsidR="002B087F">
        <w:t xml:space="preserve"> we propose all parties reach agreement based on their best judgment, considering physics, business interests, etc</w:t>
      </w:r>
      <w:r w:rsidR="00D115A2">
        <w:t>.</w:t>
      </w:r>
    </w:p>
    <w:p w:rsidR="004C34BF" w:rsidRDefault="00510006" w:rsidP="000B6362">
      <w:pPr>
        <w:pStyle w:val="normal0"/>
        <w:jc w:val="both"/>
      </w:pPr>
      <w:r>
        <w:t xml:space="preserve">The data set and agreed method have served a useful purpose in getting parties within 2 dB or so of a final agreed compromise, but as noted above the data set and method have limitations.  All parties must work now in a spirit of compromise to finalize values that will serve all stakeholders and advance the industry as a whole.  In this final note we emphasize that to have a fair assessment of realistic UE TRP/TRS performance </w:t>
      </w:r>
      <w:r w:rsidR="00CF012C">
        <w:t>requirements;</w:t>
      </w:r>
      <w:r w:rsidR="005B433F">
        <w:t xml:space="preserve"> we need to have </w:t>
      </w:r>
      <w:r w:rsidR="00CF012C">
        <w:t xml:space="preserve">more diverse </w:t>
      </w:r>
      <w:r w:rsidR="005B433F">
        <w:t>carrier representation in these discussions to avoid biased decisions based on specific markets.</w:t>
      </w:r>
    </w:p>
    <w:p w:rsidR="005A7E2F" w:rsidRDefault="005A7E2F" w:rsidP="000B6362">
      <w:pPr>
        <w:pStyle w:val="normal0"/>
        <w:jc w:val="both"/>
      </w:pPr>
    </w:p>
    <w:p w:rsidR="005A7E2F" w:rsidRDefault="005A7E2F" w:rsidP="000B6362">
      <w:pPr>
        <w:pStyle w:val="normal0"/>
        <w:jc w:val="both"/>
      </w:pPr>
    </w:p>
    <w:p w:rsidR="005A7E2F" w:rsidRDefault="005A7E2F" w:rsidP="000B6362">
      <w:pPr>
        <w:pStyle w:val="normal0"/>
        <w:jc w:val="both"/>
      </w:pPr>
    </w:p>
    <w:p w:rsidR="005A7E2F" w:rsidRDefault="005A7E2F" w:rsidP="000B6362">
      <w:pPr>
        <w:pStyle w:val="normal0"/>
        <w:jc w:val="both"/>
      </w:pPr>
    </w:p>
    <w:p w:rsidR="005E63DA" w:rsidRDefault="00EE4D1A">
      <w:pPr>
        <w:pStyle w:val="normal0"/>
      </w:pPr>
      <w:r>
        <w:rPr>
          <w:sz w:val="28"/>
          <w:szCs w:val="28"/>
        </w:rPr>
        <w:t>4.</w:t>
      </w:r>
      <w:r>
        <w:rPr>
          <w:sz w:val="28"/>
          <w:szCs w:val="28"/>
        </w:rPr>
        <w:tab/>
        <w:t>References</w:t>
      </w:r>
    </w:p>
    <w:p w:rsidR="005E63DA" w:rsidRDefault="00EE4D1A">
      <w:pPr>
        <w:pStyle w:val="normal0"/>
        <w:ind w:left="1304" w:hanging="1304"/>
      </w:pPr>
      <w:r>
        <w:t>[1]</w:t>
      </w:r>
      <w:r>
        <w:tab/>
        <w:t>R4-161467, TP for TS 37.144 Introduction of new TRP/TRS requirements</w:t>
      </w:r>
    </w:p>
    <w:p w:rsidR="005E63DA" w:rsidRDefault="00EE4D1A">
      <w:pPr>
        <w:pStyle w:val="normal0"/>
        <w:ind w:left="1304" w:hanging="1304"/>
      </w:pPr>
      <w:r>
        <w:t>[2]</w:t>
      </w:r>
      <w:r>
        <w:tab/>
        <w:t>R4-157939, Framework analysis of TRP and TRS data for multi-band mobile devices</w:t>
      </w:r>
    </w:p>
    <w:p w:rsidR="005E63DA" w:rsidRDefault="00EE4D1A">
      <w:pPr>
        <w:pStyle w:val="normal0"/>
        <w:ind w:left="1304" w:hanging="1304"/>
      </w:pPr>
      <w:r>
        <w:t>[3]</w:t>
      </w:r>
      <w:r>
        <w:tab/>
        <w:t>R4-75AH-TRPS-0018, Way Forward</w:t>
      </w:r>
    </w:p>
    <w:p w:rsidR="00D52700" w:rsidRDefault="00D52700">
      <w:pPr>
        <w:pStyle w:val="normal0"/>
        <w:ind w:left="1304" w:hanging="1304"/>
        <w:rPr>
          <w:sz w:val="22"/>
          <w:szCs w:val="22"/>
          <w:lang w:eastAsia="ja-JP"/>
        </w:rPr>
      </w:pPr>
      <w:r>
        <w:t>[4]</w:t>
      </w:r>
      <w:r>
        <w:tab/>
      </w:r>
      <w:r w:rsidRPr="008E0526">
        <w:rPr>
          <w:noProof/>
          <w:sz w:val="22"/>
          <w:szCs w:val="22"/>
          <w:lang w:val="sv-SE" w:eastAsia="ja-JP"/>
        </w:rPr>
        <w:t xml:space="preserve">R4-160379, </w:t>
      </w:r>
      <w:r w:rsidRPr="008E0526">
        <w:rPr>
          <w:sz w:val="22"/>
          <w:szCs w:val="22"/>
          <w:lang w:eastAsia="ja-JP"/>
        </w:rPr>
        <w:t>BHH requirement for UMTS Band I, II V, and VIII</w:t>
      </w:r>
    </w:p>
    <w:p w:rsidR="005E63DA" w:rsidRPr="004C34BF" w:rsidRDefault="004C34BF">
      <w:pPr>
        <w:pStyle w:val="normal0"/>
      </w:pPr>
      <w:r w:rsidRPr="004C34BF">
        <w:t>[5]</w:t>
      </w:r>
      <w:r w:rsidRPr="004C34BF">
        <w:tab/>
        <w:t xml:space="preserve">            R4-161023, </w:t>
      </w:r>
      <w:r w:rsidRPr="004C34BF">
        <w:rPr>
          <w:bCs/>
          <w:lang w:eastAsia="en-GB"/>
        </w:rPr>
        <w:t>TRP TRS requirements proposal for BHH UMTS</w:t>
      </w:r>
    </w:p>
    <w:sectPr w:rsidR="005E63DA" w:rsidRPr="004C34BF" w:rsidSect="005E63DA">
      <w:pgSz w:w="11906" w:h="16838"/>
      <w:pgMar w:top="1417" w:right="1417" w:bottom="1417" w:left="1417"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75D59"/>
    <w:multiLevelType w:val="hybridMultilevel"/>
    <w:tmpl w:val="C66EEF4E"/>
    <w:lvl w:ilvl="0" w:tplc="3FC620BC">
      <w:start w:val="1"/>
      <w:numFmt w:val="decimal"/>
      <w:lvlText w:val="%1."/>
      <w:lvlJc w:val="left"/>
      <w:pPr>
        <w:ind w:left="720" w:hanging="360"/>
      </w:pPr>
    </w:lvl>
    <w:lvl w:ilvl="1" w:tplc="2D6AB794">
      <w:start w:val="1"/>
      <w:numFmt w:val="decimal"/>
      <w:lvlText w:val="%2."/>
      <w:lvlJc w:val="left"/>
      <w:pPr>
        <w:ind w:left="1440" w:hanging="1080"/>
      </w:pPr>
    </w:lvl>
    <w:lvl w:ilvl="2" w:tplc="452C2F70">
      <w:start w:val="1"/>
      <w:numFmt w:val="decimal"/>
      <w:lvlText w:val="%3."/>
      <w:lvlJc w:val="left"/>
      <w:pPr>
        <w:ind w:left="2160" w:hanging="1980"/>
      </w:pPr>
    </w:lvl>
    <w:lvl w:ilvl="3" w:tplc="26A03A3C">
      <w:start w:val="1"/>
      <w:numFmt w:val="decimal"/>
      <w:lvlText w:val="%4."/>
      <w:lvlJc w:val="left"/>
      <w:pPr>
        <w:ind w:left="2880" w:hanging="2520"/>
      </w:pPr>
    </w:lvl>
    <w:lvl w:ilvl="4" w:tplc="9EC2212E">
      <w:start w:val="1"/>
      <w:numFmt w:val="decimal"/>
      <w:lvlText w:val="%5."/>
      <w:lvlJc w:val="left"/>
      <w:pPr>
        <w:ind w:left="3600" w:hanging="3240"/>
      </w:pPr>
    </w:lvl>
    <w:lvl w:ilvl="5" w:tplc="39802B3A">
      <w:start w:val="1"/>
      <w:numFmt w:val="decimal"/>
      <w:lvlText w:val="%6."/>
      <w:lvlJc w:val="left"/>
      <w:pPr>
        <w:ind w:left="4320" w:hanging="4140"/>
      </w:pPr>
    </w:lvl>
    <w:lvl w:ilvl="6" w:tplc="A0FC5FC8">
      <w:start w:val="1"/>
      <w:numFmt w:val="decimal"/>
      <w:lvlText w:val="%7."/>
      <w:lvlJc w:val="left"/>
      <w:pPr>
        <w:ind w:left="5040" w:hanging="4680"/>
      </w:pPr>
    </w:lvl>
    <w:lvl w:ilvl="7" w:tplc="EEAE3108">
      <w:start w:val="1"/>
      <w:numFmt w:val="decimal"/>
      <w:lvlText w:val="%8."/>
      <w:lvlJc w:val="left"/>
      <w:pPr>
        <w:ind w:left="5760" w:hanging="5400"/>
      </w:pPr>
    </w:lvl>
    <w:lvl w:ilvl="8" w:tplc="789C6A62">
      <w:start w:val="1"/>
      <w:numFmt w:val="decimal"/>
      <w:lvlText w:val="%9."/>
      <w:lvlJc w:val="left"/>
      <w:pPr>
        <w:ind w:left="6480" w:hanging="6300"/>
      </w:pPr>
    </w:lvl>
  </w:abstractNum>
  <w:abstractNum w:abstractNumId="1">
    <w:nsid w:val="1D493E78"/>
    <w:multiLevelType w:val="hybridMultilevel"/>
    <w:tmpl w:val="A34E8CD6"/>
    <w:lvl w:ilvl="0" w:tplc="81DAE704">
      <w:numFmt w:val="bullet"/>
      <w:lvlText w:val=""/>
      <w:lvlJc w:val="left"/>
      <w:pPr>
        <w:ind w:left="720" w:hanging="360"/>
      </w:pPr>
      <w:rPr>
        <w:rFonts w:ascii="Symbol"/>
      </w:rPr>
    </w:lvl>
    <w:lvl w:ilvl="1" w:tplc="2780DE30">
      <w:numFmt w:val="bullet"/>
      <w:lvlText w:val="o"/>
      <w:lvlJc w:val="left"/>
      <w:pPr>
        <w:ind w:left="1440" w:hanging="1080"/>
      </w:pPr>
      <w:rPr>
        <w:rFonts w:ascii="Courier New"/>
      </w:rPr>
    </w:lvl>
    <w:lvl w:ilvl="2" w:tplc="6AC47590">
      <w:numFmt w:val="bullet"/>
      <w:lvlText w:val=""/>
      <w:lvlJc w:val="left"/>
      <w:pPr>
        <w:ind w:left="2160" w:hanging="1800"/>
      </w:pPr>
    </w:lvl>
    <w:lvl w:ilvl="3" w:tplc="B05C4C3C">
      <w:numFmt w:val="bullet"/>
      <w:lvlText w:val=""/>
      <w:lvlJc w:val="left"/>
      <w:pPr>
        <w:ind w:left="2880" w:hanging="2520"/>
      </w:pPr>
      <w:rPr>
        <w:rFonts w:ascii="Symbol"/>
      </w:rPr>
    </w:lvl>
    <w:lvl w:ilvl="4" w:tplc="FB601492">
      <w:numFmt w:val="bullet"/>
      <w:lvlText w:val="o"/>
      <w:lvlJc w:val="left"/>
      <w:pPr>
        <w:ind w:left="3600" w:hanging="3240"/>
      </w:pPr>
      <w:rPr>
        <w:rFonts w:ascii="Courier New"/>
      </w:rPr>
    </w:lvl>
    <w:lvl w:ilvl="5" w:tplc="62E0C3BE">
      <w:numFmt w:val="bullet"/>
      <w:lvlText w:val=""/>
      <w:lvlJc w:val="left"/>
      <w:pPr>
        <w:ind w:left="4320" w:hanging="3960"/>
      </w:pPr>
    </w:lvl>
    <w:lvl w:ilvl="6" w:tplc="0600A0DE">
      <w:numFmt w:val="bullet"/>
      <w:lvlText w:val=""/>
      <w:lvlJc w:val="left"/>
      <w:pPr>
        <w:ind w:left="5040" w:hanging="4680"/>
      </w:pPr>
      <w:rPr>
        <w:rFonts w:ascii="Symbol"/>
      </w:rPr>
    </w:lvl>
    <w:lvl w:ilvl="7" w:tplc="E0222BEA">
      <w:numFmt w:val="bullet"/>
      <w:lvlText w:val="o"/>
      <w:lvlJc w:val="left"/>
      <w:pPr>
        <w:ind w:left="5760" w:hanging="5400"/>
      </w:pPr>
      <w:rPr>
        <w:rFonts w:ascii="Courier New"/>
      </w:rPr>
    </w:lvl>
    <w:lvl w:ilvl="8" w:tplc="24B69F42">
      <w:numFmt w:val="bullet"/>
      <w:lvlText w:val=""/>
      <w:lvlJc w:val="left"/>
      <w:pPr>
        <w:ind w:left="6480" w:hanging="61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3"/>
  <w:displayBackgroundShape/>
  <w:proofState w:spelling="clean" w:grammar="clean"/>
  <w:trackRevisions/>
  <w:defaultTabStop w:val="720"/>
  <w:characterSpacingControl w:val="doNotCompress"/>
  <w:compat/>
  <w:rsids>
    <w:rsidRoot w:val="005E63DA"/>
    <w:rsid w:val="00093EB2"/>
    <w:rsid w:val="000B05A8"/>
    <w:rsid w:val="000B6362"/>
    <w:rsid w:val="001048F9"/>
    <w:rsid w:val="001145BE"/>
    <w:rsid w:val="00120928"/>
    <w:rsid w:val="00126C0D"/>
    <w:rsid w:val="00145C92"/>
    <w:rsid w:val="00170968"/>
    <w:rsid w:val="00227E5F"/>
    <w:rsid w:val="0023512A"/>
    <w:rsid w:val="002607BB"/>
    <w:rsid w:val="00272520"/>
    <w:rsid w:val="00291812"/>
    <w:rsid w:val="002B087F"/>
    <w:rsid w:val="002B4B2D"/>
    <w:rsid w:val="0033477E"/>
    <w:rsid w:val="00340DD4"/>
    <w:rsid w:val="00417383"/>
    <w:rsid w:val="00484658"/>
    <w:rsid w:val="004B327D"/>
    <w:rsid w:val="004C34BF"/>
    <w:rsid w:val="00502362"/>
    <w:rsid w:val="00510006"/>
    <w:rsid w:val="00531AFF"/>
    <w:rsid w:val="00542830"/>
    <w:rsid w:val="00542946"/>
    <w:rsid w:val="0056640D"/>
    <w:rsid w:val="005A7E2F"/>
    <w:rsid w:val="005B433F"/>
    <w:rsid w:val="005E63DA"/>
    <w:rsid w:val="00624C22"/>
    <w:rsid w:val="006546AA"/>
    <w:rsid w:val="006647B9"/>
    <w:rsid w:val="00665BEC"/>
    <w:rsid w:val="006851DB"/>
    <w:rsid w:val="00686EBD"/>
    <w:rsid w:val="00724772"/>
    <w:rsid w:val="00791521"/>
    <w:rsid w:val="007A4756"/>
    <w:rsid w:val="007F3EC4"/>
    <w:rsid w:val="008867AC"/>
    <w:rsid w:val="00960F65"/>
    <w:rsid w:val="00964935"/>
    <w:rsid w:val="009E4AB0"/>
    <w:rsid w:val="00A11973"/>
    <w:rsid w:val="00A404EA"/>
    <w:rsid w:val="00A52EF2"/>
    <w:rsid w:val="00AF4972"/>
    <w:rsid w:val="00BB018A"/>
    <w:rsid w:val="00C02664"/>
    <w:rsid w:val="00C747EC"/>
    <w:rsid w:val="00CF012C"/>
    <w:rsid w:val="00D115A2"/>
    <w:rsid w:val="00D320C0"/>
    <w:rsid w:val="00D52700"/>
    <w:rsid w:val="00D84CB2"/>
    <w:rsid w:val="00DB37C7"/>
    <w:rsid w:val="00E75AAB"/>
    <w:rsid w:val="00EE4D1A"/>
    <w:rsid w:val="00EE7F4C"/>
    <w:rsid w:val="00F23B58"/>
    <w:rsid w:val="00F614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en-US" w:eastAsia="en-US" w:bidi="ar-SA"/>
      </w:rPr>
    </w:rPrDefault>
    <w:pPrDefault>
      <w:pPr>
        <w:spacing w:after="1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77E"/>
  </w:style>
  <w:style w:type="paragraph" w:styleId="Heading1">
    <w:name w:val="heading 1"/>
    <w:basedOn w:val="normal0"/>
    <w:next w:val="normal0"/>
    <w:rsid w:val="005E63DA"/>
    <w:pPr>
      <w:keepNext/>
      <w:keepLines/>
      <w:spacing w:before="240"/>
      <w:ind w:left="1134" w:hanging="1134"/>
      <w:outlineLvl w:val="0"/>
    </w:pPr>
    <w:rPr>
      <w:rFonts w:ascii="Arial" w:eastAsia="Arial" w:hAnsi="Arial" w:cs="Arial"/>
      <w:sz w:val="36"/>
      <w:szCs w:val="36"/>
    </w:rPr>
  </w:style>
  <w:style w:type="paragraph" w:styleId="Heading2">
    <w:name w:val="heading 2"/>
    <w:basedOn w:val="normal0"/>
    <w:next w:val="normal0"/>
    <w:rsid w:val="005E63DA"/>
    <w:pPr>
      <w:keepNext/>
      <w:keepLines/>
      <w:spacing w:before="360" w:after="80"/>
      <w:contextualSpacing/>
      <w:outlineLvl w:val="1"/>
    </w:pPr>
    <w:rPr>
      <w:b/>
      <w:sz w:val="36"/>
      <w:szCs w:val="36"/>
    </w:rPr>
  </w:style>
  <w:style w:type="paragraph" w:styleId="Heading3">
    <w:name w:val="heading 3"/>
    <w:basedOn w:val="normal0"/>
    <w:next w:val="normal0"/>
    <w:rsid w:val="005E63DA"/>
    <w:pPr>
      <w:keepNext/>
      <w:keepLines/>
      <w:spacing w:before="280" w:after="80"/>
      <w:contextualSpacing/>
      <w:outlineLvl w:val="2"/>
    </w:pPr>
    <w:rPr>
      <w:b/>
      <w:sz w:val="28"/>
      <w:szCs w:val="28"/>
    </w:rPr>
  </w:style>
  <w:style w:type="paragraph" w:styleId="Heading4">
    <w:name w:val="heading 4"/>
    <w:basedOn w:val="normal0"/>
    <w:next w:val="normal0"/>
    <w:rsid w:val="005E63DA"/>
    <w:pPr>
      <w:keepNext/>
      <w:keepLines/>
      <w:spacing w:before="240" w:after="40"/>
      <w:contextualSpacing/>
      <w:outlineLvl w:val="3"/>
    </w:pPr>
    <w:rPr>
      <w:b/>
      <w:sz w:val="24"/>
      <w:szCs w:val="24"/>
    </w:rPr>
  </w:style>
  <w:style w:type="paragraph" w:styleId="Heading5">
    <w:name w:val="heading 5"/>
    <w:basedOn w:val="normal0"/>
    <w:next w:val="normal0"/>
    <w:rsid w:val="005E63DA"/>
    <w:pPr>
      <w:keepNext/>
      <w:keepLines/>
      <w:spacing w:before="220" w:after="40"/>
      <w:contextualSpacing/>
      <w:outlineLvl w:val="4"/>
    </w:pPr>
    <w:rPr>
      <w:b/>
      <w:sz w:val="22"/>
      <w:szCs w:val="22"/>
    </w:rPr>
  </w:style>
  <w:style w:type="paragraph" w:styleId="Heading6">
    <w:name w:val="heading 6"/>
    <w:basedOn w:val="normal0"/>
    <w:next w:val="normal0"/>
    <w:rsid w:val="005E63DA"/>
    <w:pPr>
      <w:keepNext/>
      <w:keepLines/>
      <w:spacing w:before="200" w:after="40"/>
      <w:contextualSpacing/>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E63DA"/>
  </w:style>
  <w:style w:type="paragraph" w:styleId="Title">
    <w:name w:val="Title"/>
    <w:basedOn w:val="normal0"/>
    <w:next w:val="normal0"/>
    <w:rsid w:val="005E63DA"/>
    <w:pPr>
      <w:keepNext/>
      <w:keepLines/>
      <w:spacing w:before="480" w:after="120"/>
      <w:contextualSpacing/>
    </w:pPr>
    <w:rPr>
      <w:b/>
      <w:sz w:val="72"/>
      <w:szCs w:val="72"/>
    </w:rPr>
  </w:style>
  <w:style w:type="paragraph" w:styleId="Subtitle">
    <w:name w:val="Subtitle"/>
    <w:basedOn w:val="normal0"/>
    <w:next w:val="normal0"/>
    <w:rsid w:val="005E63DA"/>
    <w:pPr>
      <w:keepNext/>
      <w:keepLines/>
      <w:spacing w:before="360" w:after="80"/>
      <w:contextualSpacing/>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B37C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7C7"/>
    <w:rPr>
      <w:rFonts w:ascii="Tahoma" w:hAnsi="Tahoma" w:cs="Tahoma"/>
      <w:sz w:val="16"/>
      <w:szCs w:val="16"/>
    </w:rPr>
  </w:style>
  <w:style w:type="paragraph" w:styleId="NoSpacing">
    <w:name w:val="No Spacing"/>
    <w:uiPriority w:val="1"/>
    <w:qFormat/>
    <w:rsid w:val="00686EBD"/>
    <w:pPr>
      <w:overflowPunct w:val="0"/>
      <w:autoSpaceDE w:val="0"/>
      <w:autoSpaceDN w:val="0"/>
      <w:adjustRightInd w:val="0"/>
      <w:spacing w:after="0"/>
      <w:textAlignment w:val="baseline"/>
    </w:pPr>
    <w:rPr>
      <w:color w:val="auto"/>
      <w:lang w:val="en-GB"/>
    </w:rPr>
  </w:style>
  <w:style w:type="character" w:styleId="CommentReference">
    <w:name w:val="annotation reference"/>
    <w:basedOn w:val="DefaultParagraphFont"/>
    <w:uiPriority w:val="99"/>
    <w:semiHidden/>
    <w:unhideWhenUsed/>
    <w:rsid w:val="009E4AB0"/>
    <w:rPr>
      <w:sz w:val="16"/>
      <w:szCs w:val="16"/>
    </w:rPr>
  </w:style>
  <w:style w:type="paragraph" w:styleId="CommentText">
    <w:name w:val="annotation text"/>
    <w:basedOn w:val="Normal"/>
    <w:link w:val="CommentTextChar"/>
    <w:uiPriority w:val="99"/>
    <w:semiHidden/>
    <w:unhideWhenUsed/>
    <w:rsid w:val="009E4AB0"/>
  </w:style>
  <w:style w:type="character" w:customStyle="1" w:styleId="CommentTextChar">
    <w:name w:val="Comment Text Char"/>
    <w:basedOn w:val="DefaultParagraphFont"/>
    <w:link w:val="CommentText"/>
    <w:uiPriority w:val="99"/>
    <w:semiHidden/>
    <w:rsid w:val="009E4AB0"/>
  </w:style>
  <w:style w:type="paragraph" w:styleId="CommentSubject">
    <w:name w:val="annotation subject"/>
    <w:basedOn w:val="CommentText"/>
    <w:next w:val="CommentText"/>
    <w:link w:val="CommentSubjectChar"/>
    <w:uiPriority w:val="99"/>
    <w:semiHidden/>
    <w:unhideWhenUsed/>
    <w:rsid w:val="009E4AB0"/>
    <w:rPr>
      <w:b/>
      <w:bCs/>
    </w:rPr>
  </w:style>
  <w:style w:type="character" w:customStyle="1" w:styleId="CommentSubjectChar">
    <w:name w:val="Comment Subject Char"/>
    <w:basedOn w:val="CommentTextChar"/>
    <w:link w:val="CommentSubject"/>
    <w:uiPriority w:val="99"/>
    <w:semiHidden/>
    <w:rsid w:val="009E4AB0"/>
    <w:rPr>
      <w:b/>
      <w:bCs/>
    </w:rPr>
  </w:style>
  <w:style w:type="paragraph" w:customStyle="1" w:styleId="Normal1">
    <w:name w:val="Normal1"/>
    <w:rsid w:val="001048F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8312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Colin-ACF002</dc:creator>
  <cp:lastModifiedBy>Istvan</cp:lastModifiedBy>
  <cp:revision>2</cp:revision>
  <dcterms:created xsi:type="dcterms:W3CDTF">2016-04-14T20:46:00Z</dcterms:created>
  <dcterms:modified xsi:type="dcterms:W3CDTF">2016-04-14T20:46:00Z</dcterms:modified>
</cp:coreProperties>
</file>