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414988" w14:textId="50070AEA" w:rsidR="001D2D5F" w:rsidRPr="008525F2" w:rsidRDefault="001D2D5F" w:rsidP="001D2D5F">
      <w:pPr>
        <w:widowControl w:val="0"/>
        <w:tabs>
          <w:tab w:val="right" w:pos="9639"/>
        </w:tabs>
        <w:spacing w:after="0"/>
        <w:rPr>
          <w:b/>
          <w:sz w:val="24"/>
          <w:szCs w:val="24"/>
          <w:lang w:val="sv-SE"/>
        </w:rPr>
      </w:pPr>
      <w:bookmarkStart w:id="0" w:name="_GoBack"/>
      <w:bookmarkEnd w:id="0"/>
      <w:r w:rsidRPr="008525F2">
        <w:rPr>
          <w:b/>
          <w:sz w:val="24"/>
          <w:szCs w:val="24"/>
          <w:lang w:val="sv-SE"/>
        </w:rPr>
        <w:t xml:space="preserve">3GPP TSG-RAN </w:t>
      </w:r>
      <w:r w:rsidR="00064F31">
        <w:rPr>
          <w:b/>
          <w:sz w:val="24"/>
          <w:szCs w:val="24"/>
          <w:lang w:val="sv-SE"/>
        </w:rPr>
        <w:t>WG4 #78</w:t>
      </w:r>
      <w:r w:rsidR="00C50806">
        <w:rPr>
          <w:b/>
          <w:sz w:val="24"/>
          <w:szCs w:val="24"/>
          <w:lang w:val="sv-SE"/>
        </w:rPr>
        <w:t>BIS</w:t>
      </w:r>
      <w:r w:rsidRPr="008525F2">
        <w:rPr>
          <w:b/>
          <w:sz w:val="24"/>
          <w:szCs w:val="24"/>
          <w:lang w:val="sv-SE"/>
        </w:rPr>
        <w:tab/>
      </w:r>
      <w:r w:rsidR="00517FAB" w:rsidRPr="00517FAB">
        <w:rPr>
          <w:b/>
          <w:color w:val="333333"/>
          <w:sz w:val="24"/>
          <w:szCs w:val="24"/>
          <w:shd w:val="clear" w:color="auto" w:fill="FFFFFF"/>
        </w:rPr>
        <w:t>R4-162628</w:t>
      </w:r>
      <w:r w:rsidR="00517FAB" w:rsidRPr="00064F31">
        <w:rPr>
          <w:b/>
          <w:sz w:val="24"/>
          <w:szCs w:val="24"/>
        </w:rPr>
        <w:t xml:space="preserve"> </w:t>
      </w:r>
    </w:p>
    <w:p w14:paraId="345CE5B1" w14:textId="77777777" w:rsidR="0093339D" w:rsidRPr="0093339D" w:rsidRDefault="0093339D" w:rsidP="0093339D">
      <w:pPr>
        <w:pStyle w:val="Header"/>
        <w:tabs>
          <w:tab w:val="right" w:pos="9781"/>
          <w:tab w:val="right" w:pos="13323"/>
        </w:tabs>
        <w:outlineLvl w:val="0"/>
        <w:rPr>
          <w:rFonts w:ascii="Times New Roman" w:eastAsia="SimSun" w:hAnsi="Times New Roman"/>
          <w:sz w:val="24"/>
          <w:szCs w:val="24"/>
          <w:lang w:eastAsia="zh-CN"/>
        </w:rPr>
      </w:pPr>
      <w:r w:rsidRPr="0093339D">
        <w:rPr>
          <w:rFonts w:ascii="Times New Roman" w:eastAsia="SimSun" w:hAnsi="Times New Roman"/>
          <w:sz w:val="24"/>
          <w:szCs w:val="24"/>
          <w:lang w:eastAsia="zh-CN"/>
        </w:rPr>
        <w:t>San Jose del Cabo, Mexico</w:t>
      </w:r>
      <w:r w:rsidRPr="0093339D">
        <w:rPr>
          <w:rFonts w:ascii="Times New Roman" w:eastAsia="SimSun" w:hAnsi="Times New Roman"/>
          <w:sz w:val="24"/>
          <w:szCs w:val="24"/>
          <w:lang w:val="pt-BR" w:eastAsia="zh-CN"/>
        </w:rPr>
        <w:t>,</w:t>
      </w:r>
      <w:r w:rsidRPr="0093339D">
        <w:rPr>
          <w:rFonts w:ascii="Times New Roman" w:hAnsi="Times New Roman"/>
          <w:sz w:val="24"/>
          <w:szCs w:val="24"/>
          <w:lang w:val="pt-BR" w:eastAsia="ja-JP"/>
        </w:rPr>
        <w:t xml:space="preserve"> </w:t>
      </w:r>
      <w:r w:rsidRPr="0093339D">
        <w:rPr>
          <w:rFonts w:ascii="Times New Roman" w:hAnsi="Times New Roman"/>
          <w:sz w:val="24"/>
          <w:szCs w:val="24"/>
          <w:lang w:eastAsia="ja-JP"/>
        </w:rPr>
        <w:t>1</w:t>
      </w:r>
      <w:r w:rsidRPr="0093339D">
        <w:rPr>
          <w:rFonts w:ascii="Times New Roman" w:eastAsia="SimSun" w:hAnsi="Times New Roman"/>
          <w:sz w:val="24"/>
          <w:szCs w:val="24"/>
          <w:lang w:eastAsia="zh-CN"/>
        </w:rPr>
        <w:t>1</w:t>
      </w:r>
      <w:r w:rsidRPr="0093339D">
        <w:rPr>
          <w:rFonts w:ascii="Times New Roman" w:hAnsi="Times New Roman"/>
          <w:sz w:val="24"/>
          <w:szCs w:val="24"/>
          <w:lang w:eastAsia="ja-JP"/>
        </w:rPr>
        <w:t xml:space="preserve"> </w:t>
      </w:r>
      <w:r w:rsidRPr="0093339D">
        <w:rPr>
          <w:rFonts w:ascii="Times New Roman" w:eastAsia="SimSun" w:hAnsi="Times New Roman"/>
          <w:sz w:val="24"/>
          <w:szCs w:val="24"/>
          <w:lang w:eastAsia="zh-CN"/>
        </w:rPr>
        <w:t>– 15</w:t>
      </w:r>
      <w:r w:rsidRPr="0093339D">
        <w:rPr>
          <w:rFonts w:ascii="Times New Roman" w:hAnsi="Times New Roman"/>
          <w:sz w:val="24"/>
          <w:szCs w:val="24"/>
          <w:lang w:eastAsia="ja-JP"/>
        </w:rPr>
        <w:t xml:space="preserve"> </w:t>
      </w:r>
      <w:r w:rsidRPr="0093339D">
        <w:rPr>
          <w:rFonts w:ascii="Times New Roman" w:eastAsia="SimSun" w:hAnsi="Times New Roman"/>
          <w:sz w:val="24"/>
          <w:szCs w:val="24"/>
          <w:lang w:eastAsia="zh-CN"/>
        </w:rPr>
        <w:t>April</w:t>
      </w:r>
      <w:r w:rsidRPr="0093339D">
        <w:rPr>
          <w:rFonts w:ascii="Times New Roman" w:hAnsi="Times New Roman"/>
          <w:sz w:val="24"/>
          <w:szCs w:val="24"/>
          <w:lang w:eastAsia="ja-JP"/>
        </w:rPr>
        <w:t>, 201</w:t>
      </w:r>
      <w:r w:rsidRPr="0093339D">
        <w:rPr>
          <w:rFonts w:ascii="Times New Roman" w:eastAsia="SimSun" w:hAnsi="Times New Roman"/>
          <w:sz w:val="24"/>
          <w:szCs w:val="24"/>
          <w:lang w:eastAsia="zh-CN"/>
        </w:rPr>
        <w:t>6</w:t>
      </w:r>
    </w:p>
    <w:p w14:paraId="49AA8737" w14:textId="77777777" w:rsidR="001D2D5F" w:rsidRPr="008525F2" w:rsidRDefault="001D2D5F" w:rsidP="001D2D5F">
      <w:pPr>
        <w:pStyle w:val="Header"/>
        <w:rPr>
          <w:rFonts w:ascii="Times New Roman" w:hAnsi="Times New Roman"/>
          <w:noProof w:val="0"/>
          <w:lang w:val="en-GB"/>
        </w:rPr>
      </w:pPr>
    </w:p>
    <w:p w14:paraId="2E121D47" w14:textId="77777777" w:rsidR="001D2D5F" w:rsidRPr="008525F2" w:rsidRDefault="001D2D5F" w:rsidP="001D2D5F">
      <w:pPr>
        <w:pStyle w:val="Footer"/>
        <w:rPr>
          <w:rFonts w:ascii="Times New Roman" w:hAnsi="Times New Roman"/>
          <w:noProof w:val="0"/>
        </w:rPr>
      </w:pPr>
    </w:p>
    <w:p w14:paraId="07F9ED89" w14:textId="77777777" w:rsidR="001D2D5F" w:rsidRPr="008525F2" w:rsidRDefault="001D2D5F" w:rsidP="001D2D5F">
      <w:pPr>
        <w:tabs>
          <w:tab w:val="left" w:pos="1985"/>
        </w:tabs>
        <w:rPr>
          <w:sz w:val="24"/>
          <w:lang w:val="en-US"/>
        </w:rPr>
      </w:pPr>
      <w:r w:rsidRPr="008525F2">
        <w:rPr>
          <w:b/>
          <w:sz w:val="24"/>
          <w:lang w:val="en-US"/>
        </w:rPr>
        <w:t xml:space="preserve">Source: </w:t>
      </w:r>
      <w:r w:rsidRPr="008525F2">
        <w:rPr>
          <w:b/>
          <w:sz w:val="24"/>
          <w:lang w:val="en-US"/>
        </w:rPr>
        <w:tab/>
      </w:r>
      <w:r w:rsidRPr="008525F2">
        <w:rPr>
          <w:sz w:val="24"/>
          <w:lang w:val="en-US"/>
        </w:rPr>
        <w:t>Qualcomm Incorporated</w:t>
      </w:r>
    </w:p>
    <w:p w14:paraId="1A1A51DA" w14:textId="77777777" w:rsidR="001D2D5F" w:rsidRPr="008525F2" w:rsidRDefault="001D2D5F" w:rsidP="001D2D5F">
      <w:pPr>
        <w:tabs>
          <w:tab w:val="left" w:pos="1985"/>
        </w:tabs>
        <w:ind w:left="1980" w:hanging="1980"/>
        <w:rPr>
          <w:sz w:val="24"/>
          <w:szCs w:val="24"/>
        </w:rPr>
      </w:pPr>
      <w:r w:rsidRPr="008525F2">
        <w:rPr>
          <w:b/>
          <w:sz w:val="24"/>
          <w:lang w:val="en-US"/>
        </w:rPr>
        <w:t>Title:</w:t>
      </w:r>
      <w:r w:rsidRPr="008525F2">
        <w:rPr>
          <w:sz w:val="24"/>
          <w:lang w:val="en-US"/>
        </w:rPr>
        <w:t xml:space="preserve"> </w:t>
      </w:r>
      <w:r w:rsidRPr="008525F2">
        <w:rPr>
          <w:sz w:val="24"/>
          <w:lang w:val="en-US"/>
        </w:rPr>
        <w:tab/>
      </w:r>
      <w:r w:rsidR="00064F31">
        <w:rPr>
          <w:sz w:val="24"/>
          <w:lang w:val="en-US"/>
        </w:rPr>
        <w:t>Procedures for legacy testing of 4Rx UE</w:t>
      </w:r>
    </w:p>
    <w:p w14:paraId="7EC2CAB2" w14:textId="58063312" w:rsidR="001D2D5F" w:rsidRPr="008525F2" w:rsidRDefault="001D2D5F" w:rsidP="001D2D5F">
      <w:pPr>
        <w:tabs>
          <w:tab w:val="left" w:pos="1985"/>
        </w:tabs>
        <w:jc w:val="both"/>
        <w:rPr>
          <w:b/>
          <w:sz w:val="24"/>
          <w:szCs w:val="24"/>
          <w:lang w:eastAsia="zh-CN"/>
        </w:rPr>
      </w:pPr>
      <w:r w:rsidRPr="008525F2">
        <w:rPr>
          <w:b/>
          <w:sz w:val="22"/>
        </w:rPr>
        <w:t>Agenda Item:</w:t>
      </w:r>
      <w:r w:rsidRPr="008525F2">
        <w:rPr>
          <w:b/>
          <w:sz w:val="22"/>
        </w:rPr>
        <w:tab/>
      </w:r>
      <w:r w:rsidR="00064F31">
        <w:rPr>
          <w:sz w:val="24"/>
          <w:szCs w:val="24"/>
        </w:rPr>
        <w:t>6.</w:t>
      </w:r>
      <w:r w:rsidR="0093339D">
        <w:rPr>
          <w:sz w:val="24"/>
          <w:szCs w:val="24"/>
        </w:rPr>
        <w:t>6</w:t>
      </w:r>
      <w:r w:rsidR="00064F31">
        <w:rPr>
          <w:sz w:val="24"/>
          <w:szCs w:val="24"/>
        </w:rPr>
        <w:t>.1</w:t>
      </w:r>
    </w:p>
    <w:p w14:paraId="11E6F8D7" w14:textId="77777777" w:rsidR="001D2D5F" w:rsidRPr="008525F2" w:rsidRDefault="001D2D5F" w:rsidP="001D2D5F">
      <w:pPr>
        <w:tabs>
          <w:tab w:val="left" w:pos="1985"/>
        </w:tabs>
        <w:ind w:left="1980" w:hanging="1980"/>
        <w:rPr>
          <w:sz w:val="24"/>
          <w:lang w:val="en-US"/>
        </w:rPr>
      </w:pPr>
      <w:r w:rsidRPr="008525F2">
        <w:rPr>
          <w:b/>
          <w:sz w:val="24"/>
          <w:lang w:val="en-US"/>
        </w:rPr>
        <w:t>Document for:</w:t>
      </w:r>
      <w:r w:rsidRPr="008525F2">
        <w:rPr>
          <w:sz w:val="24"/>
          <w:lang w:val="en-US"/>
        </w:rPr>
        <w:tab/>
        <w:t>Discussion</w:t>
      </w:r>
    </w:p>
    <w:p w14:paraId="64E5126A" w14:textId="77777777" w:rsidR="001D2D5F" w:rsidRPr="008525F2" w:rsidRDefault="001D2D5F" w:rsidP="00DE5677">
      <w:pPr>
        <w:pStyle w:val="Heading1"/>
        <w:spacing w:line="276" w:lineRule="auto"/>
        <w:rPr>
          <w:rFonts w:ascii="Times New Roman" w:hAnsi="Times New Roman"/>
          <w:lang w:val="en-US"/>
        </w:rPr>
      </w:pPr>
      <w:r w:rsidRPr="008525F2">
        <w:rPr>
          <w:rFonts w:ascii="Times New Roman" w:hAnsi="Times New Roman"/>
          <w:lang w:val="en-US"/>
        </w:rPr>
        <w:t>Introduction</w:t>
      </w:r>
    </w:p>
    <w:p w14:paraId="43006332" w14:textId="6E5D31A1" w:rsidR="000522A8" w:rsidRDefault="001D2D5F" w:rsidP="00DE5677">
      <w:pPr>
        <w:keepNext/>
        <w:spacing w:before="240" w:after="120" w:line="276" w:lineRule="auto"/>
        <w:rPr>
          <w:lang w:val="en-US"/>
        </w:rPr>
      </w:pPr>
      <w:r w:rsidRPr="008525F2">
        <w:rPr>
          <w:lang w:val="en-US"/>
        </w:rPr>
        <w:t xml:space="preserve">In RAN4 #76, RAN4 arrived at the consensus that </w:t>
      </w:r>
      <w:r w:rsidRPr="008525F2">
        <w:t xml:space="preserve">all legacy 2Rx tests (RRM, RLM, </w:t>
      </w:r>
      <w:proofErr w:type="spellStart"/>
      <w:r w:rsidRPr="008525F2">
        <w:t>demod</w:t>
      </w:r>
      <w:proofErr w:type="spellEnd"/>
      <w:r w:rsidRPr="008525F2">
        <w:t xml:space="preserve"> and CSI) need to be verified by 4Rx UE unless the 4Rx applicability rules indicate that they do not need to be verified [1]</w:t>
      </w:r>
      <w:r w:rsidRPr="008525F2">
        <w:rPr>
          <w:lang w:val="en-US"/>
        </w:rPr>
        <w:t>.</w:t>
      </w:r>
      <w:r w:rsidR="000522A8">
        <w:rPr>
          <w:lang w:val="en-US"/>
        </w:rPr>
        <w:t xml:space="preserve">  The following</w:t>
      </w:r>
      <w:r w:rsidR="00212F06">
        <w:rPr>
          <w:lang w:val="en-US"/>
        </w:rPr>
        <w:t xml:space="preserve"> options for</w:t>
      </w:r>
      <w:r w:rsidR="000522A8">
        <w:rPr>
          <w:lang w:val="en-US"/>
        </w:rPr>
        <w:t xml:space="preserve"> antenna connections </w:t>
      </w:r>
      <w:r w:rsidR="00212F06">
        <w:rPr>
          <w:lang w:val="en-US"/>
        </w:rPr>
        <w:t xml:space="preserve">for running legacy 2Rx tests on 4Rx UEs have </w:t>
      </w:r>
      <w:r w:rsidR="000522A8">
        <w:rPr>
          <w:lang w:val="en-US"/>
        </w:rPr>
        <w:t xml:space="preserve">emerged </w:t>
      </w:r>
    </w:p>
    <w:p w14:paraId="00EA4438" w14:textId="77777777" w:rsidR="00EB7F1C" w:rsidRDefault="00027E82" w:rsidP="00DE5677">
      <w:pPr>
        <w:keepNext/>
        <w:spacing w:before="240" w:after="120" w:line="276" w:lineRule="auto"/>
        <w:rPr>
          <w:lang w:val="en-US"/>
        </w:rPr>
      </w:pPr>
      <w:r w:rsidRPr="008525F2">
        <w:rPr>
          <w:noProof/>
          <w:lang w:val="en-US"/>
        </w:rPr>
        <mc:AlternateContent>
          <mc:Choice Requires="wps">
            <w:drawing>
              <wp:anchor distT="45720" distB="45720" distL="114300" distR="114300" simplePos="0" relativeHeight="251659264" behindDoc="0" locked="0" layoutInCell="1" allowOverlap="1" wp14:anchorId="39B7128B" wp14:editId="27911C6B">
                <wp:simplePos x="0" y="0"/>
                <wp:positionH relativeFrom="margin">
                  <wp:posOffset>0</wp:posOffset>
                </wp:positionH>
                <wp:positionV relativeFrom="paragraph">
                  <wp:posOffset>118110</wp:posOffset>
                </wp:positionV>
                <wp:extent cx="5655310" cy="1404620"/>
                <wp:effectExtent l="0" t="0" r="2159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5310" cy="1404620"/>
                        </a:xfrm>
                        <a:prstGeom prst="rect">
                          <a:avLst/>
                        </a:prstGeom>
                        <a:solidFill>
                          <a:srgbClr val="FFFFFF"/>
                        </a:solidFill>
                        <a:ln w="9525">
                          <a:solidFill>
                            <a:srgbClr val="000000"/>
                          </a:solidFill>
                          <a:miter lim="800000"/>
                          <a:headEnd/>
                          <a:tailEnd/>
                        </a:ln>
                      </wps:spPr>
                      <wps:txbx>
                        <w:txbxContent>
                          <w:p w14:paraId="0322BDE3" w14:textId="77777777" w:rsidR="00027E82" w:rsidRPr="00B63D5A" w:rsidRDefault="00027E82" w:rsidP="00027E82">
                            <w:pPr>
                              <w:widowControl w:val="0"/>
                              <w:numPr>
                                <w:ilvl w:val="0"/>
                                <w:numId w:val="2"/>
                              </w:numPr>
                              <w:tabs>
                                <w:tab w:val="clear" w:pos="720"/>
                                <w:tab w:val="left" w:pos="709"/>
                              </w:tabs>
                              <w:spacing w:after="0"/>
                              <w:jc w:val="both"/>
                              <w:rPr>
                                <w:rFonts w:asciiTheme="minorHAnsi" w:eastAsia="SimSun" w:hAnsiTheme="minorHAnsi"/>
                                <w:i/>
                                <w:lang w:val="en-US"/>
                              </w:rPr>
                            </w:pPr>
                            <w:r w:rsidRPr="00B63D5A">
                              <w:rPr>
                                <w:rFonts w:asciiTheme="minorHAnsi" w:hAnsiTheme="minorHAnsi"/>
                                <w:i/>
                              </w:rPr>
                              <w:t>Option 1: Connect 2 of the 4 Rx with data source from SS to perform 2Rx tests, depending on the UE’s declaration and AP configuration, keeping the same requirements as 2Rx tests.</w:t>
                            </w:r>
                          </w:p>
                          <w:p w14:paraId="66DB68CE" w14:textId="77777777" w:rsidR="00027E82" w:rsidRPr="00B63D5A" w:rsidRDefault="00027E82" w:rsidP="00027E82">
                            <w:pPr>
                              <w:widowControl w:val="0"/>
                              <w:numPr>
                                <w:ilvl w:val="0"/>
                                <w:numId w:val="2"/>
                              </w:numPr>
                              <w:tabs>
                                <w:tab w:val="clear" w:pos="720"/>
                                <w:tab w:val="left" w:pos="709"/>
                              </w:tabs>
                              <w:spacing w:after="0"/>
                              <w:jc w:val="both"/>
                              <w:rPr>
                                <w:rFonts w:asciiTheme="minorHAnsi" w:hAnsiTheme="minorHAnsi"/>
                                <w:i/>
                              </w:rPr>
                            </w:pPr>
                            <w:r w:rsidRPr="00B63D5A">
                              <w:rPr>
                                <w:rFonts w:asciiTheme="minorHAnsi" w:hAnsiTheme="minorHAnsi"/>
                                <w:i/>
                              </w:rPr>
                              <w:t>Option 2: Connect all 4 of the 4 Rx with data source from SS to perform 2Rx tests, keeping the same requirements as 2Rx tests.</w:t>
                            </w:r>
                          </w:p>
                          <w:p w14:paraId="0A50A1A6" w14:textId="77777777" w:rsidR="00027E82" w:rsidRPr="00B63D5A" w:rsidRDefault="00027E82" w:rsidP="00027E82">
                            <w:pPr>
                              <w:widowControl w:val="0"/>
                              <w:numPr>
                                <w:ilvl w:val="0"/>
                                <w:numId w:val="2"/>
                              </w:numPr>
                              <w:tabs>
                                <w:tab w:val="clear" w:pos="720"/>
                                <w:tab w:val="left" w:pos="709"/>
                              </w:tabs>
                              <w:spacing w:after="0"/>
                              <w:jc w:val="both"/>
                              <w:rPr>
                                <w:rFonts w:asciiTheme="minorHAnsi" w:hAnsiTheme="minorHAnsi"/>
                              </w:rPr>
                            </w:pPr>
                            <w:r w:rsidRPr="00B63D5A">
                              <w:rPr>
                                <w:rFonts w:asciiTheme="minorHAnsi" w:hAnsiTheme="minorHAnsi"/>
                                <w:i/>
                              </w:rPr>
                              <w:t>Option 3: Mixed Option 1 and 2 case by case.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9B7128B" id="_x0000_t202" coordsize="21600,21600" o:spt="202" path="m,l,21600r21600,l21600,xe">
                <v:stroke joinstyle="miter"/>
                <v:path gradientshapeok="t" o:connecttype="rect"/>
              </v:shapetype>
              <v:shape id="Text Box 2" o:spid="_x0000_s1026" type="#_x0000_t202" style="position:absolute;margin-left:0;margin-top:9.3pt;width:445.3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g0f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">
                <v:textbox style="mso-fit-shape-to-text:t">
                  <w:txbxContent>
                    <w:p w14:paraId="0322BDE3" w14:textId="77777777" w:rsidR="00027E82" w:rsidRPr="00B63D5A" w:rsidRDefault="00027E82" w:rsidP="00027E82">
                      <w:pPr>
                        <w:widowControl w:val="0"/>
                        <w:numPr>
                          <w:ilvl w:val="0"/>
                          <w:numId w:val="2"/>
                        </w:numPr>
                        <w:tabs>
                          <w:tab w:val="clear" w:pos="720"/>
                          <w:tab w:val="left" w:pos="709"/>
                        </w:tabs>
                        <w:spacing w:after="0"/>
                        <w:jc w:val="both"/>
                        <w:rPr>
                          <w:rFonts w:asciiTheme="minorHAnsi" w:eastAsia="SimSun" w:hAnsiTheme="minorHAnsi"/>
                          <w:i/>
                          <w:lang w:val="en-US"/>
                        </w:rPr>
                      </w:pPr>
                      <w:r w:rsidRPr="00B63D5A">
                        <w:rPr>
                          <w:rFonts w:asciiTheme="minorHAnsi" w:hAnsiTheme="minorHAnsi"/>
                          <w:i/>
                        </w:rPr>
                        <w:t>Option 1: Connect 2 of the 4 Rx with data source from SS to perform 2Rx tests, depending on the UE’s declaration and AP configuration, keeping the same requirements as 2Rx tests.</w:t>
                      </w:r>
                    </w:p>
                    <w:p w14:paraId="66DB68CE" w14:textId="77777777" w:rsidR="00027E82" w:rsidRPr="00B63D5A" w:rsidRDefault="00027E82" w:rsidP="00027E82">
                      <w:pPr>
                        <w:widowControl w:val="0"/>
                        <w:numPr>
                          <w:ilvl w:val="0"/>
                          <w:numId w:val="2"/>
                        </w:numPr>
                        <w:tabs>
                          <w:tab w:val="clear" w:pos="720"/>
                          <w:tab w:val="left" w:pos="709"/>
                        </w:tabs>
                        <w:spacing w:after="0"/>
                        <w:jc w:val="both"/>
                        <w:rPr>
                          <w:rFonts w:asciiTheme="minorHAnsi" w:hAnsiTheme="minorHAnsi"/>
                          <w:i/>
                        </w:rPr>
                      </w:pPr>
                      <w:r w:rsidRPr="00B63D5A">
                        <w:rPr>
                          <w:rFonts w:asciiTheme="minorHAnsi" w:hAnsiTheme="minorHAnsi"/>
                          <w:i/>
                        </w:rPr>
                        <w:t>Option 2: Connect all 4 of the 4 Rx with data source from SS to perform 2Rx tests, keeping the same requirements as 2Rx tests.</w:t>
                      </w:r>
                    </w:p>
                    <w:p w14:paraId="0A50A1A6" w14:textId="77777777" w:rsidR="00027E82" w:rsidRPr="00B63D5A" w:rsidRDefault="00027E82" w:rsidP="00027E82">
                      <w:pPr>
                        <w:widowControl w:val="0"/>
                        <w:numPr>
                          <w:ilvl w:val="0"/>
                          <w:numId w:val="2"/>
                        </w:numPr>
                        <w:tabs>
                          <w:tab w:val="clear" w:pos="720"/>
                          <w:tab w:val="left" w:pos="709"/>
                        </w:tabs>
                        <w:spacing w:after="0"/>
                        <w:jc w:val="both"/>
                        <w:rPr>
                          <w:rFonts w:asciiTheme="minorHAnsi" w:hAnsiTheme="minorHAnsi"/>
                        </w:rPr>
                      </w:pPr>
                      <w:r w:rsidRPr="00B63D5A">
                        <w:rPr>
                          <w:rFonts w:asciiTheme="minorHAnsi" w:hAnsiTheme="minorHAnsi"/>
                          <w:i/>
                        </w:rPr>
                        <w:t>Option 3: Mixed Option 1 and 2 case by case.</w:t>
                      </w:r>
                    </w:p>
                  </w:txbxContent>
                </v:textbox>
                <w10:wrap type="square" anchorx="margin"/>
              </v:shape>
            </w:pict>
          </mc:Fallback>
        </mc:AlternateContent>
      </w:r>
      <w:r>
        <w:rPr>
          <w:lang w:val="en-US"/>
        </w:rPr>
        <w:t>I</w:t>
      </w:r>
      <w:r w:rsidR="00064F31">
        <w:rPr>
          <w:lang w:val="en-US"/>
        </w:rPr>
        <w:t>n RAN4 #77</w:t>
      </w:r>
      <w:r w:rsidR="00EB7F1C">
        <w:rPr>
          <w:lang w:val="en-US"/>
        </w:rPr>
        <w:t>, RAN4 defined two types of 4Rx UE</w:t>
      </w:r>
    </w:p>
    <w:p w14:paraId="3647BDA9" w14:textId="77777777" w:rsidR="00EB7F1C" w:rsidRDefault="00EB7F1C" w:rsidP="00DE5677">
      <w:pPr>
        <w:pStyle w:val="ListParagraph"/>
        <w:keepNext/>
        <w:numPr>
          <w:ilvl w:val="0"/>
          <w:numId w:val="10"/>
        </w:numPr>
        <w:spacing w:before="240" w:after="120" w:line="276" w:lineRule="auto"/>
        <w:rPr>
          <w:lang w:val="en-US"/>
        </w:rPr>
      </w:pPr>
      <w:r>
        <w:rPr>
          <w:lang w:val="en-US"/>
        </w:rPr>
        <w:t>Type 1:</w:t>
      </w:r>
      <w:r w:rsidR="005A4244">
        <w:rPr>
          <w:lang w:val="en-US"/>
        </w:rPr>
        <w:t xml:space="preserve"> UE</w:t>
      </w:r>
      <w:r w:rsidR="004316FA">
        <w:rPr>
          <w:lang w:val="en-US"/>
        </w:rPr>
        <w:t>s</w:t>
      </w:r>
      <w:r w:rsidR="000522A8">
        <w:rPr>
          <w:lang w:val="en-US"/>
        </w:rPr>
        <w:t xml:space="preserve"> that</w:t>
      </w:r>
      <w:r w:rsidR="005A4244">
        <w:rPr>
          <w:lang w:val="en-US"/>
        </w:rPr>
        <w:t xml:space="preserve"> </w:t>
      </w:r>
      <w:r w:rsidR="000522A8">
        <w:rPr>
          <w:lang w:val="en-US"/>
        </w:rPr>
        <w:t>only support 2Rx in certain bands and support 4Rx in the other bands</w:t>
      </w:r>
    </w:p>
    <w:p w14:paraId="7943C167" w14:textId="77777777" w:rsidR="00EB7F1C" w:rsidRDefault="00EB7F1C" w:rsidP="00DE5677">
      <w:pPr>
        <w:pStyle w:val="ListParagraph"/>
        <w:keepNext/>
        <w:numPr>
          <w:ilvl w:val="0"/>
          <w:numId w:val="10"/>
        </w:numPr>
        <w:spacing w:before="240" w:after="120" w:line="276" w:lineRule="auto"/>
        <w:rPr>
          <w:lang w:val="en-US"/>
        </w:rPr>
      </w:pPr>
      <w:r>
        <w:rPr>
          <w:lang w:val="en-US"/>
        </w:rPr>
        <w:t xml:space="preserve">Type </w:t>
      </w:r>
      <w:r w:rsidR="000522A8">
        <w:rPr>
          <w:lang w:val="en-US"/>
        </w:rPr>
        <w:t>2</w:t>
      </w:r>
      <w:r>
        <w:rPr>
          <w:lang w:val="en-US"/>
        </w:rPr>
        <w:t>:</w:t>
      </w:r>
      <w:r w:rsidR="000522A8">
        <w:rPr>
          <w:lang w:val="en-US"/>
        </w:rPr>
        <w:t xml:space="preserve"> UE</w:t>
      </w:r>
      <w:r w:rsidR="004316FA">
        <w:rPr>
          <w:lang w:val="en-US"/>
        </w:rPr>
        <w:t>s</w:t>
      </w:r>
      <w:r w:rsidR="000522A8">
        <w:rPr>
          <w:lang w:val="en-US"/>
        </w:rPr>
        <w:t xml:space="preserve"> that support 4Rx in all the bands</w:t>
      </w:r>
    </w:p>
    <w:p w14:paraId="375F7CE3" w14:textId="2A1A89AA" w:rsidR="001E24E5" w:rsidRPr="001E24E5" w:rsidRDefault="000522A8" w:rsidP="00DE5677">
      <w:pPr>
        <w:tabs>
          <w:tab w:val="left" w:pos="709"/>
        </w:tabs>
        <w:overflowPunct w:val="0"/>
        <w:autoSpaceDE w:val="0"/>
        <w:autoSpaceDN w:val="0"/>
        <w:adjustRightInd w:val="0"/>
        <w:spacing w:line="276" w:lineRule="auto"/>
        <w:rPr>
          <w:lang w:val="en-US"/>
        </w:rPr>
      </w:pPr>
      <w:r w:rsidRPr="000522A8">
        <w:rPr>
          <w:lang w:val="en-US"/>
        </w:rPr>
        <w:t>For Type 1 UE</w:t>
      </w:r>
      <w:r w:rsidR="002576D2">
        <w:rPr>
          <w:lang w:val="en-US"/>
        </w:rPr>
        <w:t>s</w:t>
      </w:r>
      <w:r w:rsidRPr="000522A8">
        <w:rPr>
          <w:lang w:val="en-US"/>
        </w:rPr>
        <w:t>, RAN4 arrived at a consensus that “</w:t>
      </w:r>
      <w:r w:rsidR="004316FA">
        <w:t xml:space="preserve">All </w:t>
      </w:r>
      <w:r w:rsidR="00134536">
        <w:t xml:space="preserve">band independent </w:t>
      </w:r>
      <w:r w:rsidR="004316FA">
        <w:t>2Rx</w:t>
      </w:r>
      <w:r w:rsidRPr="00027E82">
        <w:t xml:space="preserve"> tests can b</w:t>
      </w:r>
      <w:r w:rsidR="004316FA">
        <w:t>e tested for Type 1 UEs on a 2Rx</w:t>
      </w:r>
      <w:r w:rsidRPr="00027E82">
        <w:t xml:space="preserve"> band</w:t>
      </w:r>
      <w:r w:rsidR="003952E8">
        <w:t xml:space="preserve"> [</w:t>
      </w:r>
      <w:r w:rsidR="00901E59">
        <w:t>2</w:t>
      </w:r>
      <w:r w:rsidR="003952E8">
        <w:t>]</w:t>
      </w:r>
      <w:r w:rsidR="0093339D">
        <w:t>”</w:t>
      </w:r>
      <w:r w:rsidR="003952E8">
        <w:t>.</w:t>
      </w:r>
      <w:r w:rsidR="00027E82">
        <w:t xml:space="preserve"> </w:t>
      </w:r>
      <w:r w:rsidR="0093339D">
        <w:t xml:space="preserve">In RAN4 #78, </w:t>
      </w:r>
      <w:r w:rsidR="001074C6">
        <w:t xml:space="preserve">it was agreed that all band dependent legacy 2Rx RRM tests will follow connection Option 2 when the test is being performed in a 4Rx band [6]. It was also agreed </w:t>
      </w:r>
      <w:r w:rsidR="002576D2">
        <w:t xml:space="preserve">that RLM tests for </w:t>
      </w:r>
      <w:r w:rsidR="001074C6">
        <w:t xml:space="preserve">Type 2 UEs </w:t>
      </w:r>
      <w:r w:rsidR="002576D2">
        <w:t xml:space="preserve">will follow Option 2. </w:t>
      </w:r>
      <w:r w:rsidR="00CC26A3">
        <w:t>However, t</w:t>
      </w:r>
      <w:r w:rsidR="00027E82">
        <w:t>he antenna connections for</w:t>
      </w:r>
      <w:r w:rsidR="002576D2">
        <w:t xml:space="preserve"> </w:t>
      </w:r>
      <w:proofErr w:type="spellStart"/>
      <w:r w:rsidR="002576D2">
        <w:t>demod</w:t>
      </w:r>
      <w:proofErr w:type="spellEnd"/>
      <w:r w:rsidR="002576D2">
        <w:t xml:space="preserve"> and CSI tests for </w:t>
      </w:r>
      <w:r w:rsidR="00027E82">
        <w:t xml:space="preserve">Type 2 UE is still open. In this contribution, we further elaborate our proposal, i.e., </w:t>
      </w:r>
      <w:r w:rsidR="004316FA">
        <w:t>Option 2</w:t>
      </w:r>
      <w:r w:rsidR="00CB698E">
        <w:t>, originally presented in [3].</w:t>
      </w:r>
    </w:p>
    <w:p w14:paraId="6546DCAA" w14:textId="77777777" w:rsidR="00496184" w:rsidRDefault="00B760FB" w:rsidP="00DE5677">
      <w:pPr>
        <w:pStyle w:val="Heading1"/>
        <w:spacing w:line="276" w:lineRule="auto"/>
        <w:rPr>
          <w:rFonts w:ascii="Times New Roman" w:hAnsi="Times New Roman"/>
          <w:lang w:val="en-US"/>
        </w:rPr>
      </w:pPr>
      <w:r>
        <w:rPr>
          <w:rFonts w:ascii="Times New Roman" w:hAnsi="Times New Roman"/>
          <w:lang w:val="en-US"/>
        </w:rPr>
        <w:t>Discussion</w:t>
      </w:r>
    </w:p>
    <w:p w14:paraId="6A8C5B8B" w14:textId="77777777" w:rsidR="00FB748C" w:rsidRPr="00FB748C" w:rsidRDefault="008574D5" w:rsidP="00DE5677">
      <w:pPr>
        <w:spacing w:line="276" w:lineRule="auto"/>
        <w:rPr>
          <w:lang w:val="en-US"/>
        </w:rPr>
      </w:pPr>
      <w:r>
        <w:rPr>
          <w:lang w:val="en-US"/>
        </w:rPr>
        <w:t xml:space="preserve">In this section, we </w:t>
      </w:r>
      <w:r w:rsidR="000762C8">
        <w:rPr>
          <w:lang w:val="en-US"/>
        </w:rPr>
        <w:t xml:space="preserve">first discuss the </w:t>
      </w:r>
      <w:r w:rsidR="00FB748C">
        <w:rPr>
          <w:lang w:val="en-US"/>
        </w:rPr>
        <w:t xml:space="preserve">methodology </w:t>
      </w:r>
      <w:r>
        <w:rPr>
          <w:lang w:val="en-US"/>
        </w:rPr>
        <w:t>for</w:t>
      </w:r>
      <w:r w:rsidR="002B045E">
        <w:rPr>
          <w:lang w:val="en-US"/>
        </w:rPr>
        <w:t xml:space="preserve"> extending </w:t>
      </w:r>
      <w:r>
        <w:rPr>
          <w:lang w:val="en-US"/>
        </w:rPr>
        <w:t xml:space="preserve">antenna correlation matrix for </w:t>
      </w:r>
      <w:r w:rsidR="000762C8">
        <w:rPr>
          <w:lang w:val="en-US"/>
        </w:rPr>
        <w:t xml:space="preserve">legacy 2Rx test cases to 4Rx. Then, we propose potential modifications to the CINR test points required for certain test cases so that the performance requirement of </w:t>
      </w:r>
      <w:r w:rsidR="00031ADD">
        <w:rPr>
          <w:lang w:val="en-US"/>
        </w:rPr>
        <w:t xml:space="preserve">the legacy 2Rx test </w:t>
      </w:r>
      <w:r w:rsidR="000762C8">
        <w:rPr>
          <w:lang w:val="en-US"/>
        </w:rPr>
        <w:t>remain</w:t>
      </w:r>
      <w:r w:rsidR="00031ADD">
        <w:rPr>
          <w:lang w:val="en-US"/>
        </w:rPr>
        <w:t>s</w:t>
      </w:r>
      <w:r w:rsidR="000762C8">
        <w:rPr>
          <w:lang w:val="en-US"/>
        </w:rPr>
        <w:t xml:space="preserve"> meaningful</w:t>
      </w:r>
      <w:r w:rsidR="00031ADD">
        <w:rPr>
          <w:lang w:val="en-US"/>
        </w:rPr>
        <w:t xml:space="preserve"> even for </w:t>
      </w:r>
      <w:r w:rsidR="00107C94">
        <w:rPr>
          <w:lang w:val="en-US"/>
        </w:rPr>
        <w:t xml:space="preserve">the </w:t>
      </w:r>
      <w:r w:rsidR="00031ADD">
        <w:rPr>
          <w:lang w:val="en-US"/>
        </w:rPr>
        <w:t xml:space="preserve">extended legacy test. Finally, we will discuss the impact of concurrency of 4Rx with advance-Rx features (like </w:t>
      </w:r>
      <w:proofErr w:type="spellStart"/>
      <w:r w:rsidR="00031ADD">
        <w:rPr>
          <w:lang w:val="en-US"/>
        </w:rPr>
        <w:t>FeICIC</w:t>
      </w:r>
      <w:proofErr w:type="spellEnd"/>
      <w:r w:rsidR="00031ADD">
        <w:rPr>
          <w:lang w:val="en-US"/>
        </w:rPr>
        <w:t>, NAICS, etc.), and discuss potential modifi</w:t>
      </w:r>
      <w:r w:rsidR="00FF0E9F">
        <w:rPr>
          <w:lang w:val="en-US"/>
        </w:rPr>
        <w:t>cations to the test methodology.</w:t>
      </w:r>
    </w:p>
    <w:p w14:paraId="25A0D204" w14:textId="77777777" w:rsidR="00CB698E" w:rsidRPr="008525F2" w:rsidRDefault="00CB698E" w:rsidP="00DE5677">
      <w:pPr>
        <w:pStyle w:val="Heading2"/>
        <w:spacing w:line="276" w:lineRule="auto"/>
        <w:rPr>
          <w:rFonts w:ascii="Times New Roman" w:hAnsi="Times New Roman"/>
          <w:lang w:val="en-US"/>
        </w:rPr>
      </w:pPr>
      <w:r>
        <w:rPr>
          <w:rFonts w:ascii="Times New Roman" w:hAnsi="Times New Roman"/>
          <w:lang w:val="en-US"/>
        </w:rPr>
        <w:t xml:space="preserve">Extension of antenna correlation </w:t>
      </w:r>
    </w:p>
    <w:p w14:paraId="25A5BA39" w14:textId="77777777" w:rsidR="008A7E37" w:rsidRPr="008525F2" w:rsidRDefault="00B22EE8" w:rsidP="00DE5677">
      <w:pPr>
        <w:spacing w:line="276" w:lineRule="auto"/>
        <w:rPr>
          <w:lang w:val="en-US"/>
        </w:rPr>
      </w:pPr>
      <w:r w:rsidRPr="008525F2">
        <w:rPr>
          <w:lang w:val="en-US"/>
        </w:rPr>
        <w:t xml:space="preserve">First of all, we note that, </w:t>
      </w:r>
      <w:r w:rsidR="003A6CF4" w:rsidRPr="008525F2">
        <w:rPr>
          <w:lang w:val="en-US"/>
        </w:rPr>
        <w:t xml:space="preserve">all </w:t>
      </w:r>
      <w:r w:rsidRPr="008525F2">
        <w:rPr>
          <w:lang w:val="en-US"/>
        </w:rPr>
        <w:t>legacy 2Rx tests are defined assuming 2APs at the UE. Hence, for e</w:t>
      </w:r>
      <w:r w:rsidR="004546F5" w:rsidRPr="008525F2">
        <w:rPr>
          <w:lang w:val="en-US"/>
        </w:rPr>
        <w:t xml:space="preserve">ach </w:t>
      </w:r>
      <w:r w:rsidR="007A1BAC" w:rsidRPr="008525F2">
        <w:rPr>
          <w:lang w:val="en-US"/>
        </w:rPr>
        <w:t xml:space="preserve">legacy 2Rx test case, the correlation matrix corresponding to antenna configuration </w:t>
      </w:r>
      <w:proofErr w:type="spellStart"/>
      <w:r w:rsidRPr="008525F2">
        <w:rPr>
          <w:lang w:val="en-US"/>
        </w:rPr>
        <w:t>NTx</w:t>
      </w:r>
      <w:proofErr w:type="spellEnd"/>
      <w:r w:rsidRPr="008525F2">
        <w:rPr>
          <w:lang w:val="en-US"/>
        </w:rPr>
        <w:t xml:space="preserve"> x 2</w:t>
      </w:r>
      <w:r w:rsidR="007A1BAC" w:rsidRPr="008525F2">
        <w:rPr>
          <w:lang w:val="en-US"/>
        </w:rPr>
        <w:t xml:space="preserve"> is specified, where </w:t>
      </w:r>
      <w:proofErr w:type="spellStart"/>
      <w:r w:rsidR="007A1BAC" w:rsidRPr="008525F2">
        <w:rPr>
          <w:lang w:val="en-US"/>
        </w:rPr>
        <w:t>NTx</w:t>
      </w:r>
      <w:proofErr w:type="spellEnd"/>
      <w:r w:rsidR="007A1BAC" w:rsidRPr="008525F2">
        <w:rPr>
          <w:lang w:val="en-US"/>
        </w:rPr>
        <w:t xml:space="preserve"> is the number of transmit antennas specified for the test. In order to extend legacy 2Rx test cases to 4Rx, such that all 4APs are </w:t>
      </w:r>
      <w:r w:rsidR="007A1BAC" w:rsidRPr="008525F2">
        <w:rPr>
          <w:lang w:val="en-US"/>
        </w:rPr>
        <w:lastRenderedPageBreak/>
        <w:t xml:space="preserve">connected with data source from SS, we need to specify the correlation matrix corresponding to </w:t>
      </w:r>
      <w:proofErr w:type="spellStart"/>
      <w:r w:rsidR="007A1BAC" w:rsidRPr="008525F2">
        <w:rPr>
          <w:lang w:val="en-US"/>
        </w:rPr>
        <w:t>NTx</w:t>
      </w:r>
      <w:proofErr w:type="spellEnd"/>
      <w:r w:rsidR="007A1BAC" w:rsidRPr="008525F2">
        <w:rPr>
          <w:lang w:val="en-US"/>
        </w:rPr>
        <w:t xml:space="preserve"> x 4 antenna configuration. </w:t>
      </w:r>
      <w:r w:rsidR="008A7E37" w:rsidRPr="008525F2">
        <w:rPr>
          <w:lang w:val="en-US"/>
        </w:rPr>
        <w:t>In TS-36.101</w:t>
      </w:r>
      <w:r w:rsidR="001D6B5A">
        <w:rPr>
          <w:lang w:val="en-US"/>
        </w:rPr>
        <w:t xml:space="preserve"> [4]</w:t>
      </w:r>
      <w:r w:rsidR="008A7E37" w:rsidRPr="008525F2">
        <w:rPr>
          <w:lang w:val="en-US"/>
        </w:rPr>
        <w:t xml:space="preserve">, legacy test cases are defined for three types of channel correlations: low, medium and high. In this section, we propose a method of extending the correlation matrix to </w:t>
      </w:r>
      <w:proofErr w:type="spellStart"/>
      <w:r w:rsidR="008A7E37" w:rsidRPr="008525F2">
        <w:rPr>
          <w:lang w:val="en-US"/>
        </w:rPr>
        <w:t>NTx</w:t>
      </w:r>
      <w:proofErr w:type="spellEnd"/>
      <w:r w:rsidR="008A7E37" w:rsidRPr="008525F2">
        <w:rPr>
          <w:lang w:val="en-US"/>
        </w:rPr>
        <w:t xml:space="preserve"> x 4 antenna configuration.</w:t>
      </w:r>
    </w:p>
    <w:p w14:paraId="61E5DD38" w14:textId="77777777" w:rsidR="004546F5" w:rsidRPr="008525F2" w:rsidRDefault="004425E2" w:rsidP="00DE5677">
      <w:pPr>
        <w:spacing w:line="276" w:lineRule="auto"/>
        <w:rPr>
          <w:lang w:val="en-US"/>
        </w:rPr>
      </w:pPr>
      <w:r w:rsidRPr="008525F2">
        <w:rPr>
          <w:lang w:val="en-US"/>
        </w:rPr>
        <w:t xml:space="preserve">For </w:t>
      </w:r>
      <w:r w:rsidR="008A7E37" w:rsidRPr="008525F2">
        <w:rPr>
          <w:lang w:val="en-US"/>
        </w:rPr>
        <w:t xml:space="preserve">legacy test cases defined with </w:t>
      </w:r>
      <w:r w:rsidRPr="008525F2">
        <w:rPr>
          <w:lang w:val="en-US"/>
        </w:rPr>
        <w:t xml:space="preserve">low correlation, the extension of the correlation matrix is straightforward. We propose that </w:t>
      </w:r>
      <w:r w:rsidR="004546F5" w:rsidRPr="008525F2">
        <w:rPr>
          <w:lang w:val="en-US"/>
        </w:rPr>
        <w:t>corresponding to the antenna configuration (</w:t>
      </w:r>
      <w:proofErr w:type="spellStart"/>
      <w:r w:rsidR="004546F5" w:rsidRPr="008525F2">
        <w:rPr>
          <w:lang w:val="en-US"/>
        </w:rPr>
        <w:t>NTx</w:t>
      </w:r>
      <w:proofErr w:type="spellEnd"/>
      <w:r w:rsidR="004546F5" w:rsidRPr="008525F2">
        <w:rPr>
          <w:lang w:val="en-US"/>
        </w:rPr>
        <w:t xml:space="preserve"> x 4) of </w:t>
      </w:r>
      <w:r w:rsidR="00755DB7" w:rsidRPr="008525F2">
        <w:rPr>
          <w:lang w:val="en-US"/>
        </w:rPr>
        <w:t>the</w:t>
      </w:r>
      <w:r w:rsidR="004546F5" w:rsidRPr="008525F2">
        <w:rPr>
          <w:lang w:val="en-US"/>
        </w:rPr>
        <w:t xml:space="preserve"> extended </w:t>
      </w:r>
      <w:r w:rsidR="003E22D1" w:rsidRPr="008525F2">
        <w:rPr>
          <w:lang w:val="en-US"/>
        </w:rPr>
        <w:t xml:space="preserve">legacy </w:t>
      </w:r>
      <w:r w:rsidR="004546F5" w:rsidRPr="008525F2">
        <w:rPr>
          <w:lang w:val="en-US"/>
        </w:rPr>
        <w:t xml:space="preserve">test case, </w:t>
      </w:r>
      <w:r w:rsidR="00755DB7" w:rsidRPr="008525F2">
        <w:rPr>
          <w:lang w:val="en-US"/>
        </w:rPr>
        <w:t>the correlation matrix is also low</w:t>
      </w:r>
      <w:r w:rsidR="004546F5" w:rsidRPr="008525F2">
        <w:rPr>
          <w:lang w:val="en-US"/>
        </w:rPr>
        <w:t xml:space="preserve"> correlation</w:t>
      </w:r>
      <w:r w:rsidR="00755DB7" w:rsidRPr="008525F2">
        <w:rPr>
          <w:lang w:val="en-US"/>
        </w:rPr>
        <w:t xml:space="preserve">. In essence, that implies that </w:t>
      </w:r>
      <w:r w:rsidR="00CF3BFF" w:rsidRPr="008525F2">
        <w:rPr>
          <w:lang w:val="en-US"/>
        </w:rPr>
        <w:t>for th</w:t>
      </w:r>
      <w:r w:rsidR="004546F5" w:rsidRPr="008525F2">
        <w:rPr>
          <w:lang w:val="en-US"/>
        </w:rPr>
        <w:t>e extended test case</w:t>
      </w:r>
      <w:r w:rsidR="00CF3BFF" w:rsidRPr="008525F2">
        <w:rPr>
          <w:lang w:val="en-US"/>
        </w:rPr>
        <w:t xml:space="preserve"> </w:t>
      </w:r>
      <w:proofErr w:type="spellStart"/>
      <w:r w:rsidR="00755DB7" w:rsidRPr="008525F2">
        <w:rPr>
          <w:lang w:val="en-US"/>
        </w:rPr>
        <w:t>Tx</w:t>
      </w:r>
      <w:proofErr w:type="spellEnd"/>
      <w:r w:rsidR="00755DB7" w:rsidRPr="008525F2">
        <w:rPr>
          <w:lang w:val="en-US"/>
        </w:rPr>
        <w:t xml:space="preserve">-correlation factor </w:t>
      </w:r>
      <m:oMath>
        <m:r>
          <w:rPr>
            <w:rFonts w:ascii="Cambria Math" w:hAnsi="Cambria Math"/>
            <w:lang w:val="en-US"/>
          </w:rPr>
          <m:t>α=0</m:t>
        </m:r>
      </m:oMath>
      <w:r w:rsidR="00755DB7" w:rsidRPr="008525F2">
        <w:rPr>
          <w:lang w:val="en-US"/>
        </w:rPr>
        <w:t xml:space="preserve"> </w:t>
      </w:r>
      <w:r w:rsidR="00CF3BFF" w:rsidRPr="008525F2">
        <w:rPr>
          <w:lang w:val="en-US"/>
        </w:rPr>
        <w:t xml:space="preserve"> and t</w:t>
      </w:r>
      <w:r w:rsidR="004546F5" w:rsidRPr="008525F2">
        <w:rPr>
          <w:lang w:val="en-US"/>
        </w:rPr>
        <w:t xml:space="preserve">he Rx-correlation factor β = 0.  </w:t>
      </w:r>
      <w:r w:rsidR="00CF3BFF" w:rsidRPr="008525F2">
        <w:rPr>
          <w:lang w:val="en-US"/>
        </w:rPr>
        <w:t>For legacy test cases defined with high-correlatio</w:t>
      </w:r>
      <w:r w:rsidR="004546F5" w:rsidRPr="008525F2">
        <w:rPr>
          <w:lang w:val="en-US"/>
        </w:rPr>
        <w:t>n, we propose that the</w:t>
      </w:r>
      <w:r w:rsidR="00CF3BFF" w:rsidRPr="008525F2">
        <w:rPr>
          <w:lang w:val="en-US"/>
        </w:rPr>
        <w:t xml:space="preserve"> correlation matrix, corresponding to the </w:t>
      </w:r>
      <w:proofErr w:type="spellStart"/>
      <w:r w:rsidR="00CF3BFF" w:rsidRPr="008525F2">
        <w:rPr>
          <w:lang w:val="en-US"/>
        </w:rPr>
        <w:t>NTx</w:t>
      </w:r>
      <w:proofErr w:type="spellEnd"/>
      <w:r w:rsidR="00CF3BFF" w:rsidRPr="008525F2">
        <w:rPr>
          <w:lang w:val="en-US"/>
        </w:rPr>
        <w:t xml:space="preserve"> x 4 antenna configuration</w:t>
      </w:r>
      <w:r w:rsidR="008A7E37" w:rsidRPr="008525F2">
        <w:rPr>
          <w:lang w:val="en-US"/>
        </w:rPr>
        <w:t xml:space="preserve">, </w:t>
      </w:r>
      <w:r w:rsidR="004546F5" w:rsidRPr="008525F2">
        <w:rPr>
          <w:lang w:val="en-US"/>
        </w:rPr>
        <w:t xml:space="preserve">is also </w:t>
      </w:r>
      <w:r w:rsidR="008A7E37" w:rsidRPr="008525F2">
        <w:rPr>
          <w:lang w:val="en-US"/>
        </w:rPr>
        <w:t>high</w:t>
      </w:r>
      <w:r w:rsidR="004546F5" w:rsidRPr="008525F2">
        <w:rPr>
          <w:lang w:val="en-US"/>
        </w:rPr>
        <w:t xml:space="preserve"> correlation</w:t>
      </w:r>
      <w:r w:rsidR="008A7E37" w:rsidRPr="008525F2">
        <w:rPr>
          <w:lang w:val="en-US"/>
        </w:rPr>
        <w:t xml:space="preserve">. That implies that the correlation matrix corresponding to the </w:t>
      </w:r>
      <w:proofErr w:type="spellStart"/>
      <w:r w:rsidR="008A7E37" w:rsidRPr="008525F2">
        <w:rPr>
          <w:lang w:val="en-US"/>
        </w:rPr>
        <w:t>NTx</w:t>
      </w:r>
      <w:proofErr w:type="spellEnd"/>
      <w:r w:rsidR="008A7E37" w:rsidRPr="008525F2">
        <w:rPr>
          <w:lang w:val="en-US"/>
        </w:rPr>
        <w:t xml:space="preserve"> x 4 antenna configuration will have a </w:t>
      </w:r>
      <w:proofErr w:type="spellStart"/>
      <w:r w:rsidR="008A7E37" w:rsidRPr="008525F2">
        <w:rPr>
          <w:lang w:val="en-US"/>
        </w:rPr>
        <w:t>Tx</w:t>
      </w:r>
      <w:proofErr w:type="spellEnd"/>
      <w:r w:rsidR="008A7E37" w:rsidRPr="008525F2">
        <w:rPr>
          <w:lang w:val="en-US"/>
        </w:rPr>
        <w:t xml:space="preserve">-correlation factor </w:t>
      </w:r>
      <m:oMath>
        <m:r>
          <w:rPr>
            <w:rFonts w:ascii="Cambria Math" w:hAnsi="Cambria Math"/>
            <w:lang w:val="en-US"/>
          </w:rPr>
          <m:t>α=0.9</m:t>
        </m:r>
      </m:oMath>
      <w:r w:rsidR="008A7E37" w:rsidRPr="008525F2">
        <w:rPr>
          <w:lang w:val="en-US"/>
        </w:rPr>
        <w:t xml:space="preserve">  and the Rx-correlation factor β = 0</w:t>
      </w:r>
      <w:r w:rsidR="004546F5" w:rsidRPr="008525F2">
        <w:rPr>
          <w:lang w:val="en-US"/>
        </w:rPr>
        <w:t xml:space="preserve">.9. </w:t>
      </w:r>
    </w:p>
    <w:p w14:paraId="4A64963E" w14:textId="77777777" w:rsidR="004546F5" w:rsidRPr="008525F2" w:rsidRDefault="004546F5" w:rsidP="00DE5677">
      <w:pPr>
        <w:spacing w:line="276" w:lineRule="auto"/>
        <w:rPr>
          <w:lang w:val="en-US"/>
        </w:rPr>
      </w:pPr>
      <w:r w:rsidRPr="008525F2">
        <w:rPr>
          <w:lang w:val="en-US"/>
        </w:rPr>
        <w:t>Corresponding to legacy test cases with low and high correlation, desired correlation matrix for</w:t>
      </w:r>
      <w:r w:rsidR="003E22D1" w:rsidRPr="008525F2">
        <w:rPr>
          <w:lang w:val="en-US"/>
        </w:rPr>
        <w:t xml:space="preserve"> the</w:t>
      </w:r>
      <w:r w:rsidRPr="008525F2">
        <w:rPr>
          <w:lang w:val="en-US"/>
        </w:rPr>
        <w:t xml:space="preserve"> extended legacy test case (with </w:t>
      </w:r>
      <w:proofErr w:type="spellStart"/>
      <w:r w:rsidRPr="008525F2">
        <w:rPr>
          <w:lang w:val="en-US"/>
        </w:rPr>
        <w:t>NTx</w:t>
      </w:r>
      <w:proofErr w:type="spellEnd"/>
      <w:r w:rsidRPr="008525F2">
        <w:rPr>
          <w:lang w:val="en-US"/>
        </w:rPr>
        <w:t xml:space="preserve"> x 4 antenna configuration) can be derived following the rule specified in Annex </w:t>
      </w:r>
      <w:r w:rsidRPr="008525F2">
        <w:t>B.2.3.1 of TS-36.101</w:t>
      </w:r>
      <w:r w:rsidR="003E22D1" w:rsidRPr="008525F2">
        <w:t xml:space="preserve"> by </w:t>
      </w:r>
      <w:r w:rsidR="003E22D1" w:rsidRPr="008525F2">
        <w:rPr>
          <w:lang w:val="en-US"/>
        </w:rPr>
        <w:t>setting the suitable values of α and β as described above.</w:t>
      </w:r>
    </w:p>
    <w:p w14:paraId="0FE4ADC1" w14:textId="77777777" w:rsidR="00700C5C" w:rsidRPr="008525F2" w:rsidRDefault="00700C5C" w:rsidP="00DE5677">
      <w:pPr>
        <w:spacing w:line="276" w:lineRule="auto"/>
        <w:rPr>
          <w:lang w:val="en-US"/>
        </w:rPr>
      </w:pPr>
      <w:r w:rsidRPr="008525F2">
        <w:t xml:space="preserve">For </w:t>
      </w:r>
      <w:r w:rsidRPr="008525F2">
        <w:rPr>
          <w:lang w:val="en-US"/>
        </w:rPr>
        <w:t xml:space="preserve">legacy test cases defined with medium-correlation, RAN4 will need to rely on the new medium correlation channel, which is </w:t>
      </w:r>
      <w:r w:rsidR="003E22D1" w:rsidRPr="008525F2">
        <w:rPr>
          <w:lang w:val="en-US"/>
        </w:rPr>
        <w:t>currently under consideration [4</w:t>
      </w:r>
      <w:r w:rsidRPr="008525F2">
        <w:rPr>
          <w:lang w:val="en-US"/>
        </w:rPr>
        <w:t>]. In case RAN4 defines new test cases, under the new medium correlation channel for a 4Rx UE, such that it encompasses a 2Rx legacy test, and has a tighter requirement than the legacy test, then the legacy test case maybe skipped.</w:t>
      </w:r>
    </w:p>
    <w:p w14:paraId="52EA87CC" w14:textId="77777777" w:rsidR="004D0F6F" w:rsidRPr="00CB698E" w:rsidRDefault="005A663F" w:rsidP="00DE5677">
      <w:pPr>
        <w:spacing w:line="276" w:lineRule="auto"/>
        <w:rPr>
          <w:b/>
          <w:lang w:val="en-US"/>
        </w:rPr>
      </w:pPr>
      <w:r>
        <w:rPr>
          <w:b/>
        </w:rPr>
        <w:t>Proposal 1</w:t>
      </w:r>
      <w:r w:rsidR="004D0F6F" w:rsidRPr="008525F2">
        <w:rPr>
          <w:b/>
        </w:rPr>
        <w:t xml:space="preserve">: </w:t>
      </w:r>
      <w:r w:rsidR="004D0F6F" w:rsidRPr="00CB698E">
        <w:rPr>
          <w:b/>
          <w:lang w:val="en-US"/>
        </w:rPr>
        <w:t xml:space="preserve">Legacy 2Rx test cases can be extended to 4Rx such that the correlation matrix corresponding to the </w:t>
      </w:r>
      <w:proofErr w:type="spellStart"/>
      <w:r w:rsidR="004D0F6F" w:rsidRPr="00CB698E">
        <w:rPr>
          <w:b/>
          <w:lang w:val="en-US"/>
        </w:rPr>
        <w:t>NTx</w:t>
      </w:r>
      <w:proofErr w:type="spellEnd"/>
      <w:r w:rsidR="004D0F6F" w:rsidRPr="00CB698E">
        <w:rPr>
          <w:b/>
          <w:lang w:val="en-US"/>
        </w:rPr>
        <w:t xml:space="preserve"> x 4 antenna configuration is:</w:t>
      </w:r>
    </w:p>
    <w:p w14:paraId="0A689047" w14:textId="77777777" w:rsidR="004D0F6F" w:rsidRPr="00CB698E" w:rsidRDefault="004D0F6F" w:rsidP="00DE5677">
      <w:pPr>
        <w:pStyle w:val="ListParagraph"/>
        <w:numPr>
          <w:ilvl w:val="0"/>
          <w:numId w:val="9"/>
        </w:numPr>
        <w:spacing w:line="276" w:lineRule="auto"/>
        <w:rPr>
          <w:b/>
          <w:lang w:val="en-US"/>
        </w:rPr>
      </w:pPr>
      <w:r w:rsidRPr="00CB698E">
        <w:rPr>
          <w:b/>
          <w:lang w:val="en-US"/>
        </w:rPr>
        <w:t xml:space="preserve">Obtained by setting </w:t>
      </w:r>
      <w:proofErr w:type="spellStart"/>
      <w:proofErr w:type="gramStart"/>
      <w:r w:rsidRPr="00CB698E">
        <w:rPr>
          <w:b/>
          <w:lang w:val="en-US"/>
        </w:rPr>
        <w:t>Tx</w:t>
      </w:r>
      <w:proofErr w:type="spellEnd"/>
      <w:proofErr w:type="gramEnd"/>
      <w:r w:rsidRPr="00CB698E">
        <w:rPr>
          <w:b/>
          <w:lang w:val="en-US"/>
        </w:rPr>
        <w:t xml:space="preserve"> correlation α = 0, and Rx correlation β= 0, if the legacy test case was tested under low correlation.</w:t>
      </w:r>
    </w:p>
    <w:p w14:paraId="6873AE3C" w14:textId="77777777" w:rsidR="004D0F6F" w:rsidRPr="00CB698E" w:rsidRDefault="004D0F6F" w:rsidP="00DE5677">
      <w:pPr>
        <w:pStyle w:val="ListParagraph"/>
        <w:numPr>
          <w:ilvl w:val="0"/>
          <w:numId w:val="9"/>
        </w:numPr>
        <w:spacing w:line="276" w:lineRule="auto"/>
        <w:rPr>
          <w:b/>
          <w:lang w:val="en-US"/>
        </w:rPr>
      </w:pPr>
      <w:r w:rsidRPr="00CB698E">
        <w:rPr>
          <w:b/>
          <w:lang w:val="en-US"/>
        </w:rPr>
        <w:t xml:space="preserve">Obtained by setting </w:t>
      </w:r>
      <w:proofErr w:type="spellStart"/>
      <w:proofErr w:type="gramStart"/>
      <w:r w:rsidRPr="00CB698E">
        <w:rPr>
          <w:b/>
          <w:lang w:val="en-US"/>
        </w:rPr>
        <w:t>Tx</w:t>
      </w:r>
      <w:proofErr w:type="spellEnd"/>
      <w:proofErr w:type="gramEnd"/>
      <w:r w:rsidRPr="00CB698E">
        <w:rPr>
          <w:b/>
          <w:lang w:val="en-US"/>
        </w:rPr>
        <w:t xml:space="preserve"> correlation α = 0.9, and Rx correlation β= 0.9, if the legacy test case was tested under high correlation.</w:t>
      </w:r>
    </w:p>
    <w:p w14:paraId="38F027B6" w14:textId="77777777" w:rsidR="004D0F6F" w:rsidRPr="008525F2" w:rsidRDefault="004D0F6F" w:rsidP="00DE5677">
      <w:pPr>
        <w:pStyle w:val="ListParagraph"/>
        <w:numPr>
          <w:ilvl w:val="0"/>
          <w:numId w:val="9"/>
        </w:numPr>
        <w:spacing w:line="276" w:lineRule="auto"/>
        <w:rPr>
          <w:b/>
          <w:lang w:val="en-US"/>
        </w:rPr>
      </w:pPr>
      <w:r w:rsidRPr="00CB698E">
        <w:rPr>
          <w:b/>
          <w:lang w:val="en-US"/>
        </w:rPr>
        <w:t>Obtained by considering the new medium correlation under study in RAN4, if the legacy test case was tested under medium correlation</w:t>
      </w:r>
      <w:r w:rsidRPr="008525F2">
        <w:rPr>
          <w:b/>
          <w:lang w:val="en-US"/>
        </w:rPr>
        <w:t>.</w:t>
      </w:r>
    </w:p>
    <w:p w14:paraId="70304AE1" w14:textId="77777777" w:rsidR="007C4A69" w:rsidRPr="008525F2" w:rsidRDefault="007C4A69" w:rsidP="00DE5677">
      <w:pPr>
        <w:spacing w:line="276" w:lineRule="auto"/>
      </w:pPr>
      <w:r w:rsidRPr="008525F2">
        <w:rPr>
          <w:lang w:val="en-US"/>
        </w:rPr>
        <w:t>For a subset of test cases, correla</w:t>
      </w:r>
      <w:r w:rsidR="00F2109F" w:rsidRPr="008525F2">
        <w:rPr>
          <w:lang w:val="en-US"/>
        </w:rPr>
        <w:t>tion is not explicitly defined. F</w:t>
      </w:r>
      <w:r w:rsidRPr="008525F2">
        <w:rPr>
          <w:lang w:val="en-US"/>
        </w:rPr>
        <w:t xml:space="preserve">or example </w:t>
      </w:r>
      <w:r w:rsidR="00F2109F" w:rsidRPr="008525F2">
        <w:rPr>
          <w:lang w:val="en-US"/>
        </w:rPr>
        <w:t>in CSI t</w:t>
      </w:r>
      <w:r w:rsidRPr="008525F2">
        <w:rPr>
          <w:lang w:val="en-US"/>
        </w:rPr>
        <w:t xml:space="preserve">est </w:t>
      </w:r>
      <w:r w:rsidRPr="008525F2">
        <w:t>9.3.1.1.1</w:t>
      </w:r>
      <w:r w:rsidR="00BF269D" w:rsidRPr="008525F2">
        <w:rPr>
          <w:lang w:val="en-US"/>
        </w:rPr>
        <w:t xml:space="preserve"> of 36.101,</w:t>
      </w:r>
      <w:r w:rsidR="00F2109F" w:rsidRPr="008525F2">
        <w:rPr>
          <w:lang w:val="en-US"/>
        </w:rPr>
        <w:t xml:space="preserve"> the specified channel has the </w:t>
      </w:r>
      <w:r w:rsidRPr="008525F2">
        <w:t xml:space="preserve">same multi-path profile between each </w:t>
      </w:r>
      <w:proofErr w:type="spellStart"/>
      <w:r w:rsidRPr="008525F2">
        <w:t>Tx</w:t>
      </w:r>
      <w:proofErr w:type="spellEnd"/>
      <w:r w:rsidRPr="008525F2">
        <w:t xml:space="preserve">-Rx pair (Annex B.2.4 of 36.101). </w:t>
      </w:r>
      <w:r w:rsidR="001A5752" w:rsidRPr="008525F2">
        <w:t xml:space="preserve">Since each </w:t>
      </w:r>
      <w:proofErr w:type="spellStart"/>
      <w:r w:rsidR="001A5752" w:rsidRPr="008525F2">
        <w:t>Tx</w:t>
      </w:r>
      <w:proofErr w:type="spellEnd"/>
      <w:r w:rsidR="001A5752" w:rsidRPr="008525F2">
        <w:t xml:space="preserve">-Rx pair has the same multi-path profile, </w:t>
      </w:r>
      <w:r w:rsidRPr="008525F2">
        <w:t xml:space="preserve">the extension of </w:t>
      </w:r>
      <w:proofErr w:type="spellStart"/>
      <w:r w:rsidRPr="008525F2">
        <w:t>NTx</w:t>
      </w:r>
      <w:proofErr w:type="spellEnd"/>
      <w:r w:rsidRPr="008525F2">
        <w:t xml:space="preserve"> x 2 channel matrix to </w:t>
      </w:r>
      <w:proofErr w:type="spellStart"/>
      <w:r w:rsidRPr="008525F2">
        <w:t>NTx</w:t>
      </w:r>
      <w:proofErr w:type="spellEnd"/>
      <w:r w:rsidRPr="008525F2">
        <w:t xml:space="preserve"> x 4 channel matrix is straightforward, i.e., </w:t>
      </w:r>
      <w:r w:rsidR="001A5752" w:rsidRPr="008525F2">
        <w:t xml:space="preserve">in the extended test case </w:t>
      </w:r>
      <w:r w:rsidR="00F2109F" w:rsidRPr="008525F2">
        <w:t xml:space="preserve">each </w:t>
      </w:r>
      <w:proofErr w:type="spellStart"/>
      <w:r w:rsidR="001A5752" w:rsidRPr="008525F2">
        <w:t>Tx</w:t>
      </w:r>
      <w:proofErr w:type="spellEnd"/>
      <w:r w:rsidR="001A5752" w:rsidRPr="008525F2">
        <w:t xml:space="preserve">-Rx pair of the </w:t>
      </w:r>
      <w:proofErr w:type="spellStart"/>
      <w:r w:rsidR="001A5752" w:rsidRPr="008525F2">
        <w:t>NTx</w:t>
      </w:r>
      <w:proofErr w:type="spellEnd"/>
      <w:r w:rsidR="001A5752" w:rsidRPr="008525F2">
        <w:t xml:space="preserve"> x 4 channel will </w:t>
      </w:r>
      <w:r w:rsidR="00F2109F" w:rsidRPr="008525F2">
        <w:t>have the same multipath profile, all of which will be identical to the multipath profile of the original legacy test case.</w:t>
      </w:r>
    </w:p>
    <w:p w14:paraId="07B58ACF" w14:textId="77777777" w:rsidR="000F3FDD" w:rsidRDefault="00B760FB" w:rsidP="00DE5677">
      <w:pPr>
        <w:spacing w:line="276" w:lineRule="auto"/>
        <w:rPr>
          <w:b/>
          <w:lang w:val="en-US"/>
        </w:rPr>
      </w:pPr>
      <w:r>
        <w:rPr>
          <w:b/>
          <w:lang w:val="en-US"/>
        </w:rPr>
        <w:t xml:space="preserve">Proposal </w:t>
      </w:r>
      <w:r w:rsidR="005A663F">
        <w:rPr>
          <w:b/>
          <w:lang w:val="en-US"/>
        </w:rPr>
        <w:t>2</w:t>
      </w:r>
      <w:r w:rsidR="004D0F6F" w:rsidRPr="008525F2">
        <w:rPr>
          <w:b/>
          <w:lang w:val="en-US"/>
        </w:rPr>
        <w:t xml:space="preserve">: </w:t>
      </w:r>
      <w:r w:rsidR="00D76BAD" w:rsidRPr="008525F2">
        <w:rPr>
          <w:b/>
          <w:lang w:val="en-US"/>
        </w:rPr>
        <w:t xml:space="preserve">Legacy test cases, </w:t>
      </w:r>
      <w:r w:rsidR="004D0F6F" w:rsidRPr="008525F2">
        <w:rPr>
          <w:b/>
          <w:lang w:val="en-US"/>
        </w:rPr>
        <w:t xml:space="preserve">where the channel profile is specified by the same multipath profile for each </w:t>
      </w:r>
      <w:proofErr w:type="spellStart"/>
      <w:r w:rsidR="004D0F6F" w:rsidRPr="008525F2">
        <w:rPr>
          <w:b/>
          <w:lang w:val="en-US"/>
        </w:rPr>
        <w:t>Tx</w:t>
      </w:r>
      <w:proofErr w:type="spellEnd"/>
      <w:r w:rsidR="004D0F6F" w:rsidRPr="008525F2">
        <w:rPr>
          <w:b/>
          <w:lang w:val="en-US"/>
        </w:rPr>
        <w:t>-Rx pai</w:t>
      </w:r>
      <w:r w:rsidR="00D76BAD" w:rsidRPr="008525F2">
        <w:rPr>
          <w:b/>
          <w:lang w:val="en-US"/>
        </w:rPr>
        <w:t xml:space="preserve">r, can be extended to 4Rx by applying the same multipath profile (identical to the one for all </w:t>
      </w:r>
      <w:proofErr w:type="spellStart"/>
      <w:r w:rsidR="00D76BAD" w:rsidRPr="008525F2">
        <w:rPr>
          <w:b/>
          <w:lang w:val="en-US"/>
        </w:rPr>
        <w:t>Tx</w:t>
      </w:r>
      <w:proofErr w:type="spellEnd"/>
      <w:r w:rsidR="00D76BAD" w:rsidRPr="008525F2">
        <w:rPr>
          <w:b/>
          <w:lang w:val="en-US"/>
        </w:rPr>
        <w:t xml:space="preserve">-Rx pair in legacy test case) for all </w:t>
      </w:r>
      <w:proofErr w:type="spellStart"/>
      <w:r w:rsidR="00D76BAD" w:rsidRPr="008525F2">
        <w:rPr>
          <w:b/>
          <w:lang w:val="en-US"/>
        </w:rPr>
        <w:t>NTx</w:t>
      </w:r>
      <w:proofErr w:type="spellEnd"/>
      <w:r w:rsidR="00D76BAD" w:rsidRPr="008525F2">
        <w:rPr>
          <w:b/>
          <w:lang w:val="en-US"/>
        </w:rPr>
        <w:t xml:space="preserve"> x 4 </w:t>
      </w:r>
      <w:proofErr w:type="spellStart"/>
      <w:r w:rsidR="00D76BAD" w:rsidRPr="008525F2">
        <w:rPr>
          <w:b/>
          <w:lang w:val="en-US"/>
        </w:rPr>
        <w:t>Tx</w:t>
      </w:r>
      <w:proofErr w:type="spellEnd"/>
      <w:r w:rsidR="00D76BAD" w:rsidRPr="008525F2">
        <w:rPr>
          <w:b/>
          <w:lang w:val="en-US"/>
        </w:rPr>
        <w:t>-Rx pairs.</w:t>
      </w:r>
    </w:p>
    <w:p w14:paraId="5A9ADE6C" w14:textId="77777777" w:rsidR="00CB698E" w:rsidRDefault="00CB698E" w:rsidP="00DE5677">
      <w:pPr>
        <w:pStyle w:val="Heading2"/>
        <w:spacing w:line="276" w:lineRule="auto"/>
        <w:rPr>
          <w:rFonts w:ascii="Times New Roman" w:hAnsi="Times New Roman"/>
          <w:lang w:val="en-US"/>
        </w:rPr>
      </w:pPr>
      <w:r>
        <w:rPr>
          <w:rFonts w:ascii="Times New Roman" w:hAnsi="Times New Roman"/>
          <w:lang w:val="en-US"/>
        </w:rPr>
        <w:t>Modification of Test Points</w:t>
      </w:r>
    </w:p>
    <w:p w14:paraId="0253AA0F" w14:textId="77777777" w:rsidR="00D35DBA" w:rsidRPr="00D35DBA" w:rsidRDefault="00D35DBA" w:rsidP="00DE5677">
      <w:pPr>
        <w:spacing w:line="276" w:lineRule="auto"/>
        <w:rPr>
          <w:lang w:val="en-US"/>
        </w:rPr>
      </w:pPr>
      <w:r>
        <w:rPr>
          <w:lang w:val="en-US"/>
        </w:rPr>
        <w:t>In the following discussion, we will assume that the 4Rx UE wil</w:t>
      </w:r>
      <w:r w:rsidR="00D23300">
        <w:rPr>
          <w:lang w:val="en-US"/>
        </w:rPr>
        <w:t>l be operating in</w:t>
      </w:r>
      <w:r>
        <w:rPr>
          <w:lang w:val="en-US"/>
        </w:rPr>
        <w:t xml:space="preserve"> 4Rx</w:t>
      </w:r>
      <w:r w:rsidR="00D23300">
        <w:rPr>
          <w:lang w:val="en-US"/>
        </w:rPr>
        <w:t xml:space="preserve"> mode</w:t>
      </w:r>
      <w:r>
        <w:rPr>
          <w:lang w:val="en-US"/>
        </w:rPr>
        <w:t xml:space="preserve"> only. We will separately address the possibility that </w:t>
      </w:r>
      <w:r w:rsidR="00CB4103">
        <w:rPr>
          <w:lang w:val="en-US"/>
        </w:rPr>
        <w:t>a 4Rx UE may not</w:t>
      </w:r>
      <w:r>
        <w:rPr>
          <w:lang w:val="en-US"/>
        </w:rPr>
        <w:t xml:space="preserve"> concurrently support 4Rx</w:t>
      </w:r>
      <w:r w:rsidR="00CB4103">
        <w:rPr>
          <w:lang w:val="en-US"/>
        </w:rPr>
        <w:t xml:space="preserve"> mode</w:t>
      </w:r>
      <w:r>
        <w:rPr>
          <w:lang w:val="en-US"/>
        </w:rPr>
        <w:t xml:space="preserve"> operation with other </w:t>
      </w:r>
      <w:r w:rsidR="00EC7B72">
        <w:rPr>
          <w:lang w:val="en-US"/>
        </w:rPr>
        <w:t>advanced Rx feature, even while operating in a 4Rx band.</w:t>
      </w:r>
    </w:p>
    <w:p w14:paraId="5EAFA63D" w14:textId="77777777" w:rsidR="00046633" w:rsidRPr="008525F2" w:rsidRDefault="008F3E6D" w:rsidP="00DE5677">
      <w:pPr>
        <w:pStyle w:val="Heading3"/>
        <w:numPr>
          <w:ilvl w:val="0"/>
          <w:numId w:val="0"/>
        </w:numPr>
        <w:spacing w:line="276" w:lineRule="auto"/>
        <w:rPr>
          <w:rFonts w:ascii="Times New Roman" w:hAnsi="Times New Roman"/>
        </w:rPr>
      </w:pPr>
      <w:r>
        <w:rPr>
          <w:rFonts w:ascii="Times New Roman" w:hAnsi="Times New Roman"/>
        </w:rPr>
        <w:t>2</w:t>
      </w:r>
      <w:r w:rsidR="00A52A3A">
        <w:rPr>
          <w:rFonts w:ascii="Times New Roman" w:hAnsi="Times New Roman"/>
        </w:rPr>
        <w:t>.2.</w:t>
      </w:r>
      <w:r>
        <w:rPr>
          <w:rFonts w:ascii="Times New Roman" w:hAnsi="Times New Roman"/>
        </w:rPr>
        <w:t>1</w:t>
      </w:r>
      <w:r w:rsidR="00046633" w:rsidRPr="008525F2">
        <w:rPr>
          <w:rFonts w:ascii="Times New Roman" w:hAnsi="Times New Roman"/>
        </w:rPr>
        <w:t xml:space="preserve"> </w:t>
      </w:r>
      <w:proofErr w:type="spellStart"/>
      <w:r w:rsidR="00046633" w:rsidRPr="008525F2">
        <w:rPr>
          <w:rFonts w:ascii="Times New Roman" w:hAnsi="Times New Roman"/>
        </w:rPr>
        <w:t>Demod</w:t>
      </w:r>
      <w:proofErr w:type="spellEnd"/>
      <w:r w:rsidR="00046633" w:rsidRPr="008525F2">
        <w:rPr>
          <w:rFonts w:ascii="Times New Roman" w:hAnsi="Times New Roman"/>
        </w:rPr>
        <w:t xml:space="preserve"> </w:t>
      </w:r>
      <w:r w:rsidR="00F41062">
        <w:rPr>
          <w:rFonts w:ascii="Times New Roman" w:hAnsi="Times New Roman"/>
        </w:rPr>
        <w:t>test cases</w:t>
      </w:r>
    </w:p>
    <w:p w14:paraId="1389531F" w14:textId="0845E96C" w:rsidR="00046633" w:rsidRPr="008525F2" w:rsidRDefault="00046633" w:rsidP="00DE5677">
      <w:pPr>
        <w:spacing w:line="276" w:lineRule="auto"/>
      </w:pPr>
      <w:r w:rsidRPr="008525F2">
        <w:t xml:space="preserve">For all </w:t>
      </w:r>
      <w:proofErr w:type="spellStart"/>
      <w:r w:rsidRPr="008525F2">
        <w:t>demod</w:t>
      </w:r>
      <w:proofErr w:type="spellEnd"/>
      <w:r w:rsidRPr="008525F2">
        <w:t xml:space="preserve"> test cases (specified in Chapter 8 of TS-36.101</w:t>
      </w:r>
      <w:r w:rsidR="00901E59">
        <w:t xml:space="preserve"> [4]</w:t>
      </w:r>
      <w:r w:rsidRPr="008525F2">
        <w:t xml:space="preserve">), absolute performance requirements are defined. Since the purpose of conducting legacy 2Rx test cases is to ensure that the performance delivered by a 4Rx UE is no </w:t>
      </w:r>
      <w:r w:rsidRPr="008525F2">
        <w:lastRenderedPageBreak/>
        <w:t xml:space="preserve">worse than that of a 2Rx UE (in an absolute sense), </w:t>
      </w:r>
      <w:r w:rsidR="008076E2">
        <w:t>it is sufficient to keep the</w:t>
      </w:r>
      <w:r w:rsidR="008076E2" w:rsidRPr="008525F2">
        <w:t xml:space="preserve"> </w:t>
      </w:r>
      <w:r w:rsidRPr="008525F2">
        <w:t xml:space="preserve">performance requirement for </w:t>
      </w:r>
      <w:r w:rsidR="007C2C3B" w:rsidRPr="008525F2">
        <w:t xml:space="preserve">each extended legacy test case </w:t>
      </w:r>
      <w:r w:rsidRPr="008525F2">
        <w:t>identical to performance requirement of the</w:t>
      </w:r>
      <w:r w:rsidR="007C2C3B" w:rsidRPr="008525F2">
        <w:t xml:space="preserve">ir corresponding </w:t>
      </w:r>
      <w:r w:rsidRPr="008525F2">
        <w:t>original legacy test case.</w:t>
      </w:r>
      <w:r w:rsidR="00863810" w:rsidRPr="008525F2">
        <w:t xml:space="preserve"> Naturally, such reasoning holds as long as the te</w:t>
      </w:r>
      <w:r w:rsidR="003E22D1" w:rsidRPr="008525F2">
        <w:t>st point of the extended legacy test cases are identical</w:t>
      </w:r>
      <w:r w:rsidR="00863810" w:rsidRPr="008525F2">
        <w:t xml:space="preserve">. Hence, we propose that for all </w:t>
      </w:r>
      <w:proofErr w:type="spellStart"/>
      <w:r w:rsidR="00863810" w:rsidRPr="008525F2">
        <w:t>demod</w:t>
      </w:r>
      <w:proofErr w:type="spellEnd"/>
      <w:r w:rsidR="00863810" w:rsidRPr="008525F2">
        <w:t xml:space="preserve"> test cases, both the test point and requirement of the extended legacy test case </w:t>
      </w:r>
      <w:r w:rsidR="003E22D1" w:rsidRPr="008525F2">
        <w:t>should be</w:t>
      </w:r>
      <w:r w:rsidR="00863810" w:rsidRPr="008525F2">
        <w:t xml:space="preserve"> identical to the corresponding legacy test case.</w:t>
      </w:r>
    </w:p>
    <w:p w14:paraId="16469864" w14:textId="77777777" w:rsidR="00D76BAD" w:rsidRPr="008525F2" w:rsidRDefault="00A52A3A" w:rsidP="00DE5677">
      <w:pPr>
        <w:spacing w:line="276" w:lineRule="auto"/>
        <w:rPr>
          <w:b/>
        </w:rPr>
      </w:pPr>
      <w:r>
        <w:rPr>
          <w:b/>
        </w:rPr>
        <w:t>Proposal 3</w:t>
      </w:r>
      <w:r w:rsidR="00CB4746">
        <w:rPr>
          <w:b/>
        </w:rPr>
        <w:t xml:space="preserve">: The test point </w:t>
      </w:r>
      <w:r w:rsidR="00D76BAD" w:rsidRPr="008525F2">
        <w:rPr>
          <w:b/>
        </w:rPr>
        <w:t xml:space="preserve">for all extended legacy </w:t>
      </w:r>
      <w:proofErr w:type="spellStart"/>
      <w:r w:rsidR="00D76BAD" w:rsidRPr="008525F2">
        <w:rPr>
          <w:b/>
        </w:rPr>
        <w:t>demod</w:t>
      </w:r>
      <w:proofErr w:type="spellEnd"/>
      <w:r w:rsidR="00D76BAD" w:rsidRPr="008525F2">
        <w:rPr>
          <w:b/>
        </w:rPr>
        <w:t xml:space="preserve"> test cases should be identical to the corresponding legacy test case.</w:t>
      </w:r>
      <w:r w:rsidR="00D35DBA">
        <w:rPr>
          <w:b/>
        </w:rPr>
        <w:t xml:space="preserve"> Corresponding to the test point, the requirement for the extended legacy test cases should be same as the legacy 2Rx test cases.</w:t>
      </w:r>
    </w:p>
    <w:p w14:paraId="2D50FCC9" w14:textId="77777777" w:rsidR="00F41062" w:rsidRDefault="008F3E6D" w:rsidP="00DE5677">
      <w:pPr>
        <w:pStyle w:val="Heading3"/>
        <w:numPr>
          <w:ilvl w:val="0"/>
          <w:numId w:val="0"/>
        </w:numPr>
        <w:spacing w:line="276" w:lineRule="auto"/>
        <w:rPr>
          <w:rFonts w:ascii="Times New Roman" w:hAnsi="Times New Roman"/>
        </w:rPr>
      </w:pPr>
      <w:r>
        <w:rPr>
          <w:rFonts w:ascii="Times New Roman" w:hAnsi="Times New Roman"/>
        </w:rPr>
        <w:t>2.2.2</w:t>
      </w:r>
      <w:r w:rsidR="00A52A3A">
        <w:rPr>
          <w:rFonts w:ascii="Times New Roman" w:hAnsi="Times New Roman"/>
        </w:rPr>
        <w:t xml:space="preserve"> </w:t>
      </w:r>
      <w:r w:rsidR="00046633" w:rsidRPr="008525F2">
        <w:rPr>
          <w:rFonts w:ascii="Times New Roman" w:hAnsi="Times New Roman"/>
        </w:rPr>
        <w:t>CSI</w:t>
      </w:r>
      <w:r w:rsidR="00F41062">
        <w:rPr>
          <w:rFonts w:ascii="Times New Roman" w:hAnsi="Times New Roman"/>
        </w:rPr>
        <w:t xml:space="preserve"> test cases</w:t>
      </w:r>
    </w:p>
    <w:p w14:paraId="16FE774D" w14:textId="77777777" w:rsidR="00F41062" w:rsidRPr="008525F2" w:rsidRDefault="00F41062" w:rsidP="00DE5677">
      <w:pPr>
        <w:pStyle w:val="Heading3"/>
        <w:numPr>
          <w:ilvl w:val="0"/>
          <w:numId w:val="0"/>
        </w:numPr>
        <w:spacing w:line="276" w:lineRule="auto"/>
        <w:rPr>
          <w:rFonts w:ascii="Times New Roman" w:hAnsi="Times New Roman"/>
        </w:rPr>
      </w:pPr>
      <w:r>
        <w:rPr>
          <w:rFonts w:ascii="Times New Roman" w:hAnsi="Times New Roman"/>
        </w:rPr>
        <w:t xml:space="preserve">2.2.2.1 CQI </w:t>
      </w:r>
      <w:r w:rsidR="00776DF1">
        <w:rPr>
          <w:rFonts w:ascii="Times New Roman" w:hAnsi="Times New Roman"/>
        </w:rPr>
        <w:t>tests</w:t>
      </w:r>
    </w:p>
    <w:p w14:paraId="3B337501" w14:textId="77777777" w:rsidR="0032510D" w:rsidRDefault="004E6C3D" w:rsidP="00DE5677">
      <w:pPr>
        <w:spacing w:line="276" w:lineRule="auto"/>
        <w:rPr>
          <w:lang w:val="en-US"/>
        </w:rPr>
      </w:pPr>
      <w:r>
        <w:rPr>
          <w:lang w:val="en-US"/>
        </w:rPr>
        <w:t xml:space="preserve">One of the purposes of CQI test cases (listed in Chapter 9 of TS-36.101) </w:t>
      </w:r>
      <w:r w:rsidRPr="008525F2">
        <w:rPr>
          <w:lang w:val="en-US"/>
        </w:rPr>
        <w:t xml:space="preserve">is to ensure that the UE’s CQI reporting is aligned with its </w:t>
      </w:r>
      <w:proofErr w:type="spellStart"/>
      <w:r w:rsidRPr="008525F2">
        <w:rPr>
          <w:lang w:val="en-US"/>
        </w:rPr>
        <w:t>demod</w:t>
      </w:r>
      <w:proofErr w:type="spellEnd"/>
      <w:r w:rsidRPr="008525F2">
        <w:rPr>
          <w:lang w:val="en-US"/>
        </w:rPr>
        <w:t xml:space="preserve"> performance. To ensure reasonable alignment, an example re</w:t>
      </w:r>
      <w:r>
        <w:rPr>
          <w:lang w:val="en-US"/>
        </w:rPr>
        <w:t>quirement from test case 9.2.1.1</w:t>
      </w:r>
      <w:r w:rsidRPr="008525F2">
        <w:rPr>
          <w:lang w:val="en-US"/>
        </w:rPr>
        <w:t xml:space="preserve"> of TS-36.101 is that </w:t>
      </w:r>
      <w:r>
        <w:rPr>
          <w:lang w:val="en-US"/>
        </w:rPr>
        <w:t xml:space="preserve"> </w:t>
      </w:r>
      <w:r w:rsidRPr="008525F2">
        <w:rPr>
          <w:lang w:val="en-US"/>
        </w:rPr>
        <w:t>“</w:t>
      </w:r>
      <w:r w:rsidRPr="008525F2">
        <w:rPr>
          <w:i/>
          <w:lang w:val="en-US"/>
        </w:rPr>
        <w:t>if the PDSCH BLER using the transport format indicated by median CQI is less than or equal to 0.1, then the PDSCH BLER using the transport format indicated by median CQI +1 should be greater than 0.1.</w:t>
      </w:r>
      <w:r w:rsidRPr="008525F2">
        <w:rPr>
          <w:lang w:val="en-US"/>
        </w:rPr>
        <w:t xml:space="preserve">”  If </w:t>
      </w:r>
      <w:r w:rsidR="00B40DDB">
        <w:rPr>
          <w:lang w:val="en-US"/>
        </w:rPr>
        <w:t>a 4Rx UE in an</w:t>
      </w:r>
      <w:r w:rsidRPr="008525F2">
        <w:rPr>
          <w:lang w:val="en-US"/>
        </w:rPr>
        <w:t xml:space="preserve"> extended legacy test case </w:t>
      </w:r>
      <w:r w:rsidR="00B40DDB">
        <w:rPr>
          <w:lang w:val="en-US"/>
        </w:rPr>
        <w:t xml:space="preserve">is configured </w:t>
      </w:r>
      <w:r w:rsidRPr="008525F2">
        <w:rPr>
          <w:lang w:val="en-US"/>
        </w:rPr>
        <w:t xml:space="preserve">the same test point as the corresponding legacy test case, then the additional diversity gain </w:t>
      </w:r>
      <w:r w:rsidR="00B40DDB">
        <w:rPr>
          <w:lang w:val="en-US"/>
        </w:rPr>
        <w:t xml:space="preserve">due to </w:t>
      </w:r>
      <w:r w:rsidRPr="008525F2">
        <w:rPr>
          <w:lang w:val="en-US"/>
        </w:rPr>
        <w:t xml:space="preserve">4Rx </w:t>
      </w:r>
      <w:r w:rsidR="00B40DDB">
        <w:rPr>
          <w:lang w:val="en-US"/>
        </w:rPr>
        <w:t xml:space="preserve">operation </w:t>
      </w:r>
      <w:r>
        <w:rPr>
          <w:lang w:val="en-US"/>
        </w:rPr>
        <w:t xml:space="preserve">can sometimes </w:t>
      </w:r>
      <w:r w:rsidRPr="008525F2">
        <w:rPr>
          <w:lang w:val="en-US"/>
        </w:rPr>
        <w:t>result in the median CQI itself to be saturated. In such cases, the requirement of assessing the BLER with transport format indicated by median CQI + 1 would be meaningless.</w:t>
      </w:r>
    </w:p>
    <w:p w14:paraId="401C6B66" w14:textId="77777777" w:rsidR="00785351" w:rsidRDefault="0032510D" w:rsidP="00DE5677">
      <w:pPr>
        <w:spacing w:line="276" w:lineRule="auto"/>
        <w:rPr>
          <w:lang w:val="en-US"/>
        </w:rPr>
      </w:pPr>
      <w:r w:rsidRPr="0032510D">
        <w:rPr>
          <w:u w:val="single"/>
          <w:lang w:val="en-US"/>
        </w:rPr>
        <w:t>Lower CINR test point:</w:t>
      </w:r>
      <w:r>
        <w:rPr>
          <w:lang w:val="en-US"/>
        </w:rPr>
        <w:t xml:space="preserve"> </w:t>
      </w:r>
      <w:r w:rsidR="00444947">
        <w:rPr>
          <w:lang w:val="en-US"/>
        </w:rPr>
        <w:t>We note that by sufficiently lowering the CINR test point,</w:t>
      </w:r>
      <w:r>
        <w:rPr>
          <w:lang w:val="en-US"/>
        </w:rPr>
        <w:t xml:space="preserve"> wherever required,</w:t>
      </w:r>
      <w:r w:rsidR="00444947">
        <w:rPr>
          <w:lang w:val="en-US"/>
        </w:rPr>
        <w:t xml:space="preserve"> saturation of CQI can be avoided. </w:t>
      </w:r>
      <w:r>
        <w:rPr>
          <w:lang w:val="en-US"/>
        </w:rPr>
        <w:t xml:space="preserve">With suitably lowered CINR </w:t>
      </w:r>
      <w:r w:rsidR="00826614">
        <w:rPr>
          <w:lang w:val="en-US"/>
        </w:rPr>
        <w:t xml:space="preserve">as </w:t>
      </w:r>
      <w:r w:rsidR="00B40DDB">
        <w:rPr>
          <w:lang w:val="en-US"/>
        </w:rPr>
        <w:t xml:space="preserve">the new </w:t>
      </w:r>
      <w:r>
        <w:rPr>
          <w:lang w:val="en-US"/>
        </w:rPr>
        <w:t xml:space="preserve">test point, the existing requirement of the legacy test case would </w:t>
      </w:r>
      <w:r w:rsidR="00300F9D">
        <w:rPr>
          <w:lang w:val="en-US"/>
        </w:rPr>
        <w:t xml:space="preserve">also </w:t>
      </w:r>
      <w:r>
        <w:rPr>
          <w:lang w:val="en-US"/>
        </w:rPr>
        <w:t xml:space="preserve">apply to extended legacy test case. </w:t>
      </w:r>
      <w:r w:rsidR="00826614">
        <w:rPr>
          <w:lang w:val="en-US"/>
        </w:rPr>
        <w:t>Since a</w:t>
      </w:r>
      <w:r>
        <w:rPr>
          <w:lang w:val="en-US"/>
        </w:rPr>
        <w:t xml:space="preserve"> </w:t>
      </w:r>
      <w:r w:rsidR="00444947">
        <w:rPr>
          <w:lang w:val="en-US"/>
        </w:rPr>
        <w:t xml:space="preserve">3dB additional diversity gain is expected from 4Rx </w:t>
      </w:r>
      <w:r w:rsidR="00826614">
        <w:rPr>
          <w:lang w:val="en-US"/>
        </w:rPr>
        <w:t xml:space="preserve">compared to 2Rx, it will be sufficient to lower CINR test points (wherever saturation of CQI is likely) by </w:t>
      </w:r>
      <w:r w:rsidR="00444947">
        <w:rPr>
          <w:lang w:val="en-US"/>
        </w:rPr>
        <w:t xml:space="preserve">3dB. </w:t>
      </w:r>
      <w:r w:rsidR="00785351">
        <w:rPr>
          <w:lang w:val="en-US"/>
        </w:rPr>
        <w:t>Clearly, such lowering of CINR will be required only for high CINR test points. However, lowering only high CINR test points by 3dB will bring all CINR test points in a test, close together</w:t>
      </w:r>
      <w:r w:rsidR="00453D15">
        <w:rPr>
          <w:lang w:val="en-US"/>
        </w:rPr>
        <w:t xml:space="preserve">. </w:t>
      </w:r>
      <w:r w:rsidR="004C42D0">
        <w:rPr>
          <w:lang w:val="en-US"/>
        </w:rPr>
        <w:t xml:space="preserve">Hence, </w:t>
      </w:r>
      <w:r w:rsidR="00CB4746">
        <w:rPr>
          <w:lang w:val="en-US"/>
        </w:rPr>
        <w:t xml:space="preserve">to avoid saturation of CQI </w:t>
      </w:r>
      <w:r w:rsidR="00D35DBA">
        <w:rPr>
          <w:lang w:val="en-US"/>
        </w:rPr>
        <w:t xml:space="preserve">while </w:t>
      </w:r>
      <w:r w:rsidR="00CB4746">
        <w:rPr>
          <w:lang w:val="en-US"/>
        </w:rPr>
        <w:t>maintain</w:t>
      </w:r>
      <w:r w:rsidR="00193CAC">
        <w:rPr>
          <w:lang w:val="en-US"/>
        </w:rPr>
        <w:t>ing</w:t>
      </w:r>
      <w:r w:rsidR="00CB4746">
        <w:rPr>
          <w:lang w:val="en-US"/>
        </w:rPr>
        <w:t xml:space="preserve"> the same spacing of CINR test points, we propose </w:t>
      </w:r>
      <w:r w:rsidR="000B64B6">
        <w:rPr>
          <w:lang w:val="en-US"/>
        </w:rPr>
        <w:t>that for all CQI test cases, the test point be lowered</w:t>
      </w:r>
      <w:r w:rsidR="00CB4746">
        <w:rPr>
          <w:lang w:val="en-US"/>
        </w:rPr>
        <w:t xml:space="preserve"> by 3dB</w:t>
      </w:r>
      <w:r w:rsidR="000B64B6">
        <w:rPr>
          <w:lang w:val="en-US"/>
        </w:rPr>
        <w:t xml:space="preserve"> to run the extended legacy test case on a 4Rx UE.</w:t>
      </w:r>
    </w:p>
    <w:p w14:paraId="1D50FF33" w14:textId="77777777" w:rsidR="00CB4746" w:rsidRDefault="00CB4746" w:rsidP="00DE5677">
      <w:pPr>
        <w:spacing w:line="276" w:lineRule="auto"/>
        <w:rPr>
          <w:b/>
          <w:lang w:val="en-US"/>
        </w:rPr>
      </w:pPr>
      <w:r w:rsidRPr="00CB4746">
        <w:rPr>
          <w:b/>
          <w:lang w:val="en-US"/>
        </w:rPr>
        <w:t>Proposal 4:</w:t>
      </w:r>
      <w:r>
        <w:rPr>
          <w:b/>
          <w:lang w:val="en-US"/>
        </w:rPr>
        <w:t xml:space="preserve"> </w:t>
      </w:r>
      <w:r w:rsidR="00D35DBA">
        <w:rPr>
          <w:b/>
          <w:lang w:val="en-US"/>
        </w:rPr>
        <w:t xml:space="preserve">For all </w:t>
      </w:r>
      <w:r w:rsidR="00B01C08">
        <w:rPr>
          <w:b/>
          <w:lang w:val="en-US"/>
        </w:rPr>
        <w:t xml:space="preserve">extended legacy </w:t>
      </w:r>
      <w:r w:rsidR="00D35DBA">
        <w:rPr>
          <w:b/>
          <w:lang w:val="en-US"/>
        </w:rPr>
        <w:t>CQI test cases, we propose to reduce all the CINR test points by 3dB.</w:t>
      </w:r>
      <w:r w:rsidR="00B01C08">
        <w:rPr>
          <w:b/>
          <w:lang w:val="en-US"/>
        </w:rPr>
        <w:t xml:space="preserve"> Corresponding to the new test points, we propose to maintain </w:t>
      </w:r>
      <w:r w:rsidR="000B64B6">
        <w:rPr>
          <w:b/>
          <w:lang w:val="en-US"/>
        </w:rPr>
        <w:t xml:space="preserve">the </w:t>
      </w:r>
      <w:r w:rsidR="00B01C08">
        <w:rPr>
          <w:b/>
          <w:lang w:val="en-US"/>
        </w:rPr>
        <w:t>same requirement in extended legacy test cases as the legacy 2Rx test case.</w:t>
      </w:r>
    </w:p>
    <w:p w14:paraId="475B0485" w14:textId="77777777" w:rsidR="00776DF1" w:rsidRPr="008525F2" w:rsidRDefault="006330E4" w:rsidP="00DE5677">
      <w:pPr>
        <w:pStyle w:val="Heading3"/>
        <w:numPr>
          <w:ilvl w:val="0"/>
          <w:numId w:val="0"/>
        </w:numPr>
        <w:spacing w:line="276" w:lineRule="auto"/>
        <w:rPr>
          <w:rFonts w:ascii="Times New Roman" w:hAnsi="Times New Roman"/>
        </w:rPr>
      </w:pPr>
      <w:r>
        <w:rPr>
          <w:rFonts w:ascii="Times New Roman" w:hAnsi="Times New Roman"/>
        </w:rPr>
        <w:t>2.2.2.2</w:t>
      </w:r>
      <w:r w:rsidR="00776DF1">
        <w:rPr>
          <w:rFonts w:ascii="Times New Roman" w:hAnsi="Times New Roman"/>
        </w:rPr>
        <w:t xml:space="preserve"> PMI tests </w:t>
      </w:r>
      <w:r w:rsidR="00776DF1" w:rsidRPr="008525F2">
        <w:rPr>
          <w:rFonts w:ascii="Times New Roman" w:hAnsi="Times New Roman"/>
        </w:rPr>
        <w:t xml:space="preserve"> </w:t>
      </w:r>
    </w:p>
    <w:p w14:paraId="09C9369D" w14:textId="77777777" w:rsidR="00776DF1" w:rsidRDefault="00776DF1" w:rsidP="00DE5677">
      <w:pPr>
        <w:spacing w:line="276" w:lineRule="auto"/>
        <w:rPr>
          <w:lang w:val="en-US"/>
        </w:rPr>
      </w:pPr>
      <w:r>
        <w:rPr>
          <w:lang w:val="en-US"/>
        </w:rPr>
        <w:t xml:space="preserve">Unlike CQI test, the </w:t>
      </w:r>
      <w:r w:rsidR="003B62FD">
        <w:rPr>
          <w:lang w:val="en-US"/>
        </w:rPr>
        <w:t xml:space="preserve">absolute value of </w:t>
      </w:r>
      <w:r>
        <w:rPr>
          <w:lang w:val="en-US"/>
        </w:rPr>
        <w:t xml:space="preserve">CINR </w:t>
      </w:r>
      <w:r w:rsidR="003B62FD">
        <w:rPr>
          <w:lang w:val="en-US"/>
        </w:rPr>
        <w:t xml:space="preserve">where the test is conducted is not fixed. Rather, the </w:t>
      </w:r>
      <w:r>
        <w:rPr>
          <w:lang w:val="en-US"/>
        </w:rPr>
        <w:t>test</w:t>
      </w:r>
      <w:r w:rsidR="003B62FD">
        <w:rPr>
          <w:lang w:val="en-US"/>
        </w:rPr>
        <w:t xml:space="preserve"> CINR</w:t>
      </w:r>
      <w:r>
        <w:rPr>
          <w:lang w:val="en-US"/>
        </w:rPr>
        <w:t xml:space="preserve"> point is </w:t>
      </w:r>
      <w:r w:rsidR="003B62FD">
        <w:rPr>
          <w:lang w:val="en-US"/>
        </w:rPr>
        <w:t xml:space="preserve">decided by obtaining the CINR, </w:t>
      </w:r>
      <w:r>
        <w:rPr>
          <w:lang w:val="en-US"/>
        </w:rPr>
        <w:t xml:space="preserve">where, </w:t>
      </w:r>
      <w:r w:rsidR="00940EA8">
        <w:rPr>
          <w:lang w:val="en-US"/>
        </w:rPr>
        <w:t>with a fixed transport format configured,</w:t>
      </w:r>
      <w:r>
        <w:rPr>
          <w:lang w:val="en-US"/>
        </w:rPr>
        <w:t xml:space="preserve"> “random precoding” </w:t>
      </w:r>
      <w:r w:rsidR="003B62FD">
        <w:rPr>
          <w:lang w:val="en-US"/>
        </w:rPr>
        <w:t>achieves</w:t>
      </w:r>
      <w:r>
        <w:rPr>
          <w:lang w:val="en-US"/>
        </w:rPr>
        <w:t xml:space="preserve"> 60% of the</w:t>
      </w:r>
      <w:r w:rsidR="000210E5">
        <w:rPr>
          <w:lang w:val="en-US"/>
        </w:rPr>
        <w:t xml:space="preserve"> maximum achievable throughput. </w:t>
      </w:r>
      <w:r>
        <w:rPr>
          <w:lang w:val="en-US"/>
        </w:rPr>
        <w:t xml:space="preserve">Hence </w:t>
      </w:r>
      <w:r w:rsidR="00F67942">
        <w:rPr>
          <w:lang w:val="en-US"/>
        </w:rPr>
        <w:t>the PMI test cases do not face the issue of saturation due to</w:t>
      </w:r>
      <w:r>
        <w:rPr>
          <w:lang w:val="en-US"/>
        </w:rPr>
        <w:t xml:space="preserve"> additional 3dB diversity gain due to 4Rx operation</w:t>
      </w:r>
      <w:r w:rsidR="003E69BB">
        <w:rPr>
          <w:lang w:val="en-US"/>
        </w:rPr>
        <w:t>.</w:t>
      </w:r>
      <w:r w:rsidR="001633B2">
        <w:rPr>
          <w:lang w:val="en-US"/>
        </w:rPr>
        <w:t xml:space="preserve"> Hence, we recommend no change to the manner in which the CINR test point is established even for the extended legacy test cases.</w:t>
      </w:r>
      <w:r w:rsidR="000210E5">
        <w:rPr>
          <w:lang w:val="en-US"/>
        </w:rPr>
        <w:t xml:space="preserve"> Since “effective SNR” at which the PMI gain is being tested remains the same between legacy and extended legacy test case, we recommend that the requirements of the extended legacy test cases be the same as the legacy test case itself.</w:t>
      </w:r>
    </w:p>
    <w:p w14:paraId="0740E5C7" w14:textId="77777777" w:rsidR="00D76BAD" w:rsidRDefault="00D76BAD" w:rsidP="00DE5677">
      <w:pPr>
        <w:spacing w:line="276" w:lineRule="auto"/>
        <w:rPr>
          <w:b/>
          <w:lang w:val="en-US"/>
        </w:rPr>
      </w:pPr>
      <w:r w:rsidRPr="008525F2">
        <w:rPr>
          <w:b/>
          <w:lang w:val="en-US"/>
        </w:rPr>
        <w:t xml:space="preserve">Proposal </w:t>
      </w:r>
      <w:r w:rsidR="009073A8">
        <w:rPr>
          <w:b/>
          <w:lang w:val="en-US"/>
        </w:rPr>
        <w:t>5</w:t>
      </w:r>
      <w:r w:rsidR="00706D6F" w:rsidRPr="008525F2">
        <w:rPr>
          <w:b/>
          <w:lang w:val="en-US"/>
        </w:rPr>
        <w:t>:</w:t>
      </w:r>
      <w:r w:rsidR="00D54370">
        <w:rPr>
          <w:b/>
          <w:lang w:val="en-US"/>
        </w:rPr>
        <w:t xml:space="preserve"> For all extended legacy PMI test cases, we propose to maintain the same methodology for establishing the test point as the legacy test case and maintain the same requirement as the legacy test case.</w:t>
      </w:r>
    </w:p>
    <w:p w14:paraId="5FBBB45F" w14:textId="77777777" w:rsidR="006330E4" w:rsidRDefault="006330E4" w:rsidP="00DE5677">
      <w:pPr>
        <w:pStyle w:val="Heading3"/>
        <w:numPr>
          <w:ilvl w:val="0"/>
          <w:numId w:val="0"/>
        </w:numPr>
        <w:spacing w:line="276" w:lineRule="auto"/>
        <w:rPr>
          <w:rFonts w:ascii="Times New Roman" w:hAnsi="Times New Roman"/>
        </w:rPr>
      </w:pPr>
      <w:r>
        <w:rPr>
          <w:rFonts w:ascii="Times New Roman" w:hAnsi="Times New Roman"/>
        </w:rPr>
        <w:lastRenderedPageBreak/>
        <w:t xml:space="preserve">2.2.2.1 RI tests </w:t>
      </w:r>
      <w:r w:rsidRPr="008525F2">
        <w:rPr>
          <w:rFonts w:ascii="Times New Roman" w:hAnsi="Times New Roman"/>
        </w:rPr>
        <w:t xml:space="preserve"> </w:t>
      </w:r>
    </w:p>
    <w:p w14:paraId="27037FB7" w14:textId="2A8635D6" w:rsidR="00825EC7" w:rsidRDefault="00ED2C76" w:rsidP="00DE5677">
      <w:pPr>
        <w:spacing w:line="276" w:lineRule="auto"/>
      </w:pPr>
      <w:r>
        <w:t>RI tests are defined at fixed CINR test points.</w:t>
      </w:r>
      <w:r w:rsidR="006D1C7C">
        <w:t xml:space="preserve"> </w:t>
      </w:r>
      <w:r w:rsidR="00825EC7">
        <w:t xml:space="preserve">For all legacy 2Rx RI tests have the test requirement which can be one of the following </w:t>
      </w:r>
    </w:p>
    <w:p w14:paraId="47533AB8" w14:textId="7326CC59" w:rsidR="00825EC7" w:rsidRDefault="00825EC7" w:rsidP="00825EC7">
      <w:pPr>
        <w:pStyle w:val="ListParagraph"/>
        <w:numPr>
          <w:ilvl w:val="0"/>
          <w:numId w:val="21"/>
        </w:numPr>
        <w:spacing w:line="276" w:lineRule="auto"/>
      </w:pPr>
      <w:r>
        <w:t xml:space="preserve">Ratio </w:t>
      </w:r>
      <w:r w:rsidR="006D1C7C">
        <w:t>of the throughput obtained when the transmission is based on the reported rank to the throughput obtained when the transmissi</w:t>
      </w:r>
      <w:r>
        <w:t>on is based on a fixed rank = 1</w:t>
      </w:r>
      <w:r w:rsidR="00FF28AC">
        <w:t xml:space="preserve">, </w:t>
      </w:r>
      <w:r>
        <w:t>is greater than a specified</w:t>
      </w:r>
      <w:r w:rsidR="00FF28AC">
        <w:t xml:space="preserve"> threshold</w:t>
      </w:r>
      <m:oMath>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1</m:t>
            </m:r>
          </m:sub>
        </m:sSub>
      </m:oMath>
      <w:r>
        <w:t>.</w:t>
      </w:r>
    </w:p>
    <w:p w14:paraId="6993DEE2" w14:textId="075ECF20" w:rsidR="00D96359" w:rsidRPr="00D96359" w:rsidRDefault="00D96359" w:rsidP="00825EC7">
      <w:pPr>
        <w:pStyle w:val="ListParagraph"/>
        <w:numPr>
          <w:ilvl w:val="0"/>
          <w:numId w:val="21"/>
        </w:numPr>
        <w:spacing w:line="276" w:lineRule="auto"/>
      </w:pPr>
      <w:r>
        <w:t>Ratio of the throughput obtained when the transmission is based on the reported rank to the throughput obtained when the transmission is based on a fixed rank = 2, is greater than a specified threshold</w:t>
      </w:r>
      <m:oMath>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2</m:t>
            </m:r>
          </m:sub>
        </m:sSub>
        <m:r>
          <w:rPr>
            <w:rFonts w:ascii="Cambria Math" w:hAnsi="Cambria Math"/>
          </w:rPr>
          <m:t>.</m:t>
        </m:r>
      </m:oMath>
    </w:p>
    <w:p w14:paraId="35C91D0A" w14:textId="68DA75D8" w:rsidR="00825EC7" w:rsidRPr="00D96359" w:rsidRDefault="00FF28AC" w:rsidP="00825EC7">
      <w:pPr>
        <w:pStyle w:val="ListParagraph"/>
        <w:numPr>
          <w:ilvl w:val="0"/>
          <w:numId w:val="21"/>
        </w:numPr>
        <w:spacing w:line="276" w:lineRule="auto"/>
      </w:pPr>
      <w:r>
        <w:t>B</w:t>
      </w:r>
      <w:r w:rsidR="00825EC7">
        <w:t>oth (a) and (b) above.</w:t>
      </w:r>
    </w:p>
    <w:p w14:paraId="6FC25A77" w14:textId="6BA2D055" w:rsidR="00D96359" w:rsidRDefault="0000123D" w:rsidP="00825EC7">
      <w:pPr>
        <w:spacing w:line="276" w:lineRule="auto"/>
      </w:pPr>
      <w:r>
        <w:t xml:space="preserve">With 4Rx, the absolute throughput, both with and without rank adaptation, can </w:t>
      </w:r>
      <w:r w:rsidR="00003AB2">
        <w:t xml:space="preserve">only </w:t>
      </w:r>
      <w:r>
        <w:t>increase due to diversity gain.</w:t>
      </w:r>
      <w:r w:rsidR="002F7FFD">
        <w:t xml:space="preserve"> As a function of CINR, the rank1 throughput should saturate prior to rank2 throughput. </w:t>
      </w:r>
      <w:r w:rsidR="00AD157B">
        <w:t>Hence with add</w:t>
      </w:r>
      <w:r w:rsidR="00387526">
        <w:t>itional diversity gain d</w:t>
      </w:r>
      <w:r w:rsidR="009073A8">
        <w:t>ue to 4Rx operation</w:t>
      </w:r>
      <w:r w:rsidR="00D96359">
        <w:t>,</w:t>
      </w:r>
      <w:r w:rsidR="009073A8">
        <w:t xml:space="preserve"> </w:t>
      </w:r>
      <w:r w:rsidR="00387526">
        <w:t>the ratio</w:t>
      </w:r>
      <w:r w:rsidR="00D96359">
        <w:t xml:space="preserve"> </w:t>
      </w:r>
      <w:r w:rsidR="00387526">
        <w:t>of throughput with rank adaptation</w:t>
      </w:r>
      <w:r w:rsidR="009073A8">
        <w:t xml:space="preserve"> to the throughput </w:t>
      </w:r>
      <w:r w:rsidR="00FF28AC">
        <w:t xml:space="preserve">with fixed </w:t>
      </w:r>
      <w:r w:rsidR="009073A8">
        <w:t>rank</w:t>
      </w:r>
      <w:r w:rsidR="00FF28AC">
        <w:t xml:space="preserve"> =</w:t>
      </w:r>
      <w:r w:rsidR="00D96359">
        <w:t xml:space="preserve"> </w:t>
      </w:r>
      <w:r w:rsidR="00FF28AC">
        <w:t>1</w:t>
      </w:r>
      <w:r w:rsidR="009073A8">
        <w:t xml:space="preserve">, </w:t>
      </w:r>
      <w:r w:rsidR="00783CDF">
        <w:t>is only expected to increase,</w:t>
      </w:r>
      <w:r w:rsidR="009073A8">
        <w:t xml:space="preserve"> not reduce. </w:t>
      </w:r>
      <w:r w:rsidR="00FF28AC">
        <w:t xml:space="preserve">Hence for all legacy </w:t>
      </w:r>
      <w:r w:rsidR="00D96359">
        <w:t xml:space="preserve">2Rx </w:t>
      </w:r>
      <w:r w:rsidR="00FF28AC">
        <w:t xml:space="preserve">test cases, </w:t>
      </w:r>
      <w:r w:rsidR="00D96359">
        <w:t xml:space="preserve">if the only test requirement corresponding to the CINR test point is </w:t>
      </w:r>
      <w:r w:rsidR="00FF28AC">
        <w:t>threshold</w:t>
      </w:r>
      <m:oMath>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1</m:t>
            </m:r>
          </m:sub>
        </m:sSub>
      </m:oMath>
      <w:r w:rsidR="00D96359">
        <w:t>, then the extended legacy test can also be conducted at the same CINR test point as the legacy 2Rx test case maintaining the same threshold requirement as legacy 2Rx test case.</w:t>
      </w:r>
    </w:p>
    <w:p w14:paraId="40169B3C" w14:textId="6C7BCD29" w:rsidR="00D96359" w:rsidRPr="00D96359" w:rsidRDefault="009073A8" w:rsidP="00D96359">
      <w:pPr>
        <w:spacing w:line="276" w:lineRule="auto"/>
        <w:rPr>
          <w:b/>
        </w:rPr>
      </w:pPr>
      <w:r w:rsidRPr="009073A8">
        <w:rPr>
          <w:b/>
        </w:rPr>
        <w:t>Proposal 6</w:t>
      </w:r>
      <w:r>
        <w:rPr>
          <w:b/>
        </w:rPr>
        <w:t xml:space="preserve">: </w:t>
      </w:r>
      <w:r w:rsidR="00D96359">
        <w:rPr>
          <w:b/>
        </w:rPr>
        <w:t>F</w:t>
      </w:r>
      <w:r w:rsidR="00D96359" w:rsidRPr="00D96359">
        <w:rPr>
          <w:b/>
        </w:rPr>
        <w:t xml:space="preserve">or all legacy 2Rx </w:t>
      </w:r>
      <w:r w:rsidR="00915E0F">
        <w:rPr>
          <w:b/>
        </w:rPr>
        <w:t xml:space="preserve">RI </w:t>
      </w:r>
      <w:r w:rsidR="00D96359" w:rsidRPr="00D96359">
        <w:rPr>
          <w:b/>
        </w:rPr>
        <w:t>test cases, if the only test requirement corresponding to the CINR test point is threshold</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1</m:t>
            </m:r>
          </m:sub>
        </m:sSub>
      </m:oMath>
      <w:r w:rsidR="00D96359" w:rsidRPr="00D96359">
        <w:rPr>
          <w:b/>
        </w:rPr>
        <w:t>, then the extended legacy test</w:t>
      </w:r>
      <w:r w:rsidR="00D96359">
        <w:rPr>
          <w:b/>
        </w:rPr>
        <w:t xml:space="preserve"> case</w:t>
      </w:r>
      <w:r w:rsidR="00D96359" w:rsidRPr="00D96359">
        <w:rPr>
          <w:b/>
        </w:rPr>
        <w:t xml:space="preserve"> </w:t>
      </w:r>
      <w:r w:rsidR="00915E0F">
        <w:rPr>
          <w:b/>
        </w:rPr>
        <w:t>should</w:t>
      </w:r>
      <w:r w:rsidR="00D96359" w:rsidRPr="00D96359">
        <w:rPr>
          <w:b/>
        </w:rPr>
        <w:t xml:space="preserve"> be conducted at the same CINR tes</w:t>
      </w:r>
      <w:r w:rsidR="00D96359">
        <w:rPr>
          <w:b/>
        </w:rPr>
        <w:t xml:space="preserve">t point as the </w:t>
      </w:r>
      <w:r w:rsidR="00D96359" w:rsidRPr="00D96359">
        <w:rPr>
          <w:b/>
        </w:rPr>
        <w:t>legacy 2Rx test case maintaining the same threshold requirement as legacy 2Rx test case.</w:t>
      </w:r>
      <w:r w:rsidR="00D96359">
        <w:rPr>
          <w:b/>
        </w:rPr>
        <w:t xml:space="preserve"> </w:t>
      </w:r>
    </w:p>
    <w:p w14:paraId="5276AEF5" w14:textId="469ADB92" w:rsidR="00BE577E" w:rsidRDefault="002076AD" w:rsidP="00DE5677">
      <w:pPr>
        <w:spacing w:line="276" w:lineRule="auto"/>
      </w:pPr>
      <w:r>
        <w:t>Now, let us consider all legacy 2Rx test cases, where corresponding to a given CINR test point, threshold</w:t>
      </w:r>
      <m:oMath>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2</m:t>
            </m:r>
          </m:sub>
        </m:sSub>
      </m:oMath>
      <w:r>
        <w:t xml:space="preserve"> is defined</w:t>
      </w:r>
      <w:r w:rsidR="007B3B09">
        <w:t>. Let us also consider that the UE is indeed using all its 4Rx chains for purposes of demodulation. If the same CINR test point is maintained as the legacy test case, then due to the additional diversity gain, the percentage increase in throughput</w:t>
      </w:r>
      <w:r w:rsidR="00660BFD">
        <w:t xml:space="preserve"> with fixed rank = 2  can possibly </w:t>
      </w:r>
      <w:r w:rsidR="007B3B09">
        <w:t>be larger th</w:t>
      </w:r>
      <w:r w:rsidR="00660BFD">
        <w:t xml:space="preserve">an that with rank adaptation. Hence, there is no guarantee that the ratio of the throughput with rank adaptation to fixed rank = 2 can be larger than the threshold </w:t>
      </w:r>
      <m:oMath>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2</m:t>
            </m:r>
          </m:sub>
        </m:sSub>
      </m:oMath>
      <w:r w:rsidR="00660BFD">
        <w:t xml:space="preserve"> that was defined for legacy 2Rx test case. In such a case, we will have to reduce the CINR test point by a few dBs to ensure that the same threshold </w:t>
      </w:r>
      <m:oMath>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2</m:t>
            </m:r>
          </m:sub>
        </m:sSub>
      </m:oMath>
      <w:r w:rsidR="00660BFD">
        <w:t xml:space="preserve"> can be maintained for the extended</w:t>
      </w:r>
      <w:r w:rsidR="000751BD">
        <w:t xml:space="preserve"> legacy test case. The diversity benefit by doubling the number of Rx chains in expected to be least 3dB. However, we note that the CINR test point where threshold </w:t>
      </w:r>
      <m:oMath>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2</m:t>
            </m:r>
          </m:sub>
        </m:sSub>
      </m:oMath>
      <w:r w:rsidR="000751BD">
        <w:t xml:space="preserve"> is defined is typically at low SNR (around 0dB). Also, most of the tests are defined for EPA 5Hz channels (see 9.5.1.1-1,</w:t>
      </w:r>
      <w:r w:rsidR="000751BD" w:rsidRPr="000751BD">
        <w:t xml:space="preserve"> </w:t>
      </w:r>
      <w:r w:rsidR="000751BD" w:rsidRPr="00D95B2C">
        <w:t>9.5.</w:t>
      </w:r>
      <w:r w:rsidR="000751BD" w:rsidRPr="00D95B2C">
        <w:rPr>
          <w:rFonts w:hint="eastAsia"/>
          <w:lang w:eastAsia="zh-CN"/>
        </w:rPr>
        <w:t>2</w:t>
      </w:r>
      <w:r w:rsidR="000751BD" w:rsidRPr="00D95B2C">
        <w:t>.1-1</w:t>
      </w:r>
      <w:r w:rsidR="000751BD">
        <w:t xml:space="preserve"> of 36.101 [4] as examples). In low SNRs in EPA </w:t>
      </w:r>
      <w:r w:rsidR="00CC26A3">
        <w:t>5Hz channel</w:t>
      </w:r>
      <w:r w:rsidR="000751BD">
        <w:t>, the diversity benefit is larger than 3dB</w:t>
      </w:r>
      <w:r w:rsidR="00915E0F">
        <w:t>, around 4dB</w:t>
      </w:r>
      <w:r w:rsidR="000751BD">
        <w:t xml:space="preserve">. </w:t>
      </w:r>
      <w:r w:rsidR="00C10A03">
        <w:t xml:space="preserve"> W</w:t>
      </w:r>
      <w:r w:rsidR="000751BD">
        <w:t xml:space="preserve">e propose to </w:t>
      </w:r>
      <w:r w:rsidR="00915E0F">
        <w:t>red</w:t>
      </w:r>
      <w:r w:rsidR="008902EA">
        <w:t>uce the CINR test point by 4</w:t>
      </w:r>
      <w:r w:rsidR="00915E0F">
        <w:t xml:space="preserve">dB and maintain the same requirement as </w:t>
      </w:r>
      <w:r w:rsidR="00CC26A3">
        <w:t xml:space="preserve">the </w:t>
      </w:r>
      <w:r w:rsidR="00915E0F">
        <w:t>legacy test case.</w:t>
      </w:r>
    </w:p>
    <w:p w14:paraId="311DCE75" w14:textId="0F21AEA2" w:rsidR="00915E0F" w:rsidRPr="00D96359" w:rsidRDefault="00C10A03" w:rsidP="00915E0F">
      <w:pPr>
        <w:spacing w:line="276" w:lineRule="auto"/>
        <w:rPr>
          <w:b/>
        </w:rPr>
      </w:pPr>
      <w:r>
        <w:rPr>
          <w:b/>
        </w:rPr>
        <w:t>Proposal 7</w:t>
      </w:r>
      <w:r w:rsidR="00915E0F">
        <w:rPr>
          <w:b/>
        </w:rPr>
        <w:t>: F</w:t>
      </w:r>
      <w:r w:rsidR="00915E0F" w:rsidRPr="00D96359">
        <w:rPr>
          <w:b/>
        </w:rPr>
        <w:t xml:space="preserve">or all legacy 2Rx </w:t>
      </w:r>
      <w:r w:rsidR="00915E0F">
        <w:rPr>
          <w:b/>
        </w:rPr>
        <w:t xml:space="preserve">RI </w:t>
      </w:r>
      <w:r w:rsidR="00915E0F" w:rsidRPr="00D96359">
        <w:rPr>
          <w:b/>
        </w:rPr>
        <w:t xml:space="preserve">test cases, </w:t>
      </w:r>
      <w:r w:rsidR="00915E0F">
        <w:rPr>
          <w:b/>
        </w:rPr>
        <w:t>where</w:t>
      </w:r>
      <w:r>
        <w:rPr>
          <w:b/>
        </w:rPr>
        <w:t xml:space="preserve"> corresponding to a CINR test point, </w:t>
      </w:r>
      <w:r w:rsidRPr="00D96359">
        <w:rPr>
          <w:b/>
        </w:rPr>
        <w:t>threshold</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2</m:t>
            </m:r>
          </m:sub>
        </m:sSub>
      </m:oMath>
      <w:r>
        <w:rPr>
          <w:b/>
        </w:rPr>
        <w:t xml:space="preserve"> is defined as only</w:t>
      </w:r>
      <w:r w:rsidR="00915E0F">
        <w:rPr>
          <w:b/>
        </w:rPr>
        <w:t xml:space="preserve"> </w:t>
      </w:r>
      <w:r w:rsidR="00915E0F" w:rsidRPr="00D96359">
        <w:rPr>
          <w:b/>
        </w:rPr>
        <w:t>test requirement</w:t>
      </w:r>
      <w:r>
        <w:rPr>
          <w:b/>
        </w:rPr>
        <w:t xml:space="preserve">, </w:t>
      </w:r>
      <w:r w:rsidR="00915E0F" w:rsidRPr="00D96359">
        <w:rPr>
          <w:b/>
        </w:rPr>
        <w:t>the extended legacy test</w:t>
      </w:r>
      <w:r w:rsidR="00915E0F">
        <w:rPr>
          <w:b/>
        </w:rPr>
        <w:t xml:space="preserve"> case should</w:t>
      </w:r>
      <w:r w:rsidR="00915E0F" w:rsidRPr="00D96359">
        <w:rPr>
          <w:b/>
        </w:rPr>
        <w:t xml:space="preserve"> </w:t>
      </w:r>
      <w:r w:rsidR="00CC26A3">
        <w:rPr>
          <w:b/>
        </w:rPr>
        <w:t xml:space="preserve">be </w:t>
      </w:r>
      <w:r w:rsidR="00915E0F" w:rsidRPr="00D96359">
        <w:rPr>
          <w:b/>
        </w:rPr>
        <w:t>conduct</w:t>
      </w:r>
      <w:r w:rsidR="00915E0F">
        <w:rPr>
          <w:b/>
        </w:rPr>
        <w:t xml:space="preserve">ed at a lowered </w:t>
      </w:r>
      <w:r w:rsidR="00915E0F" w:rsidRPr="00D96359">
        <w:rPr>
          <w:b/>
        </w:rPr>
        <w:t>CINR tes</w:t>
      </w:r>
      <w:r w:rsidR="00915E0F">
        <w:rPr>
          <w:b/>
        </w:rPr>
        <w:t xml:space="preserve">t point compared to the </w:t>
      </w:r>
      <w:r w:rsidR="00915E0F" w:rsidRPr="00D96359">
        <w:rPr>
          <w:b/>
        </w:rPr>
        <w:t>legacy 2Rx test case maintaining the same threshold requirement as legacy 2Rx test case.</w:t>
      </w:r>
      <w:r w:rsidR="00915E0F">
        <w:rPr>
          <w:b/>
        </w:rPr>
        <w:t xml:space="preserve"> We propose lowering the CINR test point by 4dB.</w:t>
      </w:r>
      <w:r>
        <w:rPr>
          <w:b/>
        </w:rPr>
        <w:t xml:space="preserve"> If, both </w:t>
      </w:r>
      <w:r w:rsidR="00CC26A3">
        <w:rPr>
          <w:b/>
        </w:rPr>
        <w:t xml:space="preserve">the </w:t>
      </w:r>
      <w:r w:rsidRPr="00D96359">
        <w:rPr>
          <w:b/>
        </w:rPr>
        <w:t>threshold</w:t>
      </w:r>
      <w:r w:rsidR="00CC26A3">
        <w:rPr>
          <w:b/>
        </w:rPr>
        <w:t>s,</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1</m:t>
            </m:r>
          </m:sub>
        </m:sSub>
      </m:oMath>
      <w:r>
        <w:rPr>
          <w:b/>
        </w:rPr>
        <w:t xml:space="preserve"> </w:t>
      </w:r>
      <w:proofErr w:type="gramStart"/>
      <w:r>
        <w:rPr>
          <w:b/>
        </w:rPr>
        <w:t xml:space="preserve">and </w:t>
      </w:r>
      <w:proofErr w:type="gramEnd"/>
      <m:oMath>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2</m:t>
            </m:r>
          </m:sub>
        </m:sSub>
      </m:oMath>
      <w:r w:rsidR="00CC26A3">
        <w:rPr>
          <w:b/>
        </w:rPr>
        <w:t>,</w:t>
      </w:r>
      <w:r>
        <w:rPr>
          <w:b/>
        </w:rPr>
        <w:t xml:space="preserve"> are defined for the same CINR test point, then the CINR test point should be lowered only to test the </w:t>
      </w:r>
      <w:r w:rsidR="008902EA">
        <w:rPr>
          <w:b/>
        </w:rPr>
        <w:t>threshold</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2</m:t>
            </m:r>
          </m:sub>
        </m:sSub>
      </m:oMath>
      <w:r>
        <w:rPr>
          <w:b/>
        </w:rPr>
        <w:t xml:space="preserve">. </w:t>
      </w:r>
    </w:p>
    <w:p w14:paraId="2E22DCBA" w14:textId="77777777" w:rsidR="00AA3A56" w:rsidRDefault="00AA3A56" w:rsidP="00DE5677">
      <w:pPr>
        <w:pStyle w:val="Heading2"/>
        <w:spacing w:line="276" w:lineRule="auto"/>
        <w:rPr>
          <w:rFonts w:ascii="Times New Roman" w:hAnsi="Times New Roman"/>
          <w:lang w:val="en-US"/>
        </w:rPr>
      </w:pPr>
      <w:r>
        <w:rPr>
          <w:rFonts w:ascii="Times New Roman" w:hAnsi="Times New Roman"/>
          <w:lang w:val="en-US"/>
        </w:rPr>
        <w:t xml:space="preserve">Concurrency of </w:t>
      </w:r>
      <w:r w:rsidR="00DE5677">
        <w:rPr>
          <w:rFonts w:ascii="Times New Roman" w:hAnsi="Times New Roman"/>
          <w:lang w:val="en-US"/>
        </w:rPr>
        <w:t xml:space="preserve">advance Rx </w:t>
      </w:r>
      <w:r>
        <w:rPr>
          <w:rFonts w:ascii="Times New Roman" w:hAnsi="Times New Roman"/>
          <w:lang w:val="en-US"/>
        </w:rPr>
        <w:t>features</w:t>
      </w:r>
      <w:r w:rsidR="00DE5677">
        <w:rPr>
          <w:rFonts w:ascii="Times New Roman" w:hAnsi="Times New Roman"/>
          <w:lang w:val="en-US"/>
        </w:rPr>
        <w:t xml:space="preserve"> with 4Rx</w:t>
      </w:r>
    </w:p>
    <w:p w14:paraId="0A7A8F62" w14:textId="77777777" w:rsidR="005E4CAB" w:rsidRDefault="00B06AED" w:rsidP="00DE5677">
      <w:pPr>
        <w:spacing w:line="276" w:lineRule="auto"/>
        <w:rPr>
          <w:lang w:val="en-US"/>
        </w:rPr>
      </w:pPr>
      <w:r w:rsidRPr="00DE5677">
        <w:rPr>
          <w:lang w:val="en-US"/>
        </w:rPr>
        <w:t xml:space="preserve">So far, RAN4 has not discussed the concurrency of all the advanced Rx </w:t>
      </w:r>
      <w:r w:rsidR="009C3236" w:rsidRPr="00DE5677">
        <w:rPr>
          <w:lang w:val="en-US"/>
        </w:rPr>
        <w:t xml:space="preserve">features with 4Rx. For instance, Rel11 onwards, </w:t>
      </w:r>
      <w:proofErr w:type="spellStart"/>
      <w:r w:rsidRPr="00DE5677">
        <w:rPr>
          <w:lang w:val="en-US"/>
        </w:rPr>
        <w:t>FeICIC</w:t>
      </w:r>
      <w:proofErr w:type="spellEnd"/>
      <w:r w:rsidRPr="00DE5677">
        <w:rPr>
          <w:lang w:val="en-US"/>
        </w:rPr>
        <w:t xml:space="preserve"> is a mandatory feature</w:t>
      </w:r>
      <w:r w:rsidR="009C3236" w:rsidRPr="00DE5677">
        <w:rPr>
          <w:lang w:val="en-US"/>
        </w:rPr>
        <w:t xml:space="preserve"> for 2Rx. However, concurrency of 4Rx and </w:t>
      </w:r>
      <w:proofErr w:type="spellStart"/>
      <w:r w:rsidR="009C3236" w:rsidRPr="00DE5677">
        <w:rPr>
          <w:lang w:val="en-US"/>
        </w:rPr>
        <w:t>FeICIC</w:t>
      </w:r>
      <w:proofErr w:type="spellEnd"/>
      <w:r w:rsidR="009C3236" w:rsidRPr="00DE5677">
        <w:rPr>
          <w:lang w:val="en-US"/>
        </w:rPr>
        <w:t xml:space="preserve"> </w:t>
      </w:r>
      <w:r w:rsidR="00550AAF">
        <w:rPr>
          <w:lang w:val="en-US"/>
        </w:rPr>
        <w:t xml:space="preserve">is </w:t>
      </w:r>
      <w:r w:rsidR="009C3236" w:rsidRPr="00DE5677">
        <w:rPr>
          <w:lang w:val="en-US"/>
        </w:rPr>
        <w:t xml:space="preserve">not yet </w:t>
      </w:r>
      <w:r w:rsidR="00550AAF">
        <w:rPr>
          <w:lang w:val="en-US"/>
        </w:rPr>
        <w:t>m</w:t>
      </w:r>
      <w:r w:rsidR="009C3236" w:rsidRPr="00DE5677">
        <w:rPr>
          <w:lang w:val="en-US"/>
        </w:rPr>
        <w:t xml:space="preserve">andatory. It is </w:t>
      </w:r>
      <w:r w:rsidR="00DE5677">
        <w:rPr>
          <w:lang w:val="en-US"/>
        </w:rPr>
        <w:t xml:space="preserve">possible that to conserve baseband processing UE vendors can choose to not operate 4Rx and </w:t>
      </w:r>
      <w:proofErr w:type="spellStart"/>
      <w:r w:rsidR="00DE5677">
        <w:rPr>
          <w:lang w:val="en-US"/>
        </w:rPr>
        <w:t>FeICIC</w:t>
      </w:r>
      <w:proofErr w:type="spellEnd"/>
      <w:r w:rsidR="009C3236" w:rsidRPr="00DE5677">
        <w:rPr>
          <w:lang w:val="en-US"/>
        </w:rPr>
        <w:t xml:space="preserve"> </w:t>
      </w:r>
      <w:r w:rsidR="009505F0">
        <w:rPr>
          <w:lang w:val="en-US"/>
        </w:rPr>
        <w:t>concurrently. Such argument holds for any advanced Rx feature that is not mandatory along with 4Rx.</w:t>
      </w:r>
      <w:r w:rsidR="004F6999">
        <w:rPr>
          <w:lang w:val="en-US"/>
        </w:rPr>
        <w:t xml:space="preserve"> Thus, in a network deployment that supports an advanced Rx feature, </w:t>
      </w:r>
      <w:r w:rsidR="005E4CAB">
        <w:rPr>
          <w:lang w:val="en-US"/>
        </w:rPr>
        <w:t>even Type 2 UE</w:t>
      </w:r>
      <w:r w:rsidR="005B69B1">
        <w:rPr>
          <w:lang w:val="en-US"/>
        </w:rPr>
        <w:t>s can operate with the following algorithms</w:t>
      </w:r>
    </w:p>
    <w:p w14:paraId="1ADB64D7" w14:textId="77777777" w:rsidR="005E4CAB" w:rsidRDefault="008A788E" w:rsidP="005E4CAB">
      <w:pPr>
        <w:pStyle w:val="ListParagraph"/>
        <w:numPr>
          <w:ilvl w:val="0"/>
          <w:numId w:val="13"/>
        </w:numPr>
        <w:spacing w:line="276" w:lineRule="auto"/>
        <w:rPr>
          <w:lang w:val="en-US"/>
        </w:rPr>
      </w:pPr>
      <w:r>
        <w:rPr>
          <w:lang w:val="en-US"/>
        </w:rPr>
        <w:lastRenderedPageBreak/>
        <w:t xml:space="preserve">Algorithm 1: </w:t>
      </w:r>
      <w:r w:rsidR="005E4CAB">
        <w:rPr>
          <w:lang w:val="en-US"/>
        </w:rPr>
        <w:t xml:space="preserve">UE </w:t>
      </w:r>
      <w:r w:rsidR="004F6999" w:rsidRPr="005E4CAB">
        <w:rPr>
          <w:lang w:val="en-US"/>
        </w:rPr>
        <w:t>operate</w:t>
      </w:r>
      <w:r w:rsidR="005E4CAB">
        <w:rPr>
          <w:lang w:val="en-US"/>
        </w:rPr>
        <w:t>s</w:t>
      </w:r>
      <w:r w:rsidR="004F6999" w:rsidRPr="005E4CAB">
        <w:rPr>
          <w:lang w:val="en-US"/>
        </w:rPr>
        <w:t xml:space="preserve"> as a 2Rx advanced Rx UE </w:t>
      </w:r>
    </w:p>
    <w:p w14:paraId="53B36309" w14:textId="59E50C94" w:rsidR="005E4CAB" w:rsidRDefault="008A788E" w:rsidP="005E4CAB">
      <w:pPr>
        <w:pStyle w:val="ListParagraph"/>
        <w:numPr>
          <w:ilvl w:val="0"/>
          <w:numId w:val="13"/>
        </w:numPr>
        <w:spacing w:line="276" w:lineRule="auto"/>
        <w:rPr>
          <w:lang w:val="en-US"/>
        </w:rPr>
      </w:pPr>
      <w:r>
        <w:rPr>
          <w:lang w:val="en-US"/>
        </w:rPr>
        <w:t xml:space="preserve">Algorithm </w:t>
      </w:r>
      <w:r w:rsidR="00134536">
        <w:rPr>
          <w:lang w:val="en-US"/>
        </w:rPr>
        <w:t>2</w:t>
      </w:r>
      <w:r>
        <w:rPr>
          <w:lang w:val="en-US"/>
        </w:rPr>
        <w:t xml:space="preserve">: </w:t>
      </w:r>
      <w:r w:rsidR="005E4CAB">
        <w:rPr>
          <w:lang w:val="en-US"/>
        </w:rPr>
        <w:t>UE operates as a 4Rx UE while supporting the advanced Rx feature</w:t>
      </w:r>
    </w:p>
    <w:p w14:paraId="23EB4216" w14:textId="52AF6982" w:rsidR="00465440" w:rsidRDefault="008A788E" w:rsidP="00465440">
      <w:pPr>
        <w:spacing w:line="276" w:lineRule="auto"/>
        <w:rPr>
          <w:lang w:val="en-US"/>
        </w:rPr>
      </w:pPr>
      <w:r>
        <w:rPr>
          <w:lang w:val="en-US"/>
        </w:rPr>
        <w:t>From the above possibilities, we note that there is a valid possibili</w:t>
      </w:r>
      <w:r w:rsidR="003410BF">
        <w:rPr>
          <w:lang w:val="en-US"/>
        </w:rPr>
        <w:t xml:space="preserve">ty that even a </w:t>
      </w:r>
      <w:r>
        <w:rPr>
          <w:lang w:val="en-US"/>
        </w:rPr>
        <w:t xml:space="preserve">Type 2 4Rx UE </w:t>
      </w:r>
      <w:r w:rsidR="00AA176E">
        <w:rPr>
          <w:lang w:val="en-US"/>
        </w:rPr>
        <w:t xml:space="preserve">(even with continuous scheduling) </w:t>
      </w:r>
      <w:r>
        <w:rPr>
          <w:lang w:val="en-US"/>
        </w:rPr>
        <w:t xml:space="preserve">can operate as </w:t>
      </w:r>
      <w:r w:rsidR="00AA176E">
        <w:rPr>
          <w:lang w:val="en-US"/>
        </w:rPr>
        <w:t xml:space="preserve">a 2Rx UE. </w:t>
      </w:r>
      <w:r w:rsidR="00F25855">
        <w:rPr>
          <w:lang w:val="en-US"/>
        </w:rPr>
        <w:t xml:space="preserve">For UEs following Algorithm 1, the test should have identical test point and requirement as the </w:t>
      </w:r>
      <w:r w:rsidR="005E4CAB" w:rsidRPr="005E4CAB">
        <w:rPr>
          <w:lang w:val="en-US"/>
        </w:rPr>
        <w:t>legacy test case itself</w:t>
      </w:r>
      <w:r w:rsidR="00F25855">
        <w:rPr>
          <w:lang w:val="en-US"/>
        </w:rPr>
        <w:t>. However, current</w:t>
      </w:r>
      <w:r w:rsidR="00816D5E">
        <w:rPr>
          <w:lang w:val="en-US"/>
        </w:rPr>
        <w:t xml:space="preserve">ly there is no way to determine if </w:t>
      </w:r>
      <w:r w:rsidR="008B5820">
        <w:rPr>
          <w:lang w:val="en-US"/>
        </w:rPr>
        <w:t xml:space="preserve">a </w:t>
      </w:r>
      <w:r w:rsidR="00F25855">
        <w:rPr>
          <w:lang w:val="en-US"/>
        </w:rPr>
        <w:t xml:space="preserve">4Rx UE will choose to operate with </w:t>
      </w:r>
      <w:r w:rsidR="007E290B" w:rsidRPr="007E290B">
        <w:rPr>
          <w:lang w:val="en-US"/>
        </w:rPr>
        <w:t>Algorithm 1</w:t>
      </w:r>
      <w:r w:rsidR="00134536">
        <w:rPr>
          <w:lang w:val="en-US"/>
        </w:rPr>
        <w:t xml:space="preserve"> or</w:t>
      </w:r>
      <w:r w:rsidR="00CD4A4E">
        <w:rPr>
          <w:lang w:val="en-US"/>
        </w:rPr>
        <w:t xml:space="preserve"> </w:t>
      </w:r>
      <w:r w:rsidR="007E290B" w:rsidRPr="007E290B">
        <w:rPr>
          <w:lang w:val="en-US"/>
        </w:rPr>
        <w:t>2</w:t>
      </w:r>
      <w:r w:rsidR="003411E5">
        <w:rPr>
          <w:lang w:val="en-US"/>
        </w:rPr>
        <w:t>.</w:t>
      </w:r>
      <w:r w:rsidR="00306D46">
        <w:rPr>
          <w:lang w:val="en-US"/>
        </w:rPr>
        <w:t xml:space="preserve"> Hence to</w:t>
      </w:r>
      <w:r w:rsidR="00465440">
        <w:rPr>
          <w:lang w:val="en-US"/>
        </w:rPr>
        <w:t xml:space="preserve"> avoid penalizing UEs that choose to operate with Algorithm 1, we propose</w:t>
      </w:r>
      <w:r w:rsidR="007E290B">
        <w:rPr>
          <w:lang w:val="en-US"/>
        </w:rPr>
        <w:t xml:space="preserve"> that </w:t>
      </w:r>
      <w:r w:rsidR="002C3D37">
        <w:rPr>
          <w:lang w:val="en-US"/>
        </w:rPr>
        <w:t xml:space="preserve">for all test case configurations (which are designed to test an advanced Rx feature), and where concurrent operation of an advanced Rx feature and </w:t>
      </w:r>
      <w:r w:rsidR="007E290B">
        <w:rPr>
          <w:lang w:val="en-US"/>
        </w:rPr>
        <w:t xml:space="preserve">4Rx </w:t>
      </w:r>
      <w:r w:rsidR="002C3D37">
        <w:rPr>
          <w:lang w:val="en-US"/>
        </w:rPr>
        <w:t>is no</w:t>
      </w:r>
      <w:r w:rsidR="00832A61">
        <w:rPr>
          <w:lang w:val="en-US"/>
        </w:rPr>
        <w:t>t mandatory, we define two tests</w:t>
      </w:r>
    </w:p>
    <w:p w14:paraId="13531C76" w14:textId="77777777" w:rsidR="00B06AED" w:rsidRDefault="00465440" w:rsidP="00B60463">
      <w:pPr>
        <w:pStyle w:val="ListParagraph"/>
        <w:numPr>
          <w:ilvl w:val="0"/>
          <w:numId w:val="15"/>
        </w:numPr>
        <w:spacing w:line="276" w:lineRule="auto"/>
        <w:rPr>
          <w:lang w:val="en-US"/>
        </w:rPr>
      </w:pPr>
      <w:r w:rsidRPr="00465440">
        <w:rPr>
          <w:lang w:val="en-US"/>
        </w:rPr>
        <w:t xml:space="preserve">Extended-legacy-test1: Extended legacy test case (i.e., legacy test case extended to 4Rx antenna correlation) </w:t>
      </w:r>
      <w:r>
        <w:rPr>
          <w:lang w:val="en-US"/>
        </w:rPr>
        <w:t>at the new test point (as described in Section 2.2)</w:t>
      </w:r>
    </w:p>
    <w:p w14:paraId="7677A5DE" w14:textId="77777777" w:rsidR="00465440" w:rsidRDefault="00465440" w:rsidP="00B60463">
      <w:pPr>
        <w:pStyle w:val="ListParagraph"/>
        <w:numPr>
          <w:ilvl w:val="0"/>
          <w:numId w:val="15"/>
        </w:numPr>
        <w:spacing w:line="276" w:lineRule="auto"/>
        <w:rPr>
          <w:lang w:val="en-US"/>
        </w:rPr>
      </w:pPr>
      <w:r>
        <w:rPr>
          <w:lang w:val="en-US"/>
        </w:rPr>
        <w:t>Extended-legacy-test2: Extended legacy test case (</w:t>
      </w:r>
      <w:r w:rsidRPr="00465440">
        <w:rPr>
          <w:lang w:val="en-US"/>
        </w:rPr>
        <w:t>i.e., legacy test case extended to 4Rx antenna correlation</w:t>
      </w:r>
      <w:r>
        <w:rPr>
          <w:lang w:val="en-US"/>
        </w:rPr>
        <w:t>) at the same test point as legacy 2Rx test case</w:t>
      </w:r>
    </w:p>
    <w:p w14:paraId="67232F08" w14:textId="04934A86" w:rsidR="00465440" w:rsidRDefault="00832A61" w:rsidP="00465440">
      <w:pPr>
        <w:spacing w:line="276" w:lineRule="auto"/>
        <w:rPr>
          <w:lang w:val="en-US"/>
        </w:rPr>
      </w:pPr>
      <w:r>
        <w:rPr>
          <w:lang w:val="en-US"/>
        </w:rPr>
        <w:t xml:space="preserve">UE will need to pass at least one two tests above to consider passing the overall test. </w:t>
      </w:r>
      <w:r w:rsidR="0042686D">
        <w:rPr>
          <w:lang w:val="en-US"/>
        </w:rPr>
        <w:t xml:space="preserve">We note that, in Section 2.2, we proposed modifying the CINR test point </w:t>
      </w:r>
      <w:r w:rsidR="00880731">
        <w:rPr>
          <w:lang w:val="en-US"/>
        </w:rPr>
        <w:t>for</w:t>
      </w:r>
      <w:r w:rsidR="00BF3343">
        <w:rPr>
          <w:lang w:val="en-US"/>
        </w:rPr>
        <w:t xml:space="preserve"> some of the RI test cases and all</w:t>
      </w:r>
      <w:r w:rsidR="0042686D">
        <w:rPr>
          <w:lang w:val="en-US"/>
        </w:rPr>
        <w:t xml:space="preserve"> CQI test cases. Hence the above argument is applicable only to </w:t>
      </w:r>
      <w:r w:rsidR="00F83DC2">
        <w:rPr>
          <w:lang w:val="en-US"/>
        </w:rPr>
        <w:t>a subset of</w:t>
      </w:r>
      <w:r w:rsidR="0042686D">
        <w:rPr>
          <w:lang w:val="en-US"/>
        </w:rPr>
        <w:t xml:space="preserve"> </w:t>
      </w:r>
      <w:r w:rsidR="00BF3343">
        <w:rPr>
          <w:lang w:val="en-US"/>
        </w:rPr>
        <w:t xml:space="preserve">RI and </w:t>
      </w:r>
      <w:r w:rsidR="0042686D">
        <w:rPr>
          <w:lang w:val="en-US"/>
        </w:rPr>
        <w:t>CQI test cases. In particular, the following test cases for TS-36.101 will be impacted</w:t>
      </w:r>
    </w:p>
    <w:p w14:paraId="687853F0" w14:textId="3C9F0FE0" w:rsidR="008902EA" w:rsidRDefault="008902EA" w:rsidP="0042686D">
      <w:pPr>
        <w:pStyle w:val="ListParagraph"/>
        <w:numPr>
          <w:ilvl w:val="0"/>
          <w:numId w:val="16"/>
        </w:numPr>
        <w:spacing w:line="276" w:lineRule="auto"/>
        <w:rPr>
          <w:lang w:val="en-US"/>
        </w:rPr>
      </w:pPr>
      <w:r>
        <w:rPr>
          <w:lang w:val="en-US"/>
        </w:rPr>
        <w:t xml:space="preserve">RI test cases with CRS assistance information: </w:t>
      </w:r>
      <w:r w:rsidRPr="00D95B2C">
        <w:rPr>
          <w:lang w:eastAsia="ko-KR"/>
        </w:rPr>
        <w:t>9.5.</w:t>
      </w:r>
      <w:r w:rsidRPr="00D95B2C">
        <w:rPr>
          <w:rFonts w:hint="eastAsia"/>
          <w:lang w:eastAsia="zh-CN"/>
        </w:rPr>
        <w:t>4</w:t>
      </w:r>
      <w:r w:rsidRPr="00D95B2C">
        <w:rPr>
          <w:lang w:eastAsia="ko-KR"/>
        </w:rPr>
        <w:t>.1</w:t>
      </w:r>
      <w:r>
        <w:rPr>
          <w:lang w:eastAsia="ko-KR"/>
        </w:rPr>
        <w:t xml:space="preserve">, </w:t>
      </w:r>
      <w:r w:rsidRPr="00D95B2C">
        <w:rPr>
          <w:lang w:eastAsia="ko-KR"/>
        </w:rPr>
        <w:t>9.5.</w:t>
      </w:r>
      <w:r w:rsidRPr="00D95B2C">
        <w:rPr>
          <w:rFonts w:hint="eastAsia"/>
          <w:lang w:eastAsia="zh-CN"/>
        </w:rPr>
        <w:t>4</w:t>
      </w:r>
      <w:r w:rsidRPr="00D95B2C">
        <w:rPr>
          <w:lang w:eastAsia="ko-KR"/>
        </w:rPr>
        <w:t>.</w:t>
      </w:r>
      <w:r w:rsidRPr="00D95B2C">
        <w:rPr>
          <w:rFonts w:hint="eastAsia"/>
          <w:lang w:eastAsia="zh-CN"/>
        </w:rPr>
        <w:t>2</w:t>
      </w:r>
    </w:p>
    <w:p w14:paraId="4BD029A3" w14:textId="77777777" w:rsidR="0042686D" w:rsidRDefault="0042686D" w:rsidP="0042686D">
      <w:pPr>
        <w:pStyle w:val="ListParagraph"/>
        <w:numPr>
          <w:ilvl w:val="0"/>
          <w:numId w:val="16"/>
        </w:numPr>
        <w:spacing w:line="276" w:lineRule="auto"/>
        <w:rPr>
          <w:lang w:val="en-US"/>
        </w:rPr>
      </w:pPr>
      <w:r>
        <w:rPr>
          <w:lang w:val="en-US"/>
        </w:rPr>
        <w:t>CQI test cases with CRS assistance information: 9.2.1.5, 9.2.1.6, 9.3.1.1.3, 9.3.1.1.4</w:t>
      </w:r>
    </w:p>
    <w:p w14:paraId="0BDA22FE" w14:textId="77777777" w:rsidR="0042686D" w:rsidRDefault="0042686D" w:rsidP="0042686D">
      <w:pPr>
        <w:pStyle w:val="ListParagraph"/>
        <w:numPr>
          <w:ilvl w:val="0"/>
          <w:numId w:val="16"/>
        </w:numPr>
        <w:spacing w:line="276" w:lineRule="auto"/>
        <w:rPr>
          <w:lang w:val="en-US"/>
        </w:rPr>
      </w:pPr>
      <w:r>
        <w:rPr>
          <w:lang w:val="en-US"/>
        </w:rPr>
        <w:t>CQI test cases with enhanced receiver Type B: All test cases in 9.3.8 (6 in total)</w:t>
      </w:r>
    </w:p>
    <w:p w14:paraId="3BD16D19" w14:textId="626F8508" w:rsidR="00901E59" w:rsidRPr="00C8270E" w:rsidRDefault="00660BFD" w:rsidP="00C8270E">
      <w:pPr>
        <w:spacing w:line="276" w:lineRule="auto"/>
        <w:rPr>
          <w:b/>
          <w:lang w:val="en-US"/>
        </w:rPr>
      </w:pPr>
      <w:r>
        <w:rPr>
          <w:b/>
          <w:lang w:val="en-US"/>
        </w:rPr>
        <w:t>Proposal 8</w:t>
      </w:r>
      <w:r w:rsidR="00901E59" w:rsidRPr="00901E59">
        <w:rPr>
          <w:b/>
          <w:lang w:val="en-US"/>
        </w:rPr>
        <w:t>:</w:t>
      </w:r>
      <w:r w:rsidR="00901E59">
        <w:rPr>
          <w:b/>
          <w:lang w:val="en-US"/>
        </w:rPr>
        <w:t xml:space="preserve"> For any test case, if the test case </w:t>
      </w:r>
      <w:r w:rsidR="0057029F">
        <w:rPr>
          <w:b/>
          <w:lang w:val="en-US"/>
        </w:rPr>
        <w:t>is configured to test an advanced Rx feature, and if it is not mandatory to run 4Rx and the advanced Rx feature concurrently</w:t>
      </w:r>
      <w:r w:rsidR="00901E59">
        <w:rPr>
          <w:b/>
          <w:lang w:val="en-US"/>
        </w:rPr>
        <w:t>,</w:t>
      </w:r>
      <w:r w:rsidR="0057029F">
        <w:rPr>
          <w:b/>
          <w:lang w:val="en-US"/>
        </w:rPr>
        <w:t xml:space="preserve"> then </w:t>
      </w:r>
      <w:r w:rsidR="00353108">
        <w:rPr>
          <w:b/>
          <w:lang w:val="en-US"/>
        </w:rPr>
        <w:t>w</w:t>
      </w:r>
      <w:r w:rsidR="00C8270E">
        <w:rPr>
          <w:b/>
          <w:lang w:val="en-US"/>
        </w:rPr>
        <w:t>e propose that</w:t>
      </w:r>
      <w:r w:rsidR="00832A61" w:rsidRPr="00C8270E">
        <w:rPr>
          <w:b/>
          <w:lang w:val="en-US"/>
        </w:rPr>
        <w:t xml:space="preserve"> UE </w:t>
      </w:r>
      <w:r w:rsidR="00C8270E">
        <w:rPr>
          <w:b/>
          <w:lang w:val="en-US"/>
        </w:rPr>
        <w:t xml:space="preserve">needs to pass at least one of the </w:t>
      </w:r>
      <w:r w:rsidR="00832A61" w:rsidRPr="00C8270E">
        <w:rPr>
          <w:b/>
          <w:lang w:val="en-US"/>
        </w:rPr>
        <w:t>f</w:t>
      </w:r>
      <w:r w:rsidR="00901E59" w:rsidRPr="00C8270E">
        <w:rPr>
          <w:b/>
          <w:lang w:val="en-US"/>
        </w:rPr>
        <w:t>ollowing two tests</w:t>
      </w:r>
    </w:p>
    <w:p w14:paraId="6C531F56" w14:textId="77777777" w:rsidR="00901E59" w:rsidRPr="00901E59" w:rsidRDefault="00901E59" w:rsidP="00901E59">
      <w:pPr>
        <w:pStyle w:val="ListParagraph"/>
        <w:numPr>
          <w:ilvl w:val="1"/>
          <w:numId w:val="15"/>
        </w:numPr>
        <w:spacing w:line="276" w:lineRule="auto"/>
        <w:rPr>
          <w:b/>
          <w:lang w:val="en-US"/>
        </w:rPr>
      </w:pPr>
      <w:r w:rsidRPr="00901E59">
        <w:rPr>
          <w:b/>
          <w:lang w:val="en-US"/>
        </w:rPr>
        <w:t xml:space="preserve">Extended-legacy-test1: </w:t>
      </w:r>
      <w:r w:rsidRPr="00901E59">
        <w:rPr>
          <w:lang w:val="en-US"/>
        </w:rPr>
        <w:t>Extended legacy test case (i.e., legacy test case extended to 4Rx antenna correlation) at the new test point (as described in Section 2.2)</w:t>
      </w:r>
    </w:p>
    <w:p w14:paraId="55DF666F" w14:textId="690D0856" w:rsidR="00901E59" w:rsidRPr="00C8270E" w:rsidRDefault="00901E59" w:rsidP="009524EC">
      <w:pPr>
        <w:pStyle w:val="ListParagraph"/>
        <w:numPr>
          <w:ilvl w:val="1"/>
          <w:numId w:val="15"/>
        </w:numPr>
        <w:spacing w:line="276" w:lineRule="auto"/>
        <w:rPr>
          <w:b/>
          <w:lang w:val="en-US"/>
        </w:rPr>
      </w:pPr>
      <w:r w:rsidRPr="00C8270E">
        <w:rPr>
          <w:b/>
          <w:lang w:val="en-US"/>
        </w:rPr>
        <w:t xml:space="preserve">Extended-legacy-test2: </w:t>
      </w:r>
      <w:r w:rsidRPr="00C8270E">
        <w:rPr>
          <w:lang w:val="en-US"/>
        </w:rPr>
        <w:t>Extended legacy test case (i.e., legacy test case extended to 4Rx antenna correlation) at the same test point as legacy 2Rx test case</w:t>
      </w:r>
    </w:p>
    <w:p w14:paraId="4D9234A4" w14:textId="77777777" w:rsidR="007C4A69" w:rsidRPr="00C8270E" w:rsidRDefault="007C4A69" w:rsidP="00700C5C">
      <w:pPr>
        <w:pStyle w:val="Heading1"/>
        <w:spacing w:line="276" w:lineRule="auto"/>
        <w:rPr>
          <w:rFonts w:cs="Arial"/>
          <w:lang w:val="en-US"/>
        </w:rPr>
      </w:pPr>
      <w:r w:rsidRPr="00C8270E">
        <w:rPr>
          <w:rFonts w:cs="Arial"/>
          <w:lang w:val="en-US"/>
        </w:rPr>
        <w:t>Conclusion</w:t>
      </w:r>
    </w:p>
    <w:p w14:paraId="29491099" w14:textId="1F3E65CD" w:rsidR="00D93FA3" w:rsidRDefault="00706D6F" w:rsidP="00706D6F">
      <w:pPr>
        <w:rPr>
          <w:lang w:val="en-US"/>
        </w:rPr>
      </w:pPr>
      <w:r w:rsidRPr="008525F2">
        <w:rPr>
          <w:lang w:val="en-US"/>
        </w:rPr>
        <w:t>In this contribution, we make the following proposals for extending and modifying the legacy 2Rx test cases to verify performance of a 4Rx UE.</w:t>
      </w:r>
    </w:p>
    <w:p w14:paraId="730E8489" w14:textId="77777777" w:rsidR="00D93FA3" w:rsidRPr="00CB698E" w:rsidRDefault="00D93FA3" w:rsidP="00D93FA3">
      <w:pPr>
        <w:spacing w:line="276" w:lineRule="auto"/>
        <w:rPr>
          <w:b/>
          <w:lang w:val="en-US"/>
        </w:rPr>
      </w:pPr>
      <w:r>
        <w:rPr>
          <w:b/>
        </w:rPr>
        <w:t>Proposal 1</w:t>
      </w:r>
      <w:r w:rsidRPr="008525F2">
        <w:rPr>
          <w:b/>
        </w:rPr>
        <w:t xml:space="preserve">: </w:t>
      </w:r>
      <w:r w:rsidRPr="00CB698E">
        <w:rPr>
          <w:b/>
          <w:lang w:val="en-US"/>
        </w:rPr>
        <w:t xml:space="preserve">Legacy 2Rx test cases can be extended to 4Rx such that the correlation matrix corresponding to the </w:t>
      </w:r>
      <w:proofErr w:type="spellStart"/>
      <w:r w:rsidRPr="00CB698E">
        <w:rPr>
          <w:b/>
          <w:lang w:val="en-US"/>
        </w:rPr>
        <w:t>NTx</w:t>
      </w:r>
      <w:proofErr w:type="spellEnd"/>
      <w:r w:rsidRPr="00CB698E">
        <w:rPr>
          <w:b/>
          <w:lang w:val="en-US"/>
        </w:rPr>
        <w:t xml:space="preserve"> x 4 antenna configuration is:</w:t>
      </w:r>
    </w:p>
    <w:p w14:paraId="0EFF7C80" w14:textId="77777777" w:rsidR="00D93FA3" w:rsidRPr="00CB698E" w:rsidRDefault="00D93FA3" w:rsidP="00D93FA3">
      <w:pPr>
        <w:pStyle w:val="ListParagraph"/>
        <w:numPr>
          <w:ilvl w:val="0"/>
          <w:numId w:val="9"/>
        </w:numPr>
        <w:spacing w:line="276" w:lineRule="auto"/>
        <w:rPr>
          <w:b/>
          <w:lang w:val="en-US"/>
        </w:rPr>
      </w:pPr>
      <w:r w:rsidRPr="00CB698E">
        <w:rPr>
          <w:b/>
          <w:lang w:val="en-US"/>
        </w:rPr>
        <w:t xml:space="preserve">Obtained by setting </w:t>
      </w:r>
      <w:proofErr w:type="spellStart"/>
      <w:proofErr w:type="gramStart"/>
      <w:r w:rsidRPr="00CB698E">
        <w:rPr>
          <w:b/>
          <w:lang w:val="en-US"/>
        </w:rPr>
        <w:t>Tx</w:t>
      </w:r>
      <w:proofErr w:type="spellEnd"/>
      <w:proofErr w:type="gramEnd"/>
      <w:r w:rsidRPr="00CB698E">
        <w:rPr>
          <w:b/>
          <w:lang w:val="en-US"/>
        </w:rPr>
        <w:t xml:space="preserve"> correlation α = 0, and Rx correlation β= 0, if the legacy test case was tested under low correlation.</w:t>
      </w:r>
    </w:p>
    <w:p w14:paraId="7A57F05F" w14:textId="77777777" w:rsidR="00D93FA3" w:rsidRPr="00CB698E" w:rsidRDefault="00D93FA3" w:rsidP="00D93FA3">
      <w:pPr>
        <w:pStyle w:val="ListParagraph"/>
        <w:numPr>
          <w:ilvl w:val="0"/>
          <w:numId w:val="9"/>
        </w:numPr>
        <w:spacing w:line="276" w:lineRule="auto"/>
        <w:rPr>
          <w:b/>
          <w:lang w:val="en-US"/>
        </w:rPr>
      </w:pPr>
      <w:r w:rsidRPr="00CB698E">
        <w:rPr>
          <w:b/>
          <w:lang w:val="en-US"/>
        </w:rPr>
        <w:t xml:space="preserve">Obtained by setting </w:t>
      </w:r>
      <w:proofErr w:type="spellStart"/>
      <w:proofErr w:type="gramStart"/>
      <w:r w:rsidRPr="00CB698E">
        <w:rPr>
          <w:b/>
          <w:lang w:val="en-US"/>
        </w:rPr>
        <w:t>Tx</w:t>
      </w:r>
      <w:proofErr w:type="spellEnd"/>
      <w:proofErr w:type="gramEnd"/>
      <w:r w:rsidRPr="00CB698E">
        <w:rPr>
          <w:b/>
          <w:lang w:val="en-US"/>
        </w:rPr>
        <w:t xml:space="preserve"> correlation α = 0.9, and Rx correlation β= 0.9, if the legacy test case was tested under high correlation.</w:t>
      </w:r>
    </w:p>
    <w:p w14:paraId="1AAD5D5B" w14:textId="77777777" w:rsidR="00D93FA3" w:rsidRDefault="00D93FA3" w:rsidP="00D93FA3">
      <w:pPr>
        <w:pStyle w:val="ListParagraph"/>
        <w:numPr>
          <w:ilvl w:val="0"/>
          <w:numId w:val="9"/>
        </w:numPr>
        <w:spacing w:line="276" w:lineRule="auto"/>
        <w:rPr>
          <w:b/>
          <w:lang w:val="en-US"/>
        </w:rPr>
      </w:pPr>
      <w:r w:rsidRPr="00CB698E">
        <w:rPr>
          <w:b/>
          <w:lang w:val="en-US"/>
        </w:rPr>
        <w:t>Obtained by considering the new medium correlation under study in RAN4, if the legacy test case was tested under medium correlation</w:t>
      </w:r>
      <w:r w:rsidRPr="008525F2">
        <w:rPr>
          <w:b/>
          <w:lang w:val="en-US"/>
        </w:rPr>
        <w:t>.</w:t>
      </w:r>
    </w:p>
    <w:p w14:paraId="07E334D1" w14:textId="77777777" w:rsidR="00D93FA3" w:rsidRDefault="00D93FA3" w:rsidP="00D93FA3">
      <w:pPr>
        <w:spacing w:line="276" w:lineRule="auto"/>
        <w:rPr>
          <w:b/>
          <w:lang w:val="en-US"/>
        </w:rPr>
      </w:pPr>
      <w:r w:rsidRPr="00D93FA3">
        <w:rPr>
          <w:b/>
          <w:lang w:val="en-US"/>
        </w:rPr>
        <w:lastRenderedPageBreak/>
        <w:t xml:space="preserve">Proposal 2: Legacy test cases, where the channel profile is specified by the same multipath profile for each </w:t>
      </w:r>
      <w:proofErr w:type="spellStart"/>
      <w:r w:rsidRPr="00D93FA3">
        <w:rPr>
          <w:b/>
          <w:lang w:val="en-US"/>
        </w:rPr>
        <w:t>Tx</w:t>
      </w:r>
      <w:proofErr w:type="spellEnd"/>
      <w:r w:rsidRPr="00D93FA3">
        <w:rPr>
          <w:b/>
          <w:lang w:val="en-US"/>
        </w:rPr>
        <w:t xml:space="preserve">-Rx pair, can be extended to 4Rx by applying the same multipath profile (identical to the one for all </w:t>
      </w:r>
      <w:proofErr w:type="spellStart"/>
      <w:r w:rsidRPr="00D93FA3">
        <w:rPr>
          <w:b/>
          <w:lang w:val="en-US"/>
        </w:rPr>
        <w:t>Tx</w:t>
      </w:r>
      <w:proofErr w:type="spellEnd"/>
      <w:r w:rsidRPr="00D93FA3">
        <w:rPr>
          <w:b/>
          <w:lang w:val="en-US"/>
        </w:rPr>
        <w:t xml:space="preserve">-Rx pair in legacy test case) for all </w:t>
      </w:r>
      <w:proofErr w:type="spellStart"/>
      <w:r w:rsidRPr="00D93FA3">
        <w:rPr>
          <w:b/>
          <w:lang w:val="en-US"/>
        </w:rPr>
        <w:t>NTx</w:t>
      </w:r>
      <w:proofErr w:type="spellEnd"/>
      <w:r w:rsidRPr="00D93FA3">
        <w:rPr>
          <w:b/>
          <w:lang w:val="en-US"/>
        </w:rPr>
        <w:t xml:space="preserve"> x 4 </w:t>
      </w:r>
      <w:proofErr w:type="spellStart"/>
      <w:r w:rsidRPr="00D93FA3">
        <w:rPr>
          <w:b/>
          <w:lang w:val="en-US"/>
        </w:rPr>
        <w:t>Tx</w:t>
      </w:r>
      <w:proofErr w:type="spellEnd"/>
      <w:r w:rsidRPr="00D93FA3">
        <w:rPr>
          <w:b/>
          <w:lang w:val="en-US"/>
        </w:rPr>
        <w:t>-Rx pairs.</w:t>
      </w:r>
    </w:p>
    <w:p w14:paraId="326DF7B7" w14:textId="77777777" w:rsidR="00D93FA3" w:rsidRDefault="00D93FA3" w:rsidP="00D93FA3">
      <w:pPr>
        <w:spacing w:line="276" w:lineRule="auto"/>
        <w:rPr>
          <w:b/>
          <w:lang w:val="en-US"/>
        </w:rPr>
      </w:pPr>
      <w:r w:rsidRPr="00D93FA3">
        <w:rPr>
          <w:lang w:val="en-US"/>
        </w:rPr>
        <w:t xml:space="preserve">Proposals 3-6 assume that </w:t>
      </w:r>
      <w:r w:rsidR="00CC6B66">
        <w:rPr>
          <w:lang w:val="en-US"/>
        </w:rPr>
        <w:t xml:space="preserve">a </w:t>
      </w:r>
      <w:r w:rsidRPr="00D93FA3">
        <w:rPr>
          <w:lang w:val="en-US"/>
        </w:rPr>
        <w:t>4Rx UE will indeed operate in 4Rx mode during the test.</w:t>
      </w:r>
    </w:p>
    <w:p w14:paraId="3FC4ED64" w14:textId="77777777" w:rsidR="00D93FA3" w:rsidRPr="008525F2" w:rsidRDefault="00D93FA3" w:rsidP="00D93FA3">
      <w:pPr>
        <w:spacing w:line="276" w:lineRule="auto"/>
        <w:rPr>
          <w:b/>
        </w:rPr>
      </w:pPr>
      <w:r>
        <w:rPr>
          <w:b/>
        </w:rPr>
        <w:t xml:space="preserve">Proposal 3: The test point </w:t>
      </w:r>
      <w:r w:rsidRPr="008525F2">
        <w:rPr>
          <w:b/>
        </w:rPr>
        <w:t xml:space="preserve">for all extended legacy </w:t>
      </w:r>
      <w:proofErr w:type="spellStart"/>
      <w:r w:rsidRPr="008525F2">
        <w:rPr>
          <w:b/>
        </w:rPr>
        <w:t>demod</w:t>
      </w:r>
      <w:proofErr w:type="spellEnd"/>
      <w:r w:rsidRPr="008525F2">
        <w:rPr>
          <w:b/>
        </w:rPr>
        <w:t xml:space="preserve"> test cases should be identical to the corresponding legacy test case.</w:t>
      </w:r>
      <w:r>
        <w:rPr>
          <w:b/>
        </w:rPr>
        <w:t xml:space="preserve"> Corresponding to the test point, the requirement for the extended legacy test cases should be same as the legacy 2Rx test cases.</w:t>
      </w:r>
    </w:p>
    <w:p w14:paraId="00D3DADE" w14:textId="77777777" w:rsidR="00D93FA3" w:rsidRDefault="00D93FA3" w:rsidP="00D93FA3">
      <w:pPr>
        <w:spacing w:line="276" w:lineRule="auto"/>
        <w:rPr>
          <w:b/>
          <w:lang w:val="en-US"/>
        </w:rPr>
      </w:pPr>
      <w:r w:rsidRPr="00CB4746">
        <w:rPr>
          <w:b/>
          <w:lang w:val="en-US"/>
        </w:rPr>
        <w:t>Proposal 4:</w:t>
      </w:r>
      <w:r>
        <w:rPr>
          <w:b/>
          <w:lang w:val="en-US"/>
        </w:rPr>
        <w:t xml:space="preserve"> For all extended legacy CQI test cases, we propose to reduce all the CINR test points by 3dB. Corresponding to the new test points, we propose to maintain same requirement in extended legacy test cases as the legacy 2Rx test case.</w:t>
      </w:r>
    </w:p>
    <w:p w14:paraId="5A801957" w14:textId="77777777" w:rsidR="00D93FA3" w:rsidRDefault="00D93FA3" w:rsidP="00D93FA3">
      <w:pPr>
        <w:spacing w:line="276" w:lineRule="auto"/>
        <w:rPr>
          <w:b/>
          <w:lang w:val="en-US"/>
        </w:rPr>
      </w:pPr>
      <w:r w:rsidRPr="008525F2">
        <w:rPr>
          <w:b/>
          <w:lang w:val="en-US"/>
        </w:rPr>
        <w:t xml:space="preserve">Proposal </w:t>
      </w:r>
      <w:r>
        <w:rPr>
          <w:b/>
          <w:lang w:val="en-US"/>
        </w:rPr>
        <w:t>5</w:t>
      </w:r>
      <w:r w:rsidRPr="008525F2">
        <w:rPr>
          <w:b/>
          <w:lang w:val="en-US"/>
        </w:rPr>
        <w:t>:</w:t>
      </w:r>
      <w:r>
        <w:rPr>
          <w:b/>
          <w:lang w:val="en-US"/>
        </w:rPr>
        <w:t xml:space="preserve"> For all extended legacy PMI test cases, we propose to maintain the same methodology for establishing the test point as the legacy test case and maintain the same requirement as the legacy test case.</w:t>
      </w:r>
    </w:p>
    <w:p w14:paraId="7F58FC43" w14:textId="49AA2446" w:rsidR="00D93FA3" w:rsidRDefault="00D93FA3" w:rsidP="00D93FA3">
      <w:pPr>
        <w:spacing w:line="276" w:lineRule="auto"/>
        <w:rPr>
          <w:b/>
        </w:rPr>
      </w:pPr>
      <w:r w:rsidRPr="009073A8">
        <w:rPr>
          <w:b/>
        </w:rPr>
        <w:t>Proposal 6</w:t>
      </w:r>
      <w:r>
        <w:rPr>
          <w:b/>
        </w:rPr>
        <w:t xml:space="preserve">: </w:t>
      </w:r>
      <w:r w:rsidR="00660BFD">
        <w:rPr>
          <w:b/>
        </w:rPr>
        <w:t>F</w:t>
      </w:r>
      <w:r w:rsidR="00660BFD" w:rsidRPr="00D96359">
        <w:rPr>
          <w:b/>
        </w:rPr>
        <w:t>or all legacy 2Rx test cases, if the only test requirement corresponding to the CINR test point is threshold</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1</m:t>
            </m:r>
          </m:sub>
        </m:sSub>
      </m:oMath>
      <w:r w:rsidR="00660BFD" w:rsidRPr="00D96359">
        <w:rPr>
          <w:b/>
        </w:rPr>
        <w:t>, then the extended legacy test</w:t>
      </w:r>
      <w:r w:rsidR="00660BFD">
        <w:rPr>
          <w:b/>
        </w:rPr>
        <w:t xml:space="preserve"> case</w:t>
      </w:r>
      <w:r w:rsidR="00660BFD" w:rsidRPr="00D96359">
        <w:rPr>
          <w:b/>
        </w:rPr>
        <w:t xml:space="preserve"> can also be conducted at the same CINR tes</w:t>
      </w:r>
      <w:r w:rsidR="00660BFD">
        <w:rPr>
          <w:b/>
        </w:rPr>
        <w:t xml:space="preserve">t point as the </w:t>
      </w:r>
      <w:r w:rsidR="00660BFD" w:rsidRPr="00D96359">
        <w:rPr>
          <w:b/>
        </w:rPr>
        <w:t>legacy 2Rx test case maintaining the same threshold requirement as legacy 2Rx test case.</w:t>
      </w:r>
      <w:r w:rsidR="00660BFD">
        <w:rPr>
          <w:b/>
        </w:rPr>
        <w:t xml:space="preserve"> </w:t>
      </w:r>
    </w:p>
    <w:p w14:paraId="464D637D" w14:textId="77777777" w:rsidR="008902EA" w:rsidRPr="00D96359" w:rsidRDefault="008902EA" w:rsidP="008902EA">
      <w:pPr>
        <w:spacing w:line="276" w:lineRule="auto"/>
        <w:rPr>
          <w:b/>
        </w:rPr>
      </w:pPr>
      <w:r>
        <w:rPr>
          <w:b/>
        </w:rPr>
        <w:t>Proposal 7: F</w:t>
      </w:r>
      <w:r w:rsidRPr="00D96359">
        <w:rPr>
          <w:b/>
        </w:rPr>
        <w:t xml:space="preserve">or all legacy 2Rx </w:t>
      </w:r>
      <w:r>
        <w:rPr>
          <w:b/>
        </w:rPr>
        <w:t xml:space="preserve">RI </w:t>
      </w:r>
      <w:r w:rsidRPr="00D96359">
        <w:rPr>
          <w:b/>
        </w:rPr>
        <w:t xml:space="preserve">test cases, </w:t>
      </w:r>
      <w:r>
        <w:rPr>
          <w:b/>
        </w:rPr>
        <w:t xml:space="preserve">where corresponding to a CINR test point, </w:t>
      </w:r>
      <w:r w:rsidRPr="00D96359">
        <w:rPr>
          <w:b/>
        </w:rPr>
        <w:t>threshold</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2</m:t>
            </m:r>
          </m:sub>
        </m:sSub>
      </m:oMath>
      <w:r>
        <w:rPr>
          <w:b/>
        </w:rPr>
        <w:t xml:space="preserve"> is defined as only </w:t>
      </w:r>
      <w:r w:rsidRPr="00D96359">
        <w:rPr>
          <w:b/>
        </w:rPr>
        <w:t>test requirement</w:t>
      </w:r>
      <w:r>
        <w:rPr>
          <w:b/>
        </w:rPr>
        <w:t xml:space="preserve">, </w:t>
      </w:r>
      <w:r w:rsidRPr="00D96359">
        <w:rPr>
          <w:b/>
        </w:rPr>
        <w:t>the extended legacy test</w:t>
      </w:r>
      <w:r>
        <w:rPr>
          <w:b/>
        </w:rPr>
        <w:t xml:space="preserve"> case should</w:t>
      </w:r>
      <w:r w:rsidRPr="00D96359">
        <w:rPr>
          <w:b/>
        </w:rPr>
        <w:t xml:space="preserve"> conduct</w:t>
      </w:r>
      <w:r>
        <w:rPr>
          <w:b/>
        </w:rPr>
        <w:t xml:space="preserve">ed at a lowered </w:t>
      </w:r>
      <w:r w:rsidRPr="00D96359">
        <w:rPr>
          <w:b/>
        </w:rPr>
        <w:t>CINR tes</w:t>
      </w:r>
      <w:r>
        <w:rPr>
          <w:b/>
        </w:rPr>
        <w:t xml:space="preserve">t point compared to the </w:t>
      </w:r>
      <w:r w:rsidRPr="00D96359">
        <w:rPr>
          <w:b/>
        </w:rPr>
        <w:t>legacy 2Rx test case maintaining the same threshold requirement as legacy 2Rx test case.</w:t>
      </w:r>
      <w:r>
        <w:rPr>
          <w:b/>
        </w:rPr>
        <w:t xml:space="preserve"> We propose lowering the CINR test point by 4 </w:t>
      </w:r>
      <w:proofErr w:type="spellStart"/>
      <w:r>
        <w:rPr>
          <w:b/>
        </w:rPr>
        <w:t>dB.</w:t>
      </w:r>
      <w:proofErr w:type="spellEnd"/>
      <w:r>
        <w:rPr>
          <w:b/>
        </w:rPr>
        <w:t xml:space="preserve"> If, both </w:t>
      </w:r>
      <w:r w:rsidRPr="00D96359">
        <w:rPr>
          <w:b/>
        </w:rPr>
        <w:t>threshold</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1</m:t>
            </m:r>
          </m:sub>
        </m:sSub>
      </m:oMath>
      <w:r>
        <w:rPr>
          <w:b/>
        </w:rPr>
        <w:t xml:space="preserve"> and </w:t>
      </w:r>
      <m:oMath>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2</m:t>
            </m:r>
          </m:sub>
        </m:sSub>
      </m:oMath>
      <w:r>
        <w:rPr>
          <w:b/>
        </w:rPr>
        <w:t xml:space="preserve"> are defined for the same CINR test point, then the CINR test point should be lowered only to test the threshold</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2</m:t>
            </m:r>
          </m:sub>
        </m:sSub>
      </m:oMath>
      <w:r>
        <w:rPr>
          <w:b/>
        </w:rPr>
        <w:t xml:space="preserve">. </w:t>
      </w:r>
    </w:p>
    <w:p w14:paraId="77F2C78D" w14:textId="37AFA253" w:rsidR="00C8270E" w:rsidRPr="00C8270E" w:rsidRDefault="00660BFD" w:rsidP="00C8270E">
      <w:pPr>
        <w:spacing w:line="276" w:lineRule="auto"/>
        <w:rPr>
          <w:b/>
          <w:lang w:val="en-US"/>
        </w:rPr>
      </w:pPr>
      <w:r>
        <w:rPr>
          <w:b/>
          <w:lang w:val="en-US"/>
        </w:rPr>
        <w:t>Proposal 8</w:t>
      </w:r>
      <w:r w:rsidR="00C8270E" w:rsidRPr="00901E59">
        <w:rPr>
          <w:b/>
          <w:lang w:val="en-US"/>
        </w:rPr>
        <w:t>:</w:t>
      </w:r>
      <w:r w:rsidR="00C8270E">
        <w:rPr>
          <w:b/>
          <w:lang w:val="en-US"/>
        </w:rPr>
        <w:t xml:space="preserve"> For any test case, if the test case is configured to test an advanced Rx feature, and if it is not mandatory to run 4Rx and the advanced Rx feature concurrently, then we propose that</w:t>
      </w:r>
      <w:r w:rsidR="00C8270E" w:rsidRPr="00C8270E">
        <w:rPr>
          <w:b/>
          <w:lang w:val="en-US"/>
        </w:rPr>
        <w:t xml:space="preserve"> UE </w:t>
      </w:r>
      <w:r w:rsidR="00C8270E">
        <w:rPr>
          <w:b/>
          <w:lang w:val="en-US"/>
        </w:rPr>
        <w:t xml:space="preserve">needs to pass at least one of the </w:t>
      </w:r>
      <w:r w:rsidR="00C8270E" w:rsidRPr="00C8270E">
        <w:rPr>
          <w:b/>
          <w:lang w:val="en-US"/>
        </w:rPr>
        <w:t>following two tests</w:t>
      </w:r>
    </w:p>
    <w:p w14:paraId="37DE5DBD" w14:textId="77777777" w:rsidR="00C8270E" w:rsidRPr="00901E59" w:rsidRDefault="00C8270E" w:rsidP="00C8270E">
      <w:pPr>
        <w:pStyle w:val="ListParagraph"/>
        <w:numPr>
          <w:ilvl w:val="1"/>
          <w:numId w:val="15"/>
        </w:numPr>
        <w:spacing w:line="276" w:lineRule="auto"/>
        <w:rPr>
          <w:b/>
          <w:lang w:val="en-US"/>
        </w:rPr>
      </w:pPr>
      <w:r w:rsidRPr="00901E59">
        <w:rPr>
          <w:b/>
          <w:lang w:val="en-US"/>
        </w:rPr>
        <w:t xml:space="preserve">Extended-legacy-test1: </w:t>
      </w:r>
      <w:r w:rsidRPr="00901E59">
        <w:rPr>
          <w:lang w:val="en-US"/>
        </w:rPr>
        <w:t>Extended legacy test case (i.e., legacy test case extended to 4Rx antenna correlation) at the new test point (as described in Section 2.2)</w:t>
      </w:r>
    </w:p>
    <w:p w14:paraId="68BEFCB1" w14:textId="77777777" w:rsidR="00C8270E" w:rsidRPr="00C8270E" w:rsidRDefault="00C8270E" w:rsidP="00C8270E">
      <w:pPr>
        <w:pStyle w:val="ListParagraph"/>
        <w:numPr>
          <w:ilvl w:val="1"/>
          <w:numId w:val="15"/>
        </w:numPr>
        <w:spacing w:line="276" w:lineRule="auto"/>
        <w:rPr>
          <w:b/>
          <w:lang w:val="en-US"/>
        </w:rPr>
      </w:pPr>
      <w:r w:rsidRPr="00C8270E">
        <w:rPr>
          <w:b/>
          <w:lang w:val="en-US"/>
        </w:rPr>
        <w:t xml:space="preserve">Extended-legacy-test2: </w:t>
      </w:r>
      <w:r w:rsidRPr="00C8270E">
        <w:rPr>
          <w:lang w:val="en-US"/>
        </w:rPr>
        <w:t>Extended legacy test case (i.e., legacy test case extended to 4Rx antenna correlation) at the same test point as legacy 2Rx test case</w:t>
      </w:r>
    </w:p>
    <w:p w14:paraId="53ACD792" w14:textId="77777777" w:rsidR="00B63D5A" w:rsidRPr="008525F2" w:rsidRDefault="00A739D9" w:rsidP="00B63D5A">
      <w:pPr>
        <w:pStyle w:val="Heading1"/>
        <w:spacing w:line="276" w:lineRule="auto"/>
        <w:rPr>
          <w:rFonts w:ascii="Times New Roman" w:hAnsi="Times New Roman"/>
          <w:lang w:val="en-US"/>
        </w:rPr>
      </w:pPr>
      <w:r w:rsidRPr="008525F2">
        <w:rPr>
          <w:rFonts w:ascii="Times New Roman" w:hAnsi="Times New Roman"/>
          <w:lang w:val="en-US"/>
        </w:rPr>
        <w:t>References</w:t>
      </w:r>
    </w:p>
    <w:p w14:paraId="28D6E132" w14:textId="77777777" w:rsidR="004425E2" w:rsidRPr="008525F2" w:rsidRDefault="00A739D9" w:rsidP="004425E2">
      <w:pPr>
        <w:tabs>
          <w:tab w:val="left" w:pos="1985"/>
        </w:tabs>
        <w:spacing w:after="0" w:line="276" w:lineRule="auto"/>
        <w:ind w:left="1988" w:hanging="1980"/>
        <w:jc w:val="both"/>
      </w:pPr>
      <w:r w:rsidRPr="008525F2">
        <w:rPr>
          <w:lang w:val="en-US"/>
        </w:rPr>
        <w:t xml:space="preserve">[1] </w:t>
      </w:r>
      <w:r w:rsidRPr="008525F2">
        <w:t>R4-155201, “</w:t>
      </w:r>
      <w:r w:rsidRPr="008525F2">
        <w:rPr>
          <w:rFonts w:eastAsia="SimSun"/>
          <w:bCs/>
          <w:kern w:val="2"/>
        </w:rPr>
        <w:t>Meeting minutes for 4Rx ad hoc for RRM sessions,</w:t>
      </w:r>
      <w:r w:rsidRPr="008525F2">
        <w:t xml:space="preserve">” Ericsson, </w:t>
      </w:r>
      <w:r w:rsidRPr="008525F2">
        <w:rPr>
          <w:lang w:val="en-US"/>
        </w:rPr>
        <w:t>TSG-RAN4 #76, Aug. 2015</w:t>
      </w:r>
    </w:p>
    <w:p w14:paraId="5689F6E2" w14:textId="7C905735" w:rsidR="004425E2" w:rsidRDefault="00901E59" w:rsidP="004425E2">
      <w:pPr>
        <w:tabs>
          <w:tab w:val="left" w:pos="1985"/>
        </w:tabs>
        <w:spacing w:after="0" w:line="276" w:lineRule="auto"/>
        <w:ind w:left="1988" w:hanging="1980"/>
        <w:jc w:val="both"/>
      </w:pPr>
      <w:r>
        <w:rPr>
          <w:lang w:val="en-US"/>
        </w:rPr>
        <w:t>[2</w:t>
      </w:r>
      <w:r w:rsidR="00545A0D">
        <w:rPr>
          <w:lang w:val="en-US"/>
        </w:rPr>
        <w:t>] R4-158390</w:t>
      </w:r>
      <w:r w:rsidR="00A739D9" w:rsidRPr="008525F2">
        <w:rPr>
          <w:lang w:val="en-US"/>
        </w:rPr>
        <w:t>, “</w:t>
      </w:r>
      <w:r w:rsidR="00A739D9" w:rsidRPr="008525F2">
        <w:rPr>
          <w:bCs/>
        </w:rPr>
        <w:t>Meeting minutes for 4Rx ad hoc for RRM sessions</w:t>
      </w:r>
      <w:r w:rsidR="00A739D9" w:rsidRPr="008525F2">
        <w:rPr>
          <w:lang w:val="en-US"/>
        </w:rPr>
        <w:t xml:space="preserve">,” Ericsson, </w:t>
      </w:r>
      <w:r w:rsidR="000C69DA">
        <w:t>TSG-RAN4 #77</w:t>
      </w:r>
      <w:r w:rsidR="00A739D9" w:rsidRPr="008525F2">
        <w:t xml:space="preserve">, </w:t>
      </w:r>
      <w:r w:rsidR="000C69DA">
        <w:t>Nov</w:t>
      </w:r>
      <w:r w:rsidR="00A739D9" w:rsidRPr="008525F2">
        <w:t>. 2015</w:t>
      </w:r>
    </w:p>
    <w:p w14:paraId="05D10D07" w14:textId="377BFF51" w:rsidR="00901E59" w:rsidRDefault="00901E59" w:rsidP="00901E59">
      <w:pPr>
        <w:tabs>
          <w:tab w:val="left" w:pos="1985"/>
        </w:tabs>
        <w:spacing w:after="0" w:line="276" w:lineRule="auto"/>
        <w:ind w:left="1988" w:hanging="1980"/>
        <w:jc w:val="both"/>
      </w:pPr>
      <w:r>
        <w:t>[3</w:t>
      </w:r>
      <w:r w:rsidRPr="008525F2">
        <w:t>] R4-</w:t>
      </w:r>
      <w:r w:rsidRPr="008525F2">
        <w:rPr>
          <w:lang w:val="en-US"/>
        </w:rPr>
        <w:t>155543</w:t>
      </w:r>
      <w:r w:rsidRPr="008525F2">
        <w:t>, “On legacy test applicability and procedure for 4Rx UE</w:t>
      </w:r>
      <w:r>
        <w:t>,</w:t>
      </w:r>
      <w:r w:rsidRPr="008525F2">
        <w:t xml:space="preserve">” Qualcomm, TSG-RAN #76bis, </w:t>
      </w:r>
      <w:r w:rsidR="00203296">
        <w:t>Oct</w:t>
      </w:r>
      <w:r w:rsidRPr="008525F2">
        <w:t xml:space="preserve">. 2015  </w:t>
      </w:r>
    </w:p>
    <w:p w14:paraId="3FED7F9D" w14:textId="77777777" w:rsidR="001D6B5A" w:rsidRPr="008525F2" w:rsidRDefault="001D6B5A" w:rsidP="001D6B5A">
      <w:pPr>
        <w:tabs>
          <w:tab w:val="left" w:pos="1985"/>
        </w:tabs>
        <w:spacing w:after="0" w:line="276" w:lineRule="auto"/>
        <w:ind w:left="1988" w:hanging="1980"/>
        <w:jc w:val="both"/>
      </w:pPr>
      <w:r w:rsidRPr="008525F2">
        <w:t>[4] TS-36.101</w:t>
      </w:r>
    </w:p>
    <w:p w14:paraId="15457B1C" w14:textId="77777777" w:rsidR="00D73117" w:rsidRDefault="003E22D1" w:rsidP="001D6B5A">
      <w:pPr>
        <w:tabs>
          <w:tab w:val="left" w:pos="1985"/>
        </w:tabs>
        <w:spacing w:after="0" w:line="276" w:lineRule="auto"/>
        <w:rPr>
          <w:szCs w:val="21"/>
        </w:rPr>
      </w:pPr>
      <w:r w:rsidRPr="008525F2">
        <w:rPr>
          <w:lang w:val="en-US"/>
        </w:rPr>
        <w:t>[5] R4-156868, “</w:t>
      </w:r>
      <w:r w:rsidRPr="008525F2">
        <w:rPr>
          <w:szCs w:val="21"/>
        </w:rPr>
        <w:t>Proposal for new medium channel correlation matrices to use in 4 Rx</w:t>
      </w:r>
      <w:r w:rsidR="00E93E28">
        <w:rPr>
          <w:szCs w:val="21"/>
        </w:rPr>
        <w:t>,</w:t>
      </w:r>
      <w:r w:rsidRPr="008525F2">
        <w:rPr>
          <w:szCs w:val="21"/>
        </w:rPr>
        <w:t>”</w:t>
      </w:r>
      <w:r w:rsidR="00E93E28">
        <w:rPr>
          <w:szCs w:val="21"/>
        </w:rPr>
        <w:t xml:space="preserve"> </w:t>
      </w:r>
      <w:r w:rsidRPr="008525F2">
        <w:rPr>
          <w:szCs w:val="21"/>
        </w:rPr>
        <w:t>Ericsson,</w:t>
      </w:r>
      <w:r w:rsidR="00D73117">
        <w:rPr>
          <w:szCs w:val="21"/>
        </w:rPr>
        <w:t xml:space="preserve"> </w:t>
      </w:r>
    </w:p>
    <w:p w14:paraId="5891063E" w14:textId="1651B5D5" w:rsidR="00313DD5" w:rsidRPr="001074C6" w:rsidRDefault="00D73117" w:rsidP="00F37213">
      <w:pPr>
        <w:tabs>
          <w:tab w:val="left" w:pos="1985"/>
        </w:tabs>
        <w:spacing w:after="0" w:line="276" w:lineRule="auto"/>
        <w:ind w:left="1988" w:hanging="1980"/>
      </w:pPr>
      <w:r w:rsidRPr="001074C6">
        <w:t xml:space="preserve">      </w:t>
      </w:r>
      <w:r w:rsidR="003E22D1" w:rsidRPr="001074C6">
        <w:t>TSG-</w:t>
      </w:r>
      <w:r w:rsidRPr="001074C6">
        <w:t>R</w:t>
      </w:r>
      <w:r w:rsidR="003E22D1" w:rsidRPr="001074C6">
        <w:t>AN</w:t>
      </w:r>
      <w:r w:rsidR="00511368" w:rsidRPr="001074C6">
        <w:t>4</w:t>
      </w:r>
      <w:r w:rsidR="003E22D1" w:rsidRPr="001074C6">
        <w:t>#74bis</w:t>
      </w:r>
      <w:r w:rsidRPr="001074C6">
        <w:t>, April 2015</w:t>
      </w:r>
    </w:p>
    <w:p w14:paraId="7449B02B" w14:textId="0F92485E" w:rsidR="001074C6" w:rsidRPr="001074C6" w:rsidRDefault="001074C6" w:rsidP="001074C6">
      <w:pPr>
        <w:pStyle w:val="Header"/>
        <w:tabs>
          <w:tab w:val="right" w:pos="9540"/>
        </w:tabs>
        <w:spacing w:after="120"/>
        <w:ind w:left="940" w:hangingChars="470" w:hanging="940"/>
        <w:jc w:val="both"/>
        <w:rPr>
          <w:rFonts w:ascii="Times New Roman" w:hAnsi="Times New Roman"/>
          <w:b w:val="0"/>
          <w:bCs/>
          <w:kern w:val="2"/>
          <w:sz w:val="20"/>
          <w:lang w:val="en-GB"/>
        </w:rPr>
      </w:pPr>
      <w:r w:rsidRPr="001074C6">
        <w:rPr>
          <w:rFonts w:ascii="Times New Roman" w:hAnsi="Times New Roman"/>
          <w:b w:val="0"/>
          <w:sz w:val="20"/>
        </w:rPr>
        <w:t xml:space="preserve">[6] </w:t>
      </w:r>
      <w:r>
        <w:rPr>
          <w:rFonts w:ascii="Times New Roman" w:hAnsi="Times New Roman"/>
          <w:b w:val="0"/>
          <w:sz w:val="20"/>
        </w:rPr>
        <w:t>R4-161238, “</w:t>
      </w:r>
      <w:r w:rsidRPr="001074C6">
        <w:rPr>
          <w:rFonts w:ascii="Times New Roman" w:eastAsia="SimSun" w:hAnsi="Times New Roman"/>
          <w:b w:val="0"/>
          <w:bCs/>
          <w:kern w:val="2"/>
          <w:sz w:val="20"/>
          <w:lang w:val="en-GB"/>
        </w:rPr>
        <w:t>Meeting minutes for 4Rx ad hoc for RRM sessions</w:t>
      </w:r>
      <w:r>
        <w:rPr>
          <w:rFonts w:ascii="Times New Roman" w:eastAsia="SimSun" w:hAnsi="Times New Roman"/>
          <w:b w:val="0"/>
          <w:bCs/>
          <w:kern w:val="2"/>
          <w:sz w:val="20"/>
          <w:lang w:val="en-GB"/>
        </w:rPr>
        <w:t>”, Ericsson, TSG-RAN4#78, Feb 2016</w:t>
      </w:r>
    </w:p>
    <w:p w14:paraId="6967EB02" w14:textId="00651944" w:rsidR="001074C6" w:rsidRDefault="001074C6" w:rsidP="00F37213">
      <w:pPr>
        <w:tabs>
          <w:tab w:val="left" w:pos="1985"/>
        </w:tabs>
        <w:spacing w:after="0" w:line="276" w:lineRule="auto"/>
        <w:ind w:left="1988" w:hanging="1980"/>
        <w:rPr>
          <w:szCs w:val="21"/>
        </w:rPr>
      </w:pPr>
    </w:p>
    <w:sectPr w:rsidR="001074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D2426"/>
    <w:multiLevelType w:val="hybridMultilevel"/>
    <w:tmpl w:val="198EB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67099A"/>
    <w:multiLevelType w:val="hybridMultilevel"/>
    <w:tmpl w:val="4EFC9FCC"/>
    <w:lvl w:ilvl="0" w:tplc="A2BC86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80DE4"/>
    <w:multiLevelType w:val="hybridMultilevel"/>
    <w:tmpl w:val="1DB89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DE06A1"/>
    <w:multiLevelType w:val="hybridMultilevel"/>
    <w:tmpl w:val="8C0C4E64"/>
    <w:lvl w:ilvl="0" w:tplc="B502AC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2B57FF"/>
    <w:multiLevelType w:val="hybridMultilevel"/>
    <w:tmpl w:val="3E2A48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1BB2154"/>
    <w:multiLevelType w:val="hybridMultilevel"/>
    <w:tmpl w:val="602C10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3D970170"/>
    <w:multiLevelType w:val="hybridMultilevel"/>
    <w:tmpl w:val="C9148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4F42F9C8"/>
    <w:lvl w:ilvl="0">
      <w:start w:val="1"/>
      <w:numFmt w:val="decimal"/>
      <w:pStyle w:val="Heading1"/>
      <w:lvlText w:val="%1."/>
      <w:lvlJc w:val="left"/>
      <w:pPr>
        <w:tabs>
          <w:tab w:val="num" w:pos="432"/>
        </w:tabs>
        <w:ind w:left="432" w:hanging="432"/>
      </w:pPr>
      <w:rPr>
        <w:rFonts w:ascii="Times New Roman" w:hAnsi="Times New Roman" w:cs="Times New Roman" w:hint="default"/>
      </w:rPr>
    </w:lvl>
    <w:lvl w:ilvl="1">
      <w:start w:val="1"/>
      <w:numFmt w:val="decimal"/>
      <w:pStyle w:val="Heading2"/>
      <w:lvlText w:val="%1.%2."/>
      <w:lvlJc w:val="left"/>
      <w:pPr>
        <w:tabs>
          <w:tab w:val="num" w:pos="756"/>
        </w:tabs>
        <w:ind w:left="756" w:hanging="576"/>
      </w:pPr>
      <w:rPr>
        <w:rFonts w:ascii="Times New Roman" w:hAnsi="Times New Roman" w:cs="Times New Roman"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679597A"/>
    <w:multiLevelType w:val="hybridMultilevel"/>
    <w:tmpl w:val="4F4EB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7F25A4"/>
    <w:multiLevelType w:val="hybridMultilevel"/>
    <w:tmpl w:val="92460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B53483E"/>
    <w:multiLevelType w:val="hybridMultilevel"/>
    <w:tmpl w:val="BE008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5E5FED"/>
    <w:multiLevelType w:val="hybridMultilevel"/>
    <w:tmpl w:val="B16E6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202CBB"/>
    <w:multiLevelType w:val="hybridMultilevel"/>
    <w:tmpl w:val="66A40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27741A"/>
    <w:multiLevelType w:val="hybridMultilevel"/>
    <w:tmpl w:val="D9B6BB9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6ED65215"/>
    <w:multiLevelType w:val="hybridMultilevel"/>
    <w:tmpl w:val="47A851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ED5708"/>
    <w:multiLevelType w:val="hybridMultilevel"/>
    <w:tmpl w:val="23E8C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8026DC"/>
    <w:multiLevelType w:val="hybridMultilevel"/>
    <w:tmpl w:val="1C1A5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C64B6F"/>
    <w:multiLevelType w:val="hybridMultilevel"/>
    <w:tmpl w:val="638A1ECA"/>
    <w:lvl w:ilvl="0" w:tplc="B502AC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A4431B"/>
    <w:multiLevelType w:val="hybridMultilevel"/>
    <w:tmpl w:val="4FEC8194"/>
    <w:lvl w:ilvl="0" w:tplc="A2BC86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180287"/>
    <w:multiLevelType w:val="hybridMultilevel"/>
    <w:tmpl w:val="4E408182"/>
    <w:lvl w:ilvl="0" w:tplc="C9E2692C">
      <w:start w:val="1"/>
      <w:numFmt w:val="bullet"/>
      <w:lvlText w:val="•"/>
      <w:lvlJc w:val="left"/>
      <w:pPr>
        <w:tabs>
          <w:tab w:val="num" w:pos="720"/>
        </w:tabs>
        <w:ind w:left="720" w:hanging="360"/>
      </w:pPr>
      <w:rPr>
        <w:rFonts w:ascii="Arial" w:hAnsi="Arial" w:cs="Times New Roman" w:hint="default"/>
      </w:rPr>
    </w:lvl>
    <w:lvl w:ilvl="1" w:tplc="26FE339C">
      <w:start w:val="1"/>
      <w:numFmt w:val="bullet"/>
      <w:lvlText w:val="•"/>
      <w:lvlJc w:val="left"/>
      <w:pPr>
        <w:tabs>
          <w:tab w:val="num" w:pos="1440"/>
        </w:tabs>
        <w:ind w:left="1440" w:hanging="360"/>
      </w:pPr>
      <w:rPr>
        <w:rFonts w:ascii="Arial" w:hAnsi="Arial" w:cs="Times New Roman" w:hint="default"/>
      </w:rPr>
    </w:lvl>
    <w:lvl w:ilvl="2" w:tplc="32AA08EE">
      <w:start w:val="1"/>
      <w:numFmt w:val="bullet"/>
      <w:lvlText w:val="•"/>
      <w:lvlJc w:val="left"/>
      <w:pPr>
        <w:tabs>
          <w:tab w:val="num" w:pos="2160"/>
        </w:tabs>
        <w:ind w:left="2160" w:hanging="360"/>
      </w:pPr>
      <w:rPr>
        <w:rFonts w:ascii="Arial" w:hAnsi="Arial" w:cs="Times New Roman" w:hint="default"/>
      </w:rPr>
    </w:lvl>
    <w:lvl w:ilvl="3" w:tplc="0B1CA05A">
      <w:start w:val="1"/>
      <w:numFmt w:val="bullet"/>
      <w:lvlText w:val="•"/>
      <w:lvlJc w:val="left"/>
      <w:pPr>
        <w:tabs>
          <w:tab w:val="num" w:pos="2880"/>
        </w:tabs>
        <w:ind w:left="2880" w:hanging="360"/>
      </w:pPr>
      <w:rPr>
        <w:rFonts w:ascii="Arial" w:hAnsi="Arial" w:cs="Times New Roman" w:hint="default"/>
      </w:rPr>
    </w:lvl>
    <w:lvl w:ilvl="4" w:tplc="06A2EA3C">
      <w:start w:val="1"/>
      <w:numFmt w:val="bullet"/>
      <w:lvlText w:val="•"/>
      <w:lvlJc w:val="left"/>
      <w:pPr>
        <w:tabs>
          <w:tab w:val="num" w:pos="3600"/>
        </w:tabs>
        <w:ind w:left="3600" w:hanging="360"/>
      </w:pPr>
      <w:rPr>
        <w:rFonts w:ascii="Arial" w:hAnsi="Arial" w:cs="Times New Roman" w:hint="default"/>
      </w:rPr>
    </w:lvl>
    <w:lvl w:ilvl="5" w:tplc="9C5611C8">
      <w:start w:val="1"/>
      <w:numFmt w:val="bullet"/>
      <w:lvlText w:val="•"/>
      <w:lvlJc w:val="left"/>
      <w:pPr>
        <w:tabs>
          <w:tab w:val="num" w:pos="4320"/>
        </w:tabs>
        <w:ind w:left="4320" w:hanging="360"/>
      </w:pPr>
      <w:rPr>
        <w:rFonts w:ascii="Arial" w:hAnsi="Arial" w:cs="Times New Roman" w:hint="default"/>
      </w:rPr>
    </w:lvl>
    <w:lvl w:ilvl="6" w:tplc="8A58E254">
      <w:start w:val="1"/>
      <w:numFmt w:val="bullet"/>
      <w:lvlText w:val="•"/>
      <w:lvlJc w:val="left"/>
      <w:pPr>
        <w:tabs>
          <w:tab w:val="num" w:pos="5040"/>
        </w:tabs>
        <w:ind w:left="5040" w:hanging="360"/>
      </w:pPr>
      <w:rPr>
        <w:rFonts w:ascii="Arial" w:hAnsi="Arial" w:cs="Times New Roman" w:hint="default"/>
      </w:rPr>
    </w:lvl>
    <w:lvl w:ilvl="7" w:tplc="745663C4">
      <w:start w:val="1"/>
      <w:numFmt w:val="bullet"/>
      <w:lvlText w:val="•"/>
      <w:lvlJc w:val="left"/>
      <w:pPr>
        <w:tabs>
          <w:tab w:val="num" w:pos="5760"/>
        </w:tabs>
        <w:ind w:left="5760" w:hanging="360"/>
      </w:pPr>
      <w:rPr>
        <w:rFonts w:ascii="Arial" w:hAnsi="Arial" w:cs="Times New Roman" w:hint="default"/>
      </w:rPr>
    </w:lvl>
    <w:lvl w:ilvl="8" w:tplc="F172302C">
      <w:start w:val="1"/>
      <w:numFmt w:val="bullet"/>
      <w:lvlText w:val="•"/>
      <w:lvlJc w:val="left"/>
      <w:pPr>
        <w:tabs>
          <w:tab w:val="num" w:pos="6480"/>
        </w:tabs>
        <w:ind w:left="6480" w:hanging="360"/>
      </w:pPr>
      <w:rPr>
        <w:rFonts w:ascii="Arial" w:hAnsi="Arial" w:cs="Times New Roman" w:hint="default"/>
      </w:rPr>
    </w:lvl>
  </w:abstractNum>
  <w:num w:numId="1">
    <w:abstractNumId w:val="7"/>
  </w:num>
  <w:num w:numId="2">
    <w:abstractNumId w:val="20"/>
  </w:num>
  <w:num w:numId="3">
    <w:abstractNumId w:val="17"/>
  </w:num>
  <w:num w:numId="4">
    <w:abstractNumId w:val="3"/>
  </w:num>
  <w:num w:numId="5">
    <w:abstractNumId w:val="18"/>
  </w:num>
  <w:num w:numId="6">
    <w:abstractNumId w:val="14"/>
  </w:num>
  <w:num w:numId="7">
    <w:abstractNumId w:val="2"/>
  </w:num>
  <w:num w:numId="8">
    <w:abstractNumId w:val="10"/>
  </w:num>
  <w:num w:numId="9">
    <w:abstractNumId w:val="0"/>
  </w:num>
  <w:num w:numId="10">
    <w:abstractNumId w:val="9"/>
  </w:num>
  <w:num w:numId="11">
    <w:abstractNumId w:val="5"/>
  </w:num>
  <w:num w:numId="12">
    <w:abstractNumId w:val="15"/>
  </w:num>
  <w:num w:numId="13">
    <w:abstractNumId w:val="11"/>
  </w:num>
  <w:num w:numId="14">
    <w:abstractNumId w:val="12"/>
  </w:num>
  <w:num w:numId="15">
    <w:abstractNumId w:val="8"/>
  </w:num>
  <w:num w:numId="16">
    <w:abstractNumId w:val="16"/>
  </w:num>
  <w:num w:numId="17">
    <w:abstractNumId w:val="4"/>
  </w:num>
  <w:num w:numId="18">
    <w:abstractNumId w:val="6"/>
  </w:num>
  <w:num w:numId="19">
    <w:abstractNumId w:val="13"/>
  </w:num>
  <w:num w:numId="20">
    <w:abstractNumId w:val="1"/>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C42"/>
    <w:rsid w:val="0000123D"/>
    <w:rsid w:val="00003AB2"/>
    <w:rsid w:val="000210E5"/>
    <w:rsid w:val="00027E82"/>
    <w:rsid w:val="00030B8A"/>
    <w:rsid w:val="00031ADD"/>
    <w:rsid w:val="00046633"/>
    <w:rsid w:val="000522A8"/>
    <w:rsid w:val="00064F31"/>
    <w:rsid w:val="000751BD"/>
    <w:rsid w:val="000762C8"/>
    <w:rsid w:val="00090AE8"/>
    <w:rsid w:val="0009300E"/>
    <w:rsid w:val="000B64B6"/>
    <w:rsid w:val="000C26AB"/>
    <w:rsid w:val="000C69DA"/>
    <w:rsid w:val="000E2BF4"/>
    <w:rsid w:val="000F3FDD"/>
    <w:rsid w:val="001074C6"/>
    <w:rsid w:val="00107C94"/>
    <w:rsid w:val="00134536"/>
    <w:rsid w:val="00156EAC"/>
    <w:rsid w:val="001633B2"/>
    <w:rsid w:val="00193CAC"/>
    <w:rsid w:val="00194E2B"/>
    <w:rsid w:val="001A5752"/>
    <w:rsid w:val="001D2D5F"/>
    <w:rsid w:val="001D6B5A"/>
    <w:rsid w:val="001E24E5"/>
    <w:rsid w:val="00203296"/>
    <w:rsid w:val="002076AD"/>
    <w:rsid w:val="00212F06"/>
    <w:rsid w:val="00214846"/>
    <w:rsid w:val="00255E29"/>
    <w:rsid w:val="002576D2"/>
    <w:rsid w:val="00272652"/>
    <w:rsid w:val="00292A0F"/>
    <w:rsid w:val="002B045E"/>
    <w:rsid w:val="002C3D37"/>
    <w:rsid w:val="002D32DA"/>
    <w:rsid w:val="002F7FFD"/>
    <w:rsid w:val="00300F9D"/>
    <w:rsid w:val="00306D46"/>
    <w:rsid w:val="00313DD5"/>
    <w:rsid w:val="0032510D"/>
    <w:rsid w:val="003410BF"/>
    <w:rsid w:val="003411E5"/>
    <w:rsid w:val="00353108"/>
    <w:rsid w:val="00373449"/>
    <w:rsid w:val="00387526"/>
    <w:rsid w:val="003952E8"/>
    <w:rsid w:val="003A6CF4"/>
    <w:rsid w:val="003B62FD"/>
    <w:rsid w:val="003E22D1"/>
    <w:rsid w:val="003E69BB"/>
    <w:rsid w:val="003E7C6B"/>
    <w:rsid w:val="00416BA7"/>
    <w:rsid w:val="0042686D"/>
    <w:rsid w:val="004316FA"/>
    <w:rsid w:val="004425E2"/>
    <w:rsid w:val="00444947"/>
    <w:rsid w:val="00453D15"/>
    <w:rsid w:val="004546F5"/>
    <w:rsid w:val="00465440"/>
    <w:rsid w:val="00496184"/>
    <w:rsid w:val="00496DFE"/>
    <w:rsid w:val="004B5DF3"/>
    <w:rsid w:val="004C42D0"/>
    <w:rsid w:val="004D0F6F"/>
    <w:rsid w:val="004D52D6"/>
    <w:rsid w:val="004E6C3D"/>
    <w:rsid w:val="004F6999"/>
    <w:rsid w:val="00510082"/>
    <w:rsid w:val="00511368"/>
    <w:rsid w:val="00517FAB"/>
    <w:rsid w:val="00533B4E"/>
    <w:rsid w:val="00534838"/>
    <w:rsid w:val="00545A0D"/>
    <w:rsid w:val="00550AAF"/>
    <w:rsid w:val="0057029F"/>
    <w:rsid w:val="00595AA4"/>
    <w:rsid w:val="005A4244"/>
    <w:rsid w:val="005A4456"/>
    <w:rsid w:val="005A663F"/>
    <w:rsid w:val="005B42C1"/>
    <w:rsid w:val="005B69B1"/>
    <w:rsid w:val="005E4CAB"/>
    <w:rsid w:val="006330E4"/>
    <w:rsid w:val="00660BFD"/>
    <w:rsid w:val="00670217"/>
    <w:rsid w:val="006A269B"/>
    <w:rsid w:val="006D1C7C"/>
    <w:rsid w:val="006E1CBF"/>
    <w:rsid w:val="006E2C42"/>
    <w:rsid w:val="006F69D1"/>
    <w:rsid w:val="00700C5C"/>
    <w:rsid w:val="0070136C"/>
    <w:rsid w:val="00702A8D"/>
    <w:rsid w:val="00706D6F"/>
    <w:rsid w:val="00715938"/>
    <w:rsid w:val="007222B6"/>
    <w:rsid w:val="00755DB7"/>
    <w:rsid w:val="00776DF1"/>
    <w:rsid w:val="00783CDF"/>
    <w:rsid w:val="00785351"/>
    <w:rsid w:val="0078577A"/>
    <w:rsid w:val="007863E0"/>
    <w:rsid w:val="007A1BAC"/>
    <w:rsid w:val="007B3B09"/>
    <w:rsid w:val="007C2C3B"/>
    <w:rsid w:val="007C4A69"/>
    <w:rsid w:val="007E290B"/>
    <w:rsid w:val="00803416"/>
    <w:rsid w:val="008076E2"/>
    <w:rsid w:val="00816D5E"/>
    <w:rsid w:val="00825EC7"/>
    <w:rsid w:val="00826614"/>
    <w:rsid w:val="00832A61"/>
    <w:rsid w:val="008525F2"/>
    <w:rsid w:val="008574D5"/>
    <w:rsid w:val="00863810"/>
    <w:rsid w:val="00880731"/>
    <w:rsid w:val="008902EA"/>
    <w:rsid w:val="008A788E"/>
    <w:rsid w:val="008A7E37"/>
    <w:rsid w:val="008B5820"/>
    <w:rsid w:val="008B5926"/>
    <w:rsid w:val="008F3E6D"/>
    <w:rsid w:val="008F7B56"/>
    <w:rsid w:val="00901E59"/>
    <w:rsid w:val="00902771"/>
    <w:rsid w:val="009073A8"/>
    <w:rsid w:val="00915E0F"/>
    <w:rsid w:val="009217B2"/>
    <w:rsid w:val="0093339D"/>
    <w:rsid w:val="00940EA8"/>
    <w:rsid w:val="009505F0"/>
    <w:rsid w:val="00962969"/>
    <w:rsid w:val="009A70F4"/>
    <w:rsid w:val="009C0CE1"/>
    <w:rsid w:val="009C3236"/>
    <w:rsid w:val="009E3E49"/>
    <w:rsid w:val="009E49AD"/>
    <w:rsid w:val="00A12153"/>
    <w:rsid w:val="00A51C21"/>
    <w:rsid w:val="00A52A3A"/>
    <w:rsid w:val="00A55ED0"/>
    <w:rsid w:val="00A61856"/>
    <w:rsid w:val="00A739D9"/>
    <w:rsid w:val="00A90A44"/>
    <w:rsid w:val="00A97088"/>
    <w:rsid w:val="00AA176E"/>
    <w:rsid w:val="00AA3A56"/>
    <w:rsid w:val="00AB601B"/>
    <w:rsid w:val="00AD157B"/>
    <w:rsid w:val="00AD1ACF"/>
    <w:rsid w:val="00B01C08"/>
    <w:rsid w:val="00B02AA4"/>
    <w:rsid w:val="00B06AED"/>
    <w:rsid w:val="00B22EE8"/>
    <w:rsid w:val="00B40DDB"/>
    <w:rsid w:val="00B62616"/>
    <w:rsid w:val="00B63D5A"/>
    <w:rsid w:val="00B760FB"/>
    <w:rsid w:val="00BC0C42"/>
    <w:rsid w:val="00BE577E"/>
    <w:rsid w:val="00BE739F"/>
    <w:rsid w:val="00BF269D"/>
    <w:rsid w:val="00BF3343"/>
    <w:rsid w:val="00C10A03"/>
    <w:rsid w:val="00C11CF9"/>
    <w:rsid w:val="00C35DC4"/>
    <w:rsid w:val="00C45B8D"/>
    <w:rsid w:val="00C50806"/>
    <w:rsid w:val="00C8270E"/>
    <w:rsid w:val="00CB4103"/>
    <w:rsid w:val="00CB4746"/>
    <w:rsid w:val="00CB698E"/>
    <w:rsid w:val="00CC26A3"/>
    <w:rsid w:val="00CC6B66"/>
    <w:rsid w:val="00CD4A4E"/>
    <w:rsid w:val="00CF3BFF"/>
    <w:rsid w:val="00CF5C9E"/>
    <w:rsid w:val="00D0415A"/>
    <w:rsid w:val="00D05ADD"/>
    <w:rsid w:val="00D14D95"/>
    <w:rsid w:val="00D15065"/>
    <w:rsid w:val="00D23300"/>
    <w:rsid w:val="00D35DBA"/>
    <w:rsid w:val="00D54370"/>
    <w:rsid w:val="00D73117"/>
    <w:rsid w:val="00D76BAD"/>
    <w:rsid w:val="00D93FA3"/>
    <w:rsid w:val="00D96359"/>
    <w:rsid w:val="00DC5FE1"/>
    <w:rsid w:val="00DE5677"/>
    <w:rsid w:val="00E37856"/>
    <w:rsid w:val="00E52A9D"/>
    <w:rsid w:val="00E63E37"/>
    <w:rsid w:val="00E812E5"/>
    <w:rsid w:val="00E93E28"/>
    <w:rsid w:val="00EB7F1C"/>
    <w:rsid w:val="00EC7B72"/>
    <w:rsid w:val="00ED2C76"/>
    <w:rsid w:val="00F2109F"/>
    <w:rsid w:val="00F2130D"/>
    <w:rsid w:val="00F25855"/>
    <w:rsid w:val="00F323F0"/>
    <w:rsid w:val="00F37213"/>
    <w:rsid w:val="00F41062"/>
    <w:rsid w:val="00F67942"/>
    <w:rsid w:val="00F83DC2"/>
    <w:rsid w:val="00FB40BF"/>
    <w:rsid w:val="00FB748C"/>
    <w:rsid w:val="00FE75B6"/>
    <w:rsid w:val="00FF0E9F"/>
    <w:rsid w:val="00FF28A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94F8B"/>
  <w15:chartTrackingRefBased/>
  <w15:docId w15:val="{AA55C97C-0644-4E3A-8C71-9BD683F28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2D5F"/>
    <w:pPr>
      <w:spacing w:after="180" w:line="240" w:lineRule="auto"/>
    </w:pPr>
    <w:rPr>
      <w:rFonts w:ascii="Times New Roman" w:eastAsia="MS Mincho" w:hAnsi="Times New Roman" w:cs="Times New Roman"/>
      <w:sz w:val="20"/>
      <w:szCs w:val="20"/>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1D2D5F"/>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1D2D5F"/>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1D2D5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1D2D5F"/>
    <w:pPr>
      <w:numPr>
        <w:ilvl w:val="3"/>
      </w:numPr>
      <w:outlineLvl w:val="3"/>
    </w:pPr>
    <w:rPr>
      <w:sz w:val="24"/>
    </w:rPr>
  </w:style>
  <w:style w:type="paragraph" w:styleId="Heading5">
    <w:name w:val="heading 5"/>
    <w:aliases w:val="h5,Heading5"/>
    <w:basedOn w:val="Heading4"/>
    <w:next w:val="Normal"/>
    <w:link w:val="Heading5Char"/>
    <w:qFormat/>
    <w:rsid w:val="001D2D5F"/>
    <w:pPr>
      <w:numPr>
        <w:ilvl w:val="5"/>
      </w:numPr>
      <w:outlineLvl w:val="4"/>
    </w:pPr>
    <w:rPr>
      <w:sz w:val="22"/>
    </w:rPr>
  </w:style>
  <w:style w:type="paragraph" w:styleId="Heading7">
    <w:name w:val="heading 7"/>
    <w:basedOn w:val="Normal"/>
    <w:next w:val="Normal"/>
    <w:link w:val="Heading7Char"/>
    <w:qFormat/>
    <w:rsid w:val="001D2D5F"/>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D2D5F"/>
    <w:pPr>
      <w:numPr>
        <w:ilvl w:val="7"/>
      </w:numPr>
      <w:outlineLvl w:val="7"/>
    </w:pPr>
  </w:style>
  <w:style w:type="paragraph" w:styleId="Heading9">
    <w:name w:val="heading 9"/>
    <w:basedOn w:val="Heading8"/>
    <w:next w:val="Normal"/>
    <w:link w:val="Heading9Char"/>
    <w:qFormat/>
    <w:rsid w:val="001D2D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1D2D5F"/>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1D2D5F"/>
    <w:rPr>
      <w:rFonts w:ascii="Arial" w:eastAsia="MS Mincho"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1D2D5F"/>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2D5F"/>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1D2D5F"/>
    <w:rPr>
      <w:rFonts w:ascii="Arial" w:eastAsia="MS Mincho" w:hAnsi="Arial" w:cs="Times New Roman"/>
      <w:szCs w:val="20"/>
      <w:lang w:val="en-GB"/>
    </w:rPr>
  </w:style>
  <w:style w:type="character" w:customStyle="1" w:styleId="Heading7Char">
    <w:name w:val="Heading 7 Char"/>
    <w:basedOn w:val="DefaultParagraphFont"/>
    <w:link w:val="Heading7"/>
    <w:rsid w:val="001D2D5F"/>
    <w:rPr>
      <w:rFonts w:ascii="Arial" w:eastAsia="MS Mincho" w:hAnsi="Arial" w:cs="Times New Roman"/>
      <w:sz w:val="20"/>
      <w:szCs w:val="20"/>
      <w:lang w:val="en-GB"/>
    </w:rPr>
  </w:style>
  <w:style w:type="character" w:customStyle="1" w:styleId="Heading8Char">
    <w:name w:val="Heading 8 Char"/>
    <w:basedOn w:val="DefaultParagraphFont"/>
    <w:link w:val="Heading8"/>
    <w:rsid w:val="001D2D5F"/>
    <w:rPr>
      <w:rFonts w:ascii="Arial" w:eastAsia="MS Mincho" w:hAnsi="Arial" w:cs="Times New Roman"/>
      <w:sz w:val="36"/>
      <w:szCs w:val="20"/>
      <w:lang w:val="en-GB"/>
    </w:rPr>
  </w:style>
  <w:style w:type="character" w:customStyle="1" w:styleId="Heading9Char">
    <w:name w:val="Heading 9 Char"/>
    <w:basedOn w:val="DefaultParagraphFont"/>
    <w:link w:val="Heading9"/>
    <w:rsid w:val="001D2D5F"/>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D2D5F"/>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D2D5F"/>
    <w:rPr>
      <w:rFonts w:ascii="Arial" w:eastAsia="MS Mincho" w:hAnsi="Arial" w:cs="Times New Roman"/>
      <w:b/>
      <w:noProof/>
      <w:sz w:val="18"/>
      <w:szCs w:val="20"/>
    </w:rPr>
  </w:style>
  <w:style w:type="paragraph" w:styleId="Footer">
    <w:name w:val="footer"/>
    <w:basedOn w:val="Header"/>
    <w:link w:val="FooterChar"/>
    <w:rsid w:val="001D2D5F"/>
    <w:pPr>
      <w:jc w:val="center"/>
    </w:pPr>
    <w:rPr>
      <w:i/>
    </w:rPr>
  </w:style>
  <w:style w:type="character" w:customStyle="1" w:styleId="FooterChar">
    <w:name w:val="Footer Char"/>
    <w:basedOn w:val="DefaultParagraphFont"/>
    <w:link w:val="Footer"/>
    <w:rsid w:val="001D2D5F"/>
    <w:rPr>
      <w:rFonts w:ascii="Arial" w:eastAsia="MS Mincho" w:hAnsi="Arial" w:cs="Times New Roman"/>
      <w:b/>
      <w:i/>
      <w:noProof/>
      <w:sz w:val="18"/>
      <w:szCs w:val="20"/>
    </w:rPr>
  </w:style>
  <w:style w:type="paragraph" w:styleId="ListParagraph">
    <w:name w:val="List Paragraph"/>
    <w:basedOn w:val="Normal"/>
    <w:link w:val="ListParagraphChar"/>
    <w:uiPriority w:val="34"/>
    <w:qFormat/>
    <w:rsid w:val="00DC5FE1"/>
    <w:pPr>
      <w:ind w:left="720"/>
      <w:contextualSpacing/>
    </w:pPr>
  </w:style>
  <w:style w:type="paragraph" w:styleId="BalloonText">
    <w:name w:val="Balloon Text"/>
    <w:basedOn w:val="Normal"/>
    <w:link w:val="BalloonTextChar"/>
    <w:uiPriority w:val="99"/>
    <w:semiHidden/>
    <w:unhideWhenUsed/>
    <w:rsid w:val="00A55ED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5ED0"/>
    <w:rPr>
      <w:rFonts w:ascii="Segoe UI" w:eastAsia="MS Mincho" w:hAnsi="Segoe UI" w:cs="Segoe UI"/>
      <w:sz w:val="18"/>
      <w:szCs w:val="18"/>
      <w:lang w:val="en-GB"/>
    </w:rPr>
  </w:style>
  <w:style w:type="character" w:customStyle="1" w:styleId="ListParagraphChar">
    <w:name w:val="List Paragraph Char"/>
    <w:link w:val="ListParagraph"/>
    <w:uiPriority w:val="34"/>
    <w:locked/>
    <w:rsid w:val="001E24E5"/>
    <w:rPr>
      <w:rFonts w:ascii="Times New Roman" w:eastAsia="MS Mincho" w:hAnsi="Times New Roman" w:cs="Times New Roman"/>
      <w:sz w:val="20"/>
      <w:szCs w:val="20"/>
      <w:lang w:val="en-GB"/>
    </w:rPr>
  </w:style>
  <w:style w:type="paragraph" w:customStyle="1" w:styleId="TAH">
    <w:name w:val="TAH"/>
    <w:basedOn w:val="TAC"/>
    <w:link w:val="TAHCar"/>
    <w:rsid w:val="00785351"/>
    <w:rPr>
      <w:b/>
      <w:bCs/>
    </w:rPr>
  </w:style>
  <w:style w:type="paragraph" w:customStyle="1" w:styleId="TAC">
    <w:name w:val="TAC"/>
    <w:basedOn w:val="Normal"/>
    <w:link w:val="TACChar"/>
    <w:rsid w:val="00785351"/>
    <w:pPr>
      <w:keepNext/>
      <w:keepLines/>
      <w:overflowPunct w:val="0"/>
      <w:autoSpaceDE w:val="0"/>
      <w:autoSpaceDN w:val="0"/>
      <w:adjustRightInd w:val="0"/>
      <w:spacing w:after="0"/>
      <w:jc w:val="center"/>
      <w:textAlignment w:val="baseline"/>
    </w:pPr>
    <w:rPr>
      <w:rFonts w:ascii="Arial" w:eastAsia="Times New Roman" w:hAnsi="Arial"/>
      <w:sz w:val="18"/>
      <w:szCs w:val="18"/>
      <w:lang w:eastAsia="x-none"/>
    </w:rPr>
  </w:style>
  <w:style w:type="character" w:customStyle="1" w:styleId="TACChar">
    <w:name w:val="TAC Char"/>
    <w:link w:val="TAC"/>
    <w:rsid w:val="00785351"/>
    <w:rPr>
      <w:rFonts w:ascii="Arial" w:eastAsia="Times New Roman" w:hAnsi="Arial" w:cs="Times New Roman"/>
      <w:sz w:val="18"/>
      <w:szCs w:val="18"/>
      <w:lang w:val="en-GB" w:eastAsia="x-none"/>
    </w:rPr>
  </w:style>
  <w:style w:type="character" w:customStyle="1" w:styleId="TAHCar">
    <w:name w:val="TAH Car"/>
    <w:link w:val="TAH"/>
    <w:rsid w:val="00785351"/>
    <w:rPr>
      <w:rFonts w:ascii="Arial" w:eastAsia="Times New Roman" w:hAnsi="Arial" w:cs="Times New Roman"/>
      <w:b/>
      <w:bCs/>
      <w:sz w:val="18"/>
      <w:szCs w:val="18"/>
      <w:lang w:val="en-GB" w:eastAsia="x-none"/>
    </w:rPr>
  </w:style>
  <w:style w:type="paragraph" w:customStyle="1" w:styleId="TH">
    <w:name w:val="TH"/>
    <w:basedOn w:val="Normal"/>
    <w:link w:val="THChar"/>
    <w:rsid w:val="00785351"/>
    <w:pPr>
      <w:keepNext/>
      <w:keepLines/>
      <w:overflowPunct w:val="0"/>
      <w:autoSpaceDE w:val="0"/>
      <w:autoSpaceDN w:val="0"/>
      <w:adjustRightInd w:val="0"/>
      <w:spacing w:before="60"/>
      <w:jc w:val="center"/>
      <w:textAlignment w:val="baseline"/>
    </w:pPr>
    <w:rPr>
      <w:rFonts w:ascii="Arial" w:eastAsia="Times New Roman" w:hAnsi="Arial"/>
      <w:b/>
      <w:bCs/>
      <w:lang w:eastAsia="x-none"/>
    </w:rPr>
  </w:style>
  <w:style w:type="character" w:customStyle="1" w:styleId="THChar">
    <w:name w:val="TH Char"/>
    <w:link w:val="TH"/>
    <w:rsid w:val="00785351"/>
    <w:rPr>
      <w:rFonts w:ascii="Arial" w:eastAsia="Times New Roman" w:hAnsi="Arial" w:cs="Times New Roman"/>
      <w:b/>
      <w:bCs/>
      <w:sz w:val="20"/>
      <w:szCs w:val="20"/>
      <w:lang w:val="en-GB" w:eastAsia="x-none"/>
    </w:rPr>
  </w:style>
  <w:style w:type="character" w:styleId="CommentReference">
    <w:name w:val="annotation reference"/>
    <w:basedOn w:val="DefaultParagraphFont"/>
    <w:uiPriority w:val="99"/>
    <w:semiHidden/>
    <w:unhideWhenUsed/>
    <w:rsid w:val="00203296"/>
    <w:rPr>
      <w:sz w:val="16"/>
      <w:szCs w:val="16"/>
    </w:rPr>
  </w:style>
  <w:style w:type="paragraph" w:styleId="CommentText">
    <w:name w:val="annotation text"/>
    <w:basedOn w:val="Normal"/>
    <w:link w:val="CommentTextChar"/>
    <w:uiPriority w:val="99"/>
    <w:semiHidden/>
    <w:unhideWhenUsed/>
    <w:rsid w:val="00203296"/>
  </w:style>
  <w:style w:type="character" w:customStyle="1" w:styleId="CommentTextChar">
    <w:name w:val="Comment Text Char"/>
    <w:basedOn w:val="DefaultParagraphFont"/>
    <w:link w:val="CommentText"/>
    <w:uiPriority w:val="99"/>
    <w:semiHidden/>
    <w:rsid w:val="00203296"/>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3296"/>
    <w:rPr>
      <w:b/>
      <w:bCs/>
    </w:rPr>
  </w:style>
  <w:style w:type="character" w:customStyle="1" w:styleId="CommentSubjectChar">
    <w:name w:val="Comment Subject Char"/>
    <w:basedOn w:val="CommentTextChar"/>
    <w:link w:val="CommentSubject"/>
    <w:uiPriority w:val="99"/>
    <w:semiHidden/>
    <w:rsid w:val="00203296"/>
    <w:rPr>
      <w:rFonts w:ascii="Times New Roman" w:eastAsia="MS Mincho"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133992">
      <w:bodyDiv w:val="1"/>
      <w:marLeft w:val="0"/>
      <w:marRight w:val="0"/>
      <w:marTop w:val="0"/>
      <w:marBottom w:val="0"/>
      <w:divBdr>
        <w:top w:val="none" w:sz="0" w:space="0" w:color="auto"/>
        <w:left w:val="none" w:sz="0" w:space="0" w:color="auto"/>
        <w:bottom w:val="none" w:sz="0" w:space="0" w:color="auto"/>
        <w:right w:val="none" w:sz="0" w:space="0" w:color="auto"/>
      </w:divBdr>
    </w:div>
    <w:div w:id="821506340">
      <w:bodyDiv w:val="1"/>
      <w:marLeft w:val="0"/>
      <w:marRight w:val="0"/>
      <w:marTop w:val="0"/>
      <w:marBottom w:val="0"/>
      <w:divBdr>
        <w:top w:val="none" w:sz="0" w:space="0" w:color="auto"/>
        <w:left w:val="none" w:sz="0" w:space="0" w:color="auto"/>
        <w:bottom w:val="none" w:sz="0" w:space="0" w:color="auto"/>
        <w:right w:val="none" w:sz="0" w:space="0" w:color="auto"/>
      </w:divBdr>
    </w:div>
    <w:div w:id="1083794023">
      <w:bodyDiv w:val="1"/>
      <w:marLeft w:val="0"/>
      <w:marRight w:val="0"/>
      <w:marTop w:val="0"/>
      <w:marBottom w:val="0"/>
      <w:divBdr>
        <w:top w:val="none" w:sz="0" w:space="0" w:color="auto"/>
        <w:left w:val="none" w:sz="0" w:space="0" w:color="auto"/>
        <w:bottom w:val="none" w:sz="0" w:space="0" w:color="auto"/>
        <w:right w:val="none" w:sz="0" w:space="0" w:color="auto"/>
      </w:divBdr>
    </w:div>
    <w:div w:id="1210268062">
      <w:bodyDiv w:val="1"/>
      <w:marLeft w:val="0"/>
      <w:marRight w:val="0"/>
      <w:marTop w:val="0"/>
      <w:marBottom w:val="0"/>
      <w:divBdr>
        <w:top w:val="none" w:sz="0" w:space="0" w:color="auto"/>
        <w:left w:val="none" w:sz="0" w:space="0" w:color="auto"/>
        <w:bottom w:val="none" w:sz="0" w:space="0" w:color="auto"/>
        <w:right w:val="none" w:sz="0" w:space="0" w:color="auto"/>
      </w:divBdr>
    </w:div>
    <w:div w:id="177369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6</Pages>
  <Words>2925</Words>
  <Characters>16678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19564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Sahai, Achaleshwar</dc:creator>
  <cp:keywords/>
  <dc:description/>
  <cp:lastModifiedBy>Sahai, Achaleshwar</cp:lastModifiedBy>
  <cp:revision>5</cp:revision>
  <cp:lastPrinted>2016-02-05T20:58:00Z</cp:lastPrinted>
  <dcterms:created xsi:type="dcterms:W3CDTF">2016-03-31T19:00:00Z</dcterms:created>
  <dcterms:modified xsi:type="dcterms:W3CDTF">2016-04-01T20:25:00Z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-1050140651</vt:i4>
  </property>
  <property fmtid="{D5CDD505-2E9C-101B-9397-08002B2CF9AE}" pid="3" name="_NewReviewCycle">
    <vt:lpwstr/>
  </property>
  <property fmtid="{D5CDD505-2E9C-101B-9397-08002B2CF9AE}" pid="4" name="_EmailSubject">
    <vt:lpwstr>Clarification regarding 4Rx RF tests</vt:lpwstr>
  </property>
  <property fmtid="{D5CDD505-2E9C-101B-9397-08002B2CF9AE}" pid="5" name="_AuthorEmail">
    <vt:lpwstr>vgheorgh@qti.qualcomm.com</vt:lpwstr>
  </property>
  <property fmtid="{D5CDD505-2E9C-101B-9397-08002B2CF9AE}" pid="6" name="_AuthorEmailDisplayName">
    <vt:lpwstr>Gheorghiu, Valentin</vt:lpwstr>
  </property>
  <property fmtid="{D5CDD505-2E9C-101B-9397-08002B2CF9AE}" pid="7" name="_PreviousAdHocReviewCycleID">
    <vt:i4>-1579685045</vt:i4>
  </property>
  <property fmtid="{D5CDD505-2E9C-101B-9397-08002B2CF9AE}" pid="8" name="_ReviewingToolsShownOnce">
    <vt:lpwstr/>
  </property>
</Properties>
</file>