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07C" w:rsidRPr="00BA407C" w:rsidRDefault="00BA407C" w:rsidP="00BA407C">
      <w:pPr>
        <w:pStyle w:val="Header"/>
        <w:tabs>
          <w:tab w:val="right" w:pos="9990"/>
          <w:tab w:val="right" w:pos="13323"/>
        </w:tabs>
        <w:ind w:right="-79"/>
        <w:rPr>
          <w:rFonts w:cs="Arial"/>
          <w:sz w:val="24"/>
          <w:szCs w:val="24"/>
          <w:lang w:eastAsia="ja-JP"/>
        </w:rPr>
      </w:pPr>
      <w:bookmarkStart w:id="0" w:name="_Toc374930449"/>
      <w:bookmarkStart w:id="1" w:name="_Toc436619240"/>
      <w:bookmarkStart w:id="2" w:name="_Toc451844170"/>
      <w:bookmarkStart w:id="3" w:name="_Toc466346614"/>
      <w:bookmarkStart w:id="4" w:name="_Toc466348847"/>
      <w:bookmarkStart w:id="5" w:name="_Toc466352954"/>
      <w:bookmarkStart w:id="6" w:name="_Toc472222521"/>
      <w:bookmarkStart w:id="7" w:name="_Toc270064812"/>
      <w:bookmarkStart w:id="8" w:name="_Ref399006623"/>
      <w:bookmarkStart w:id="9" w:name="_Toc107399996"/>
      <w:bookmarkStart w:id="10" w:name="_Toc118106256"/>
      <w:bookmarkStart w:id="11" w:name="_Toc127815000"/>
      <w:bookmarkStart w:id="12" w:name="_Toc175717711"/>
      <w:r w:rsidRPr="00BA407C">
        <w:rPr>
          <w:rFonts w:cs="Arial"/>
          <w:sz w:val="24"/>
          <w:szCs w:val="24"/>
        </w:rPr>
        <w:t>3GPP TSG-RAN WG4 Meeting #7</w:t>
      </w:r>
      <w:r w:rsidRPr="00BA407C">
        <w:rPr>
          <w:rFonts w:cs="Arial" w:hint="eastAsia"/>
          <w:sz w:val="24"/>
          <w:szCs w:val="24"/>
        </w:rPr>
        <w:t>8bis</w:t>
      </w:r>
      <w:r w:rsidRPr="00BA407C">
        <w:rPr>
          <w:rFonts w:cs="Arial"/>
          <w:sz w:val="24"/>
          <w:szCs w:val="24"/>
        </w:rPr>
        <w:tab/>
        <w:t>R4-1</w:t>
      </w:r>
      <w:r w:rsidRPr="00BA407C">
        <w:rPr>
          <w:rFonts w:eastAsia="SimSun" w:cs="Arial" w:hint="eastAsia"/>
          <w:sz w:val="24"/>
          <w:szCs w:val="24"/>
          <w:lang w:eastAsia="zh-CN"/>
        </w:rPr>
        <w:t>6</w:t>
      </w:r>
      <w:r w:rsidR="004E0D80">
        <w:rPr>
          <w:rFonts w:cs="Arial"/>
          <w:sz w:val="24"/>
          <w:szCs w:val="24"/>
        </w:rPr>
        <w:t>1755</w:t>
      </w:r>
    </w:p>
    <w:p w:rsidR="00BA407C" w:rsidRPr="00BA407C" w:rsidRDefault="00BA407C" w:rsidP="00BA407C">
      <w:pPr>
        <w:pStyle w:val="Header"/>
        <w:tabs>
          <w:tab w:val="right" w:pos="9781"/>
          <w:tab w:val="right" w:pos="13323"/>
        </w:tabs>
        <w:outlineLvl w:val="0"/>
        <w:rPr>
          <w:rFonts w:eastAsia="SimSun"/>
          <w:sz w:val="24"/>
          <w:szCs w:val="24"/>
          <w:lang w:eastAsia="zh-CN"/>
        </w:rPr>
      </w:pPr>
      <w:r w:rsidRPr="00BA407C">
        <w:rPr>
          <w:rFonts w:eastAsia="SimSun" w:hint="eastAsia"/>
          <w:sz w:val="24"/>
          <w:szCs w:val="24"/>
          <w:lang w:eastAsia="zh-CN"/>
        </w:rPr>
        <w:t>San Jose del Cabo, Mexico</w:t>
      </w:r>
      <w:r w:rsidRPr="00BA407C">
        <w:rPr>
          <w:rFonts w:eastAsia="SimSun"/>
          <w:sz w:val="24"/>
          <w:szCs w:val="24"/>
          <w:lang w:val="pt-BR" w:eastAsia="zh-CN"/>
        </w:rPr>
        <w:t>,</w:t>
      </w:r>
      <w:r w:rsidRPr="00BA407C">
        <w:rPr>
          <w:sz w:val="24"/>
          <w:szCs w:val="24"/>
          <w:lang w:val="pt-BR" w:eastAsia="ja-JP"/>
        </w:rPr>
        <w:t xml:space="preserve"> </w:t>
      </w:r>
      <w:r w:rsidRPr="00BA407C">
        <w:rPr>
          <w:sz w:val="24"/>
          <w:szCs w:val="24"/>
          <w:lang w:eastAsia="ja-JP"/>
        </w:rPr>
        <w:t>1</w:t>
      </w:r>
      <w:r w:rsidRPr="00BA407C">
        <w:rPr>
          <w:rFonts w:eastAsia="SimSun" w:hint="eastAsia"/>
          <w:sz w:val="24"/>
          <w:szCs w:val="24"/>
          <w:lang w:eastAsia="zh-CN"/>
        </w:rPr>
        <w:t>1</w:t>
      </w:r>
      <w:r w:rsidRPr="00BA407C">
        <w:rPr>
          <w:sz w:val="24"/>
          <w:szCs w:val="24"/>
          <w:lang w:eastAsia="ja-JP"/>
        </w:rPr>
        <w:t xml:space="preserve"> </w:t>
      </w:r>
      <w:r w:rsidRPr="00BA407C">
        <w:rPr>
          <w:rFonts w:eastAsia="SimSun"/>
          <w:sz w:val="24"/>
          <w:szCs w:val="24"/>
          <w:lang w:eastAsia="zh-CN"/>
        </w:rPr>
        <w:t xml:space="preserve">– </w:t>
      </w:r>
      <w:r w:rsidRPr="00BA407C">
        <w:rPr>
          <w:rFonts w:eastAsia="SimSun" w:hint="eastAsia"/>
          <w:sz w:val="24"/>
          <w:szCs w:val="24"/>
          <w:lang w:eastAsia="zh-CN"/>
        </w:rPr>
        <w:t>15</w:t>
      </w:r>
      <w:r w:rsidRPr="00BA407C">
        <w:rPr>
          <w:sz w:val="24"/>
          <w:szCs w:val="24"/>
          <w:lang w:eastAsia="ja-JP"/>
        </w:rPr>
        <w:t xml:space="preserve"> </w:t>
      </w:r>
      <w:r w:rsidRPr="00BA407C">
        <w:rPr>
          <w:rFonts w:eastAsia="SimSun" w:hint="eastAsia"/>
          <w:sz w:val="24"/>
          <w:szCs w:val="24"/>
          <w:lang w:eastAsia="zh-CN"/>
        </w:rPr>
        <w:t>April</w:t>
      </w:r>
      <w:r w:rsidRPr="00BA407C">
        <w:rPr>
          <w:sz w:val="24"/>
          <w:szCs w:val="24"/>
          <w:lang w:eastAsia="ja-JP"/>
        </w:rPr>
        <w:t>, 201</w:t>
      </w:r>
      <w:r w:rsidRPr="00BA407C">
        <w:rPr>
          <w:rFonts w:eastAsia="SimSun" w:hint="eastAsia"/>
          <w:sz w:val="24"/>
          <w:szCs w:val="24"/>
          <w:lang w:eastAsia="zh-CN"/>
        </w:rPr>
        <w:t>6</w:t>
      </w:r>
    </w:p>
    <w:p w:rsidR="00BB3675" w:rsidRPr="009C1F2A" w:rsidRDefault="00BB3675" w:rsidP="00BB3675">
      <w:pPr>
        <w:pStyle w:val="Header"/>
        <w:tabs>
          <w:tab w:val="right" w:pos="9781"/>
          <w:tab w:val="right" w:pos="13323"/>
        </w:tabs>
        <w:outlineLvl w:val="0"/>
        <w:rPr>
          <w:rFonts w:cs="Arial"/>
          <w:b w:val="0"/>
          <w:sz w:val="24"/>
          <w:szCs w:val="24"/>
          <w:lang w:eastAsia="ja-JP"/>
        </w:rPr>
      </w:pPr>
    </w:p>
    <w:p w:rsidR="00BB3675" w:rsidRPr="009C1F2A" w:rsidRDefault="00BB3675" w:rsidP="00BB3675">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13" w:name="Source"/>
      <w:bookmarkEnd w:id="13"/>
      <w:r w:rsidR="006F4DA1">
        <w:rPr>
          <w:rFonts w:ascii="Arial" w:hAnsi="Arial"/>
          <w:sz w:val="22"/>
          <w:szCs w:val="22"/>
        </w:rPr>
        <w:t>7</w:t>
      </w:r>
      <w:r w:rsidR="00507302">
        <w:rPr>
          <w:rFonts w:ascii="Arial" w:hAnsi="Arial"/>
          <w:sz w:val="22"/>
          <w:szCs w:val="22"/>
        </w:rPr>
        <w:t>.13.</w:t>
      </w:r>
      <w:r w:rsidR="006F4DA1">
        <w:rPr>
          <w:rFonts w:ascii="Arial" w:hAnsi="Arial"/>
          <w:sz w:val="22"/>
          <w:szCs w:val="22"/>
        </w:rPr>
        <w:t>2</w:t>
      </w:r>
    </w:p>
    <w:p w:rsidR="00BB3675" w:rsidRPr="00F13D4B" w:rsidRDefault="00BB3675" w:rsidP="00BB3675">
      <w:pPr>
        <w:tabs>
          <w:tab w:val="left" w:pos="1985"/>
        </w:tabs>
        <w:rPr>
          <w:rFonts w:ascii="Arial" w:hAnsi="Arial"/>
          <w:sz w:val="22"/>
          <w:szCs w:val="22"/>
          <w:lang w:eastAsia="ja-JP"/>
        </w:rPr>
      </w:pPr>
      <w:r w:rsidRPr="003D2895">
        <w:rPr>
          <w:rFonts w:ascii="Arial" w:hAnsi="Arial"/>
          <w:b/>
          <w:sz w:val="24"/>
          <w:szCs w:val="24"/>
        </w:rPr>
        <w:t xml:space="preserve">Source: </w:t>
      </w:r>
      <w:r w:rsidRPr="003D2895">
        <w:rPr>
          <w:rFonts w:ascii="Arial" w:hAnsi="Arial"/>
          <w:b/>
          <w:sz w:val="24"/>
          <w:szCs w:val="24"/>
        </w:rPr>
        <w:tab/>
      </w:r>
      <w:r w:rsidRPr="002477D8">
        <w:rPr>
          <w:rFonts w:ascii="Arial" w:hAnsi="Arial"/>
          <w:sz w:val="22"/>
          <w:szCs w:val="22"/>
        </w:rPr>
        <w:t>Ericsson</w:t>
      </w:r>
    </w:p>
    <w:p w:rsidR="009350C5" w:rsidRDefault="00BB3675" w:rsidP="00BB3675">
      <w:pPr>
        <w:rPr>
          <w:rFonts w:ascii="Arial" w:hAnsi="Arial"/>
          <w:sz w:val="22"/>
          <w:szCs w:val="22"/>
        </w:rPr>
      </w:pPr>
      <w:r w:rsidRPr="00F13D4B">
        <w:rPr>
          <w:rFonts w:ascii="Arial" w:hAnsi="Arial"/>
          <w:b/>
          <w:sz w:val="22"/>
          <w:szCs w:val="22"/>
        </w:rPr>
        <w:t>Title:</w:t>
      </w:r>
      <w:r w:rsidRPr="00F13D4B">
        <w:rPr>
          <w:rFonts w:ascii="Arial" w:hAnsi="Arial"/>
          <w:sz w:val="22"/>
          <w:szCs w:val="22"/>
        </w:rPr>
        <w:t xml:space="preserve"> </w:t>
      </w:r>
      <w:r w:rsidRPr="00F13D4B">
        <w:rPr>
          <w:rFonts w:ascii="Arial" w:hAnsi="Arial"/>
          <w:sz w:val="22"/>
          <w:szCs w:val="22"/>
        </w:rPr>
        <w:tab/>
      </w:r>
      <w:bookmarkStart w:id="14" w:name="Title"/>
      <w:bookmarkEnd w:id="14"/>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sidR="009D0793">
        <w:rPr>
          <w:rFonts w:ascii="Arial" w:hAnsi="Arial"/>
          <w:sz w:val="22"/>
          <w:szCs w:val="22"/>
        </w:rPr>
        <w:t xml:space="preserve">Simulation Assumptions for </w:t>
      </w:r>
      <w:r w:rsidR="0057633F">
        <w:rPr>
          <w:rFonts w:ascii="Arial" w:hAnsi="Arial"/>
          <w:sz w:val="22"/>
          <w:szCs w:val="22"/>
        </w:rPr>
        <w:t xml:space="preserve">V2V </w:t>
      </w:r>
      <w:r w:rsidR="009D0793">
        <w:rPr>
          <w:rFonts w:ascii="Arial" w:hAnsi="Arial"/>
          <w:sz w:val="22"/>
          <w:szCs w:val="22"/>
        </w:rPr>
        <w:t>Co-existence</w:t>
      </w:r>
      <w:r w:rsidR="0057633F">
        <w:rPr>
          <w:rFonts w:ascii="Arial" w:hAnsi="Arial"/>
          <w:sz w:val="22"/>
          <w:szCs w:val="22"/>
        </w:rPr>
        <w:t xml:space="preserve"> Analysis</w:t>
      </w:r>
      <w:bookmarkStart w:id="15" w:name="_GoBack"/>
      <w:bookmarkEnd w:id="15"/>
    </w:p>
    <w:p w:rsidR="00BB3675" w:rsidRDefault="00BB3675" w:rsidP="00BB3675">
      <w:pPr>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16" w:name="DocumentFor"/>
      <w:bookmarkEnd w:id="16"/>
      <w:r w:rsidR="00A621D1">
        <w:rPr>
          <w:rFonts w:ascii="Arial" w:hAnsi="Arial"/>
          <w:sz w:val="24"/>
          <w:szCs w:val="24"/>
        </w:rPr>
        <w:tab/>
      </w:r>
      <w:r w:rsidR="00232103">
        <w:rPr>
          <w:rFonts w:ascii="Arial" w:hAnsi="Arial"/>
          <w:sz w:val="22"/>
          <w:szCs w:val="22"/>
        </w:rPr>
        <w:t>Approval</w:t>
      </w:r>
    </w:p>
    <w:p w:rsidR="00297E77" w:rsidRDefault="007456AF" w:rsidP="00D86D7B">
      <w:pPr>
        <w:pStyle w:val="Heading1"/>
        <w:rPr>
          <w:lang w:val="en-US"/>
        </w:rPr>
      </w:pPr>
      <w:r>
        <w:rPr>
          <w:lang w:val="en-US"/>
        </w:rPr>
        <w:t>1.</w:t>
      </w:r>
      <w:r>
        <w:rPr>
          <w:lang w:val="en-US"/>
        </w:rPr>
        <w:tab/>
      </w:r>
      <w:r w:rsidR="00297E77">
        <w:rPr>
          <w:lang w:val="en-US"/>
        </w:rPr>
        <w:t>Introduction</w:t>
      </w:r>
    </w:p>
    <w:p w:rsidR="006F4DA1" w:rsidRDefault="006F4DA1" w:rsidP="006F4DA1">
      <w:pPr>
        <w:rPr>
          <w:rFonts w:eastAsia="SimSun"/>
          <w:sz w:val="22"/>
          <w:szCs w:val="22"/>
          <w:lang w:eastAsia="zh-CN"/>
        </w:rPr>
      </w:pPr>
      <w:bookmarkStart w:id="17" w:name="_Ref352842173"/>
      <w:r w:rsidRPr="00E17B7D">
        <w:rPr>
          <w:sz w:val="22"/>
          <w:szCs w:val="22"/>
          <w:lang w:eastAsia="ko-KR"/>
        </w:rPr>
        <w:t xml:space="preserve">As per the </w:t>
      </w:r>
      <w:r>
        <w:rPr>
          <w:sz w:val="22"/>
          <w:szCs w:val="22"/>
          <w:lang w:eastAsia="ko-KR"/>
        </w:rPr>
        <w:t xml:space="preserve">revised </w:t>
      </w:r>
      <w:r w:rsidRPr="00E17B7D">
        <w:rPr>
          <w:sz w:val="22"/>
          <w:szCs w:val="22"/>
          <w:lang w:eastAsia="ko-KR"/>
        </w:rPr>
        <w:t>LTE Work Item entitled “</w:t>
      </w:r>
      <w:r>
        <w:rPr>
          <w:sz w:val="22"/>
          <w:szCs w:val="22"/>
          <w:lang w:eastAsia="ko-KR"/>
        </w:rPr>
        <w:t xml:space="preserve">Revised WID: </w:t>
      </w:r>
      <w:r w:rsidRPr="00E17B7D">
        <w:rPr>
          <w:rFonts w:eastAsia="Batang"/>
          <w:i/>
          <w:sz w:val="22"/>
          <w:szCs w:val="22"/>
          <w:lang w:eastAsia="ko-KR"/>
        </w:rPr>
        <w:t xml:space="preserve">Support for V2V services based on LTE </w:t>
      </w:r>
      <w:proofErr w:type="spellStart"/>
      <w:r w:rsidRPr="00E17B7D">
        <w:rPr>
          <w:rFonts w:eastAsia="Batang"/>
          <w:i/>
          <w:sz w:val="22"/>
          <w:szCs w:val="22"/>
          <w:lang w:eastAsia="ko-KR"/>
        </w:rPr>
        <w:t>sidelink</w:t>
      </w:r>
      <w:proofErr w:type="spellEnd"/>
      <w:r>
        <w:rPr>
          <w:sz w:val="22"/>
          <w:szCs w:val="22"/>
          <w:lang w:eastAsia="ko-KR"/>
        </w:rPr>
        <w:t>” [2</w:t>
      </w:r>
      <w:r w:rsidRPr="00E17B7D">
        <w:rPr>
          <w:sz w:val="22"/>
          <w:szCs w:val="22"/>
          <w:lang w:eastAsia="ko-KR"/>
        </w:rPr>
        <w:t xml:space="preserve">] LTE-based V2X (i.e. vehicle-to-vehicle, vehicle-infrastructure or vehicle-to-pedestrian) </w:t>
      </w:r>
      <w:r>
        <w:rPr>
          <w:sz w:val="22"/>
          <w:szCs w:val="22"/>
          <w:lang w:eastAsia="ko-KR"/>
        </w:rPr>
        <w:t>functionality</w:t>
      </w:r>
      <w:r w:rsidRPr="00E17B7D">
        <w:rPr>
          <w:rFonts w:hint="eastAsia"/>
          <w:sz w:val="22"/>
          <w:szCs w:val="22"/>
          <w:lang w:eastAsia="ko-KR"/>
        </w:rPr>
        <w:t xml:space="preserve"> </w:t>
      </w:r>
      <w:r>
        <w:rPr>
          <w:sz w:val="22"/>
          <w:szCs w:val="22"/>
          <w:lang w:eastAsia="ko-KR"/>
        </w:rPr>
        <w:t xml:space="preserve">is to be defined as part of Release 14. </w:t>
      </w:r>
    </w:p>
    <w:p w:rsidR="0055676F" w:rsidRPr="00E17B7D" w:rsidRDefault="0055676F" w:rsidP="0055676F">
      <w:pPr>
        <w:rPr>
          <w:rFonts w:eastAsia="SimSun"/>
          <w:sz w:val="22"/>
          <w:szCs w:val="22"/>
          <w:lang w:eastAsia="zh-CN"/>
        </w:rPr>
      </w:pPr>
      <w:r w:rsidRPr="00E17B7D">
        <w:rPr>
          <w:rFonts w:eastAsia="SimSun"/>
          <w:sz w:val="22"/>
          <w:szCs w:val="22"/>
          <w:lang w:eastAsia="zh-CN"/>
        </w:rPr>
        <w:t xml:space="preserve">This contribution discusses </w:t>
      </w:r>
      <w:r>
        <w:rPr>
          <w:rFonts w:eastAsia="SimSun"/>
          <w:sz w:val="22"/>
          <w:szCs w:val="22"/>
          <w:lang w:eastAsia="zh-CN"/>
        </w:rPr>
        <w:t>the co-existence assumptions to be employed by RAN4 in Release 14 for the analysis of V2X performance</w:t>
      </w:r>
      <w:r w:rsidRPr="00E17B7D">
        <w:rPr>
          <w:rFonts w:eastAsia="SimSun"/>
          <w:sz w:val="22"/>
          <w:szCs w:val="22"/>
          <w:lang w:eastAsia="zh-CN"/>
        </w:rPr>
        <w:t>.</w:t>
      </w:r>
    </w:p>
    <w:bookmarkEnd w:id="17"/>
    <w:p w:rsidR="00472476" w:rsidRDefault="00472476" w:rsidP="00BB78D0">
      <w:pPr>
        <w:rPr>
          <w:noProof/>
          <w:sz w:val="22"/>
          <w:szCs w:val="22"/>
          <w:lang w:eastAsia="ko-KR"/>
        </w:rPr>
      </w:pPr>
    </w:p>
    <w:p w:rsidR="000E620C" w:rsidRPr="001706B8" w:rsidRDefault="000E620C" w:rsidP="000E620C">
      <w:pPr>
        <w:pStyle w:val="Heading1"/>
      </w:pPr>
      <w:r w:rsidRPr="001706B8">
        <w:t>2.</w:t>
      </w:r>
      <w:r w:rsidRPr="001706B8">
        <w:tab/>
      </w:r>
      <w:r w:rsidR="00CD3CDE" w:rsidRPr="001706B8">
        <w:t xml:space="preserve">Discussion of </w:t>
      </w:r>
      <w:r w:rsidR="000B5CDC">
        <w:t xml:space="preserve">Proposed </w:t>
      </w:r>
      <w:r w:rsidR="00CD3CDE" w:rsidRPr="001706B8">
        <w:t>V2X</w:t>
      </w:r>
      <w:r w:rsidRPr="001706B8">
        <w:t xml:space="preserve"> </w:t>
      </w:r>
      <w:r w:rsidR="00C74EA1" w:rsidRPr="001706B8">
        <w:t xml:space="preserve">Co-existence </w:t>
      </w:r>
      <w:r w:rsidR="000B5CDC">
        <w:t>Assumptions</w:t>
      </w:r>
    </w:p>
    <w:p w:rsidR="00571645" w:rsidRDefault="00571645" w:rsidP="003206D1">
      <w:pPr>
        <w:pStyle w:val="Heading2"/>
        <w:ind w:left="0" w:firstLine="0"/>
        <w:rPr>
          <w:rFonts w:ascii="Times New Roman" w:eastAsia="Malgun Gothic" w:hAnsi="Times New Roman"/>
          <w:sz w:val="22"/>
          <w:szCs w:val="22"/>
          <w:lang w:eastAsia="ko-KR"/>
        </w:rPr>
      </w:pPr>
    </w:p>
    <w:p w:rsidR="00571645" w:rsidRPr="00E17B7D" w:rsidRDefault="00571645" w:rsidP="00571645">
      <w:pPr>
        <w:rPr>
          <w:sz w:val="22"/>
          <w:szCs w:val="22"/>
          <w:lang w:eastAsia="zh-CN"/>
        </w:rPr>
      </w:pPr>
      <w:r>
        <w:rPr>
          <w:sz w:val="22"/>
          <w:szCs w:val="22"/>
          <w:lang w:eastAsia="zh-CN"/>
        </w:rPr>
        <w:t>From [2</w:t>
      </w:r>
      <w:r w:rsidRPr="00E17B7D">
        <w:rPr>
          <w:sz w:val="22"/>
          <w:szCs w:val="22"/>
          <w:lang w:eastAsia="zh-CN"/>
        </w:rPr>
        <w:t>]</w:t>
      </w:r>
      <w:r>
        <w:rPr>
          <w:sz w:val="22"/>
          <w:szCs w:val="22"/>
          <w:lang w:eastAsia="zh-CN"/>
        </w:rPr>
        <w:t xml:space="preserve">, </w:t>
      </w:r>
      <w:r w:rsidRPr="00E17B7D">
        <w:rPr>
          <w:sz w:val="22"/>
          <w:szCs w:val="22"/>
          <w:lang w:eastAsia="zh-CN"/>
        </w:rPr>
        <w:t>RAN4 has a mandate to investigate and complete the following objectives:</w:t>
      </w:r>
    </w:p>
    <w:p w:rsidR="00571645" w:rsidRPr="005A23B2" w:rsidRDefault="00571645" w:rsidP="00571645">
      <w:pPr>
        <w:numPr>
          <w:ilvl w:val="0"/>
          <w:numId w:val="3"/>
        </w:numPr>
        <w:overflowPunct w:val="0"/>
        <w:autoSpaceDE w:val="0"/>
        <w:autoSpaceDN w:val="0"/>
        <w:ind w:left="360"/>
        <w:jc w:val="both"/>
        <w:rPr>
          <w:i/>
          <w:sz w:val="22"/>
          <w:szCs w:val="22"/>
          <w:lang w:eastAsia="ko-KR"/>
        </w:rPr>
      </w:pPr>
      <w:r w:rsidRPr="005A23B2">
        <w:rPr>
          <w:i/>
          <w:sz w:val="22"/>
          <w:szCs w:val="22"/>
          <w:lang w:eastAsia="ko-KR"/>
        </w:rPr>
        <w:t xml:space="preserve">To specify a solution/requirement (if needed) for </w:t>
      </w:r>
      <w:r w:rsidRPr="005A23B2">
        <w:rPr>
          <w:i/>
          <w:sz w:val="22"/>
          <w:szCs w:val="22"/>
          <w:lang w:val="en-US"/>
        </w:rPr>
        <w:t xml:space="preserve">coexistence of PC5-based V2V operation and </w:t>
      </w:r>
      <w:r w:rsidRPr="005A23B2">
        <w:rPr>
          <w:i/>
          <w:sz w:val="22"/>
          <w:szCs w:val="22"/>
          <w:lang w:val="en-US" w:eastAsia="ko-KR"/>
        </w:rPr>
        <w:t xml:space="preserve">legacy </w:t>
      </w:r>
      <w:proofErr w:type="spellStart"/>
      <w:r w:rsidRPr="005A23B2">
        <w:rPr>
          <w:i/>
          <w:sz w:val="22"/>
          <w:szCs w:val="22"/>
          <w:lang w:val="en-US"/>
        </w:rPr>
        <w:t>Uu</w:t>
      </w:r>
      <w:proofErr w:type="spellEnd"/>
      <w:r w:rsidRPr="005A23B2">
        <w:rPr>
          <w:i/>
          <w:sz w:val="22"/>
          <w:szCs w:val="22"/>
          <w:lang w:val="en-US"/>
        </w:rPr>
        <w:t xml:space="preserve"> operation with LTE</w:t>
      </w:r>
      <w:r w:rsidRPr="005A23B2">
        <w:rPr>
          <w:i/>
          <w:sz w:val="22"/>
          <w:szCs w:val="22"/>
          <w:lang w:val="en-US" w:eastAsia="ko-KR"/>
        </w:rPr>
        <w:t xml:space="preserve"> in the same carrier frequency [RAN1] and in an adjacent carrier frequency [RAN4] </w:t>
      </w:r>
    </w:p>
    <w:p w:rsidR="00571645" w:rsidRPr="005A23B2" w:rsidRDefault="00571645" w:rsidP="00571645">
      <w:pPr>
        <w:widowControl w:val="0"/>
        <w:numPr>
          <w:ilvl w:val="0"/>
          <w:numId w:val="3"/>
        </w:numPr>
        <w:autoSpaceDE w:val="0"/>
        <w:autoSpaceDN w:val="0"/>
        <w:adjustRightInd w:val="0"/>
        <w:spacing w:after="120"/>
        <w:ind w:left="357" w:hanging="357"/>
        <w:jc w:val="both"/>
        <w:textAlignment w:val="baseline"/>
        <w:rPr>
          <w:i/>
          <w:sz w:val="22"/>
          <w:szCs w:val="22"/>
          <w:lang w:val="en-US"/>
        </w:rPr>
      </w:pPr>
      <w:r w:rsidRPr="005A23B2">
        <w:rPr>
          <w:i/>
          <w:sz w:val="22"/>
          <w:szCs w:val="22"/>
          <w:lang w:val="en-US" w:eastAsia="ko-KR"/>
        </w:rPr>
        <w:t xml:space="preserve">To specify UE </w:t>
      </w:r>
      <w:proofErr w:type="spellStart"/>
      <w:r w:rsidRPr="005A23B2">
        <w:rPr>
          <w:i/>
          <w:sz w:val="22"/>
          <w:szCs w:val="22"/>
          <w:lang w:val="en-US" w:eastAsia="ko-KR"/>
        </w:rPr>
        <w:t>Tx</w:t>
      </w:r>
      <w:proofErr w:type="spellEnd"/>
      <w:r w:rsidRPr="005A23B2">
        <w:rPr>
          <w:i/>
          <w:sz w:val="22"/>
          <w:szCs w:val="22"/>
          <w:lang w:val="en-US" w:eastAsia="ko-KR"/>
        </w:rPr>
        <w:t xml:space="preserve"> and Rx RF requirements covering operations at up to 6 GHz carrier [RAN4]</w:t>
      </w:r>
    </w:p>
    <w:p w:rsidR="00571645" w:rsidRPr="005A23B2" w:rsidRDefault="00571645" w:rsidP="00571645">
      <w:pPr>
        <w:widowControl w:val="0"/>
        <w:numPr>
          <w:ilvl w:val="0"/>
          <w:numId w:val="3"/>
        </w:numPr>
        <w:autoSpaceDE w:val="0"/>
        <w:autoSpaceDN w:val="0"/>
        <w:adjustRightInd w:val="0"/>
        <w:spacing w:after="120"/>
        <w:ind w:left="357" w:hanging="357"/>
        <w:jc w:val="both"/>
        <w:textAlignment w:val="baseline"/>
        <w:rPr>
          <w:i/>
          <w:sz w:val="22"/>
          <w:szCs w:val="22"/>
          <w:lang w:val="en-US"/>
        </w:rPr>
      </w:pPr>
      <w:r w:rsidRPr="005A23B2">
        <w:rPr>
          <w:i/>
          <w:sz w:val="22"/>
          <w:szCs w:val="22"/>
          <w:lang w:val="en-US" w:eastAsia="ko-KR"/>
        </w:rPr>
        <w:t>To specify RRM core requirements [RAN4]</w:t>
      </w:r>
    </w:p>
    <w:p w:rsidR="00571645" w:rsidRPr="005A23B2" w:rsidRDefault="00571645" w:rsidP="00571645">
      <w:pPr>
        <w:numPr>
          <w:ilvl w:val="0"/>
          <w:numId w:val="3"/>
        </w:numPr>
        <w:overflowPunct w:val="0"/>
        <w:autoSpaceDE w:val="0"/>
        <w:autoSpaceDN w:val="0"/>
        <w:ind w:left="360"/>
        <w:jc w:val="both"/>
        <w:rPr>
          <w:i/>
          <w:sz w:val="22"/>
          <w:szCs w:val="22"/>
        </w:rPr>
      </w:pPr>
      <w:r w:rsidRPr="005A23B2">
        <w:rPr>
          <w:i/>
          <w:sz w:val="22"/>
          <w:szCs w:val="22"/>
          <w:lang w:eastAsia="ko-KR"/>
        </w:rPr>
        <w:t xml:space="preserve">To specify a solution/requirement for coexistence of LTE-based ITS operation and IEEE 802.11p on adjacent carrier frequencies within the 5.9GHz ITS spectrum. </w:t>
      </w:r>
      <w:r w:rsidRPr="005A23B2">
        <w:rPr>
          <w:i/>
          <w:sz w:val="22"/>
          <w:szCs w:val="22"/>
          <w:lang w:val="en-US" w:eastAsia="ko-KR"/>
        </w:rPr>
        <w:t xml:space="preserve">[RAN4] </w:t>
      </w:r>
    </w:p>
    <w:p w:rsidR="00571645" w:rsidRPr="005A23B2" w:rsidRDefault="00571645" w:rsidP="00571645">
      <w:pPr>
        <w:numPr>
          <w:ilvl w:val="0"/>
          <w:numId w:val="3"/>
        </w:numPr>
        <w:overflowPunct w:val="0"/>
        <w:autoSpaceDE w:val="0"/>
        <w:autoSpaceDN w:val="0"/>
        <w:ind w:left="360"/>
        <w:jc w:val="both"/>
        <w:rPr>
          <w:i/>
          <w:sz w:val="22"/>
          <w:szCs w:val="22"/>
          <w:lang w:eastAsia="ko-KR"/>
        </w:rPr>
      </w:pPr>
      <w:r w:rsidRPr="005A23B2">
        <w:rPr>
          <w:i/>
          <w:sz w:val="22"/>
          <w:szCs w:val="22"/>
          <w:lang w:eastAsia="ko-KR"/>
        </w:rPr>
        <w:t xml:space="preserve">To specify a solution/requirement for co-channel coexistence of LTE-based ITS operation and IEEE 802.11p within the 5.9GHz ITS spectrum. [RAN1, RAN4] </w:t>
      </w:r>
    </w:p>
    <w:p w:rsidR="00571645" w:rsidRPr="007F18BD" w:rsidRDefault="00571645" w:rsidP="00571645">
      <w:pPr>
        <w:jc w:val="both"/>
        <w:rPr>
          <w:i/>
          <w:sz w:val="22"/>
          <w:szCs w:val="22"/>
          <w:lang w:eastAsia="ko-KR"/>
        </w:rPr>
      </w:pPr>
      <w:r w:rsidRPr="005A23B2">
        <w:rPr>
          <w:i/>
          <w:sz w:val="22"/>
          <w:szCs w:val="22"/>
          <w:lang w:eastAsia="ko-KR"/>
        </w:rPr>
        <w:t>The work item should cover V2V services both with and without LTE network coverage, and cover both the operating scenarios where the carrier(s) is/are dedicated to V2V services and the operating scenarios where the carrier(s) is/are licensed spectrum and also used for normal LTE operation.</w:t>
      </w:r>
      <w:r w:rsidRPr="005A23B2">
        <w:rPr>
          <w:rFonts w:eastAsia="SimSun"/>
          <w:i/>
          <w:sz w:val="22"/>
          <w:szCs w:val="22"/>
          <w:lang w:eastAsia="zh-CN"/>
        </w:rPr>
        <w:t xml:space="preserve"> This work should consider extensions to V2I/V2P.</w:t>
      </w:r>
      <w:r w:rsidRPr="005A23B2">
        <w:rPr>
          <w:i/>
          <w:sz w:val="22"/>
          <w:szCs w:val="22"/>
          <w:lang w:eastAsia="ko-KR"/>
        </w:rPr>
        <w:t xml:space="preserve"> This work should also consider progress in SA WGs</w:t>
      </w:r>
      <w:r w:rsidRPr="007F18BD">
        <w:rPr>
          <w:rFonts w:hint="eastAsia"/>
          <w:i/>
          <w:sz w:val="22"/>
          <w:szCs w:val="22"/>
          <w:lang w:eastAsia="ko-KR"/>
        </w:rPr>
        <w:t>.</w:t>
      </w:r>
    </w:p>
    <w:p w:rsidR="00571645" w:rsidRPr="007F18BD" w:rsidRDefault="00571645" w:rsidP="00571645">
      <w:pPr>
        <w:jc w:val="both"/>
        <w:rPr>
          <w:i/>
          <w:sz w:val="22"/>
          <w:szCs w:val="22"/>
          <w:lang w:eastAsia="ko-KR"/>
        </w:rPr>
      </w:pPr>
      <w:r w:rsidRPr="007F18BD">
        <w:rPr>
          <w:rFonts w:hint="eastAsia"/>
          <w:i/>
          <w:sz w:val="22"/>
          <w:szCs w:val="22"/>
          <w:lang w:eastAsia="ko-KR"/>
        </w:rPr>
        <w:t xml:space="preserve">The specified enhancements should reuse the existing features of LTE as much as possible. </w:t>
      </w:r>
    </w:p>
    <w:p w:rsidR="00571645" w:rsidRDefault="00571645" w:rsidP="00571645">
      <w:pPr>
        <w:rPr>
          <w:rFonts w:eastAsia="SimSun"/>
          <w:sz w:val="22"/>
          <w:szCs w:val="22"/>
          <w:lang w:eastAsia="zh-CN"/>
        </w:rPr>
      </w:pPr>
      <w:r>
        <w:rPr>
          <w:rFonts w:eastAsia="SimSun"/>
          <w:sz w:val="22"/>
          <w:szCs w:val="22"/>
          <w:lang w:eastAsia="zh-CN"/>
        </w:rPr>
        <w:t xml:space="preserve">Furthermore at RAN4#78, a number of assumptions with regard to simulation </w:t>
      </w:r>
      <w:r w:rsidR="005A23B2">
        <w:rPr>
          <w:rFonts w:eastAsia="SimSun"/>
          <w:sz w:val="22"/>
          <w:szCs w:val="22"/>
          <w:lang w:eastAsia="zh-CN"/>
        </w:rPr>
        <w:t xml:space="preserve">of </w:t>
      </w:r>
      <w:r>
        <w:rPr>
          <w:rFonts w:eastAsia="SimSun"/>
          <w:sz w:val="22"/>
          <w:szCs w:val="22"/>
          <w:lang w:eastAsia="zh-CN"/>
        </w:rPr>
        <w:t>V2V adjacent channel co-existence performance were agreed to in [3] as detailed below.</w:t>
      </w:r>
    </w:p>
    <w:p w:rsidR="00571645" w:rsidRDefault="00571645" w:rsidP="003206D1">
      <w:pPr>
        <w:pStyle w:val="Heading2"/>
        <w:ind w:left="0" w:firstLine="0"/>
        <w:rPr>
          <w:rFonts w:ascii="Times New Roman" w:eastAsia="Malgun Gothic" w:hAnsi="Times New Roman"/>
          <w:sz w:val="22"/>
          <w:szCs w:val="22"/>
          <w:lang w:eastAsia="ko-KR"/>
        </w:rPr>
      </w:pPr>
    </w:p>
    <w:p w:rsidR="00F15D6B" w:rsidRDefault="00F15D6B" w:rsidP="003206D1">
      <w:pPr>
        <w:pStyle w:val="Heading2"/>
        <w:ind w:left="0" w:firstLine="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In the WF </w:t>
      </w:r>
      <w:r w:rsidR="00F93901">
        <w:rPr>
          <w:rFonts w:ascii="Times New Roman" w:eastAsia="Malgun Gothic" w:hAnsi="Times New Roman"/>
          <w:sz w:val="22"/>
          <w:szCs w:val="22"/>
          <w:lang w:eastAsia="ko-KR"/>
        </w:rPr>
        <w:t>[3] from RAN4#78,</w:t>
      </w:r>
      <w:r>
        <w:rPr>
          <w:rFonts w:ascii="Times New Roman" w:eastAsia="Malgun Gothic" w:hAnsi="Times New Roman"/>
          <w:sz w:val="22"/>
          <w:szCs w:val="22"/>
          <w:lang w:eastAsia="ko-KR"/>
        </w:rPr>
        <w:t xml:space="preserve"> it was agreed to as an objective to </w:t>
      </w:r>
      <w:r w:rsidR="00071AB9">
        <w:rPr>
          <w:rFonts w:ascii="Times New Roman" w:eastAsia="Malgun Gothic" w:hAnsi="Times New Roman"/>
          <w:sz w:val="22"/>
          <w:szCs w:val="22"/>
          <w:lang w:eastAsia="ko-KR"/>
        </w:rPr>
        <w:t>“</w:t>
      </w:r>
      <w:r w:rsidR="00071AB9" w:rsidRPr="00071AB9">
        <w:rPr>
          <w:rFonts w:ascii="Times New Roman" w:eastAsia="Malgun Gothic" w:hAnsi="Times New Roman"/>
          <w:i/>
          <w:sz w:val="22"/>
          <w:szCs w:val="22"/>
          <w:lang w:eastAsia="ko-KR"/>
        </w:rPr>
        <w:t>define adjacent channel coexistence simulation parameters for 2GHz/5.9GHz V2V Services during 4 meeting times in RAN WG4</w:t>
      </w:r>
      <w:r w:rsidR="00071AB9">
        <w:rPr>
          <w:rFonts w:ascii="Times New Roman" w:eastAsia="Malgun Gothic" w:hAnsi="Times New Roman"/>
          <w:sz w:val="22"/>
          <w:szCs w:val="22"/>
          <w:lang w:eastAsia="ko-KR"/>
        </w:rPr>
        <w:t>”. The following general parameters were agreed to:</w:t>
      </w:r>
    </w:p>
    <w:p w:rsidR="00862D12" w:rsidRPr="005A23B2" w:rsidRDefault="00EC39B1" w:rsidP="00071AB9">
      <w:pPr>
        <w:numPr>
          <w:ilvl w:val="0"/>
          <w:numId w:val="18"/>
        </w:numPr>
        <w:spacing w:after="0"/>
        <w:rPr>
          <w:rFonts w:eastAsia="Malgun Gothic"/>
          <w:i/>
          <w:sz w:val="22"/>
          <w:szCs w:val="22"/>
          <w:lang w:val="en-US" w:eastAsia="ko-KR"/>
        </w:rPr>
      </w:pPr>
      <w:r w:rsidRPr="005A23B2">
        <w:rPr>
          <w:rFonts w:eastAsia="Malgun Gothic"/>
          <w:i/>
          <w:sz w:val="22"/>
          <w:szCs w:val="22"/>
          <w:lang w:val="en-US" w:eastAsia="ko-KR"/>
        </w:rPr>
        <w:t xml:space="preserve">Deployment scenarios: Unban case </w:t>
      </w:r>
    </w:p>
    <w:p w:rsidR="00862D12" w:rsidRPr="005A23B2" w:rsidRDefault="00EC39B1" w:rsidP="00071AB9">
      <w:pPr>
        <w:numPr>
          <w:ilvl w:val="0"/>
          <w:numId w:val="18"/>
        </w:numPr>
        <w:spacing w:after="0"/>
        <w:rPr>
          <w:rFonts w:eastAsia="Malgun Gothic"/>
          <w:i/>
          <w:sz w:val="22"/>
          <w:szCs w:val="22"/>
          <w:lang w:val="en-US" w:eastAsia="ko-KR"/>
        </w:rPr>
      </w:pPr>
      <w:r w:rsidRPr="005A23B2">
        <w:rPr>
          <w:rFonts w:eastAsia="Malgun Gothic"/>
          <w:i/>
          <w:sz w:val="22"/>
          <w:szCs w:val="22"/>
          <w:lang w:val="en-US" w:eastAsia="ko-KR"/>
        </w:rPr>
        <w:t xml:space="preserve">Simulation Block Size : </w:t>
      </w:r>
    </w:p>
    <w:p w:rsidR="00862D12" w:rsidRPr="005A23B2" w:rsidRDefault="00EC39B1" w:rsidP="00071AB9">
      <w:pPr>
        <w:numPr>
          <w:ilvl w:val="1"/>
          <w:numId w:val="18"/>
        </w:numPr>
        <w:spacing w:after="0"/>
        <w:rPr>
          <w:rFonts w:eastAsia="Malgun Gothic"/>
          <w:i/>
          <w:sz w:val="22"/>
          <w:szCs w:val="22"/>
          <w:lang w:val="en-US" w:eastAsia="ko-KR"/>
        </w:rPr>
      </w:pPr>
      <w:r w:rsidRPr="005A23B2">
        <w:rPr>
          <w:rFonts w:eastAsia="Malgun Gothic"/>
          <w:i/>
          <w:sz w:val="22"/>
          <w:szCs w:val="22"/>
          <w:lang w:val="en-US" w:eastAsia="ko-KR"/>
        </w:rPr>
        <w:t>Urban : Manhattan grid model: 3*433m, 3* 250m (in page 6)</w:t>
      </w:r>
    </w:p>
    <w:p w:rsidR="00862D12" w:rsidRPr="005A23B2" w:rsidRDefault="00EC39B1" w:rsidP="00071AB9">
      <w:pPr>
        <w:numPr>
          <w:ilvl w:val="0"/>
          <w:numId w:val="18"/>
        </w:numPr>
        <w:spacing w:after="0"/>
        <w:rPr>
          <w:rFonts w:eastAsia="Malgun Gothic"/>
          <w:i/>
          <w:sz w:val="22"/>
          <w:szCs w:val="22"/>
          <w:lang w:val="en-US" w:eastAsia="ko-KR"/>
        </w:rPr>
      </w:pPr>
      <w:r w:rsidRPr="005A23B2">
        <w:rPr>
          <w:rFonts w:eastAsia="Malgun Gothic"/>
          <w:i/>
          <w:sz w:val="22"/>
          <w:szCs w:val="22"/>
          <w:lang w:val="en-US" w:eastAsia="ko-KR"/>
        </w:rPr>
        <w:t>Absolute vehicle speed for urban</w:t>
      </w:r>
    </w:p>
    <w:p w:rsidR="00862D12" w:rsidRPr="005A23B2" w:rsidRDefault="00EC39B1" w:rsidP="00071AB9">
      <w:pPr>
        <w:numPr>
          <w:ilvl w:val="1"/>
          <w:numId w:val="18"/>
        </w:numPr>
        <w:spacing w:after="0"/>
        <w:rPr>
          <w:rFonts w:eastAsia="Malgun Gothic"/>
          <w:i/>
          <w:sz w:val="22"/>
          <w:szCs w:val="22"/>
          <w:lang w:val="en-US" w:eastAsia="ko-KR"/>
        </w:rPr>
      </w:pPr>
      <w:r w:rsidRPr="005A23B2">
        <w:rPr>
          <w:rFonts w:eastAsia="Malgun Gothic"/>
          <w:i/>
          <w:sz w:val="22"/>
          <w:szCs w:val="22"/>
          <w:lang w:val="en-US" w:eastAsia="ko-KR"/>
        </w:rPr>
        <w:t>Urban : 15km/h, 60km/h</w:t>
      </w:r>
    </w:p>
    <w:p w:rsidR="00862D12" w:rsidRPr="005A23B2" w:rsidRDefault="00EC39B1" w:rsidP="00071AB9">
      <w:pPr>
        <w:numPr>
          <w:ilvl w:val="1"/>
          <w:numId w:val="18"/>
        </w:numPr>
        <w:spacing w:after="0"/>
        <w:rPr>
          <w:rFonts w:eastAsia="Malgun Gothic"/>
          <w:i/>
          <w:sz w:val="22"/>
          <w:szCs w:val="22"/>
          <w:lang w:val="en-US" w:eastAsia="ko-KR"/>
        </w:rPr>
      </w:pPr>
      <w:r w:rsidRPr="005A23B2">
        <w:rPr>
          <w:rFonts w:eastAsia="Malgun Gothic"/>
          <w:i/>
          <w:sz w:val="22"/>
          <w:szCs w:val="22"/>
          <w:lang w:val="en-US" w:eastAsia="ko-KR"/>
        </w:rPr>
        <w:t xml:space="preserve">Used only to decide vehicle density. </w:t>
      </w:r>
    </w:p>
    <w:p w:rsidR="00862D12" w:rsidRPr="005A23B2" w:rsidRDefault="00EC39B1" w:rsidP="00071AB9">
      <w:pPr>
        <w:numPr>
          <w:ilvl w:val="1"/>
          <w:numId w:val="18"/>
        </w:numPr>
        <w:spacing w:after="0"/>
        <w:rPr>
          <w:rFonts w:eastAsia="Malgun Gothic"/>
          <w:i/>
          <w:sz w:val="22"/>
          <w:szCs w:val="22"/>
          <w:lang w:val="en-US" w:eastAsia="ko-KR"/>
        </w:rPr>
      </w:pPr>
      <w:r w:rsidRPr="005A23B2">
        <w:rPr>
          <w:rFonts w:eastAsia="Malgun Gothic"/>
          <w:i/>
          <w:sz w:val="22"/>
          <w:szCs w:val="22"/>
          <w:lang w:val="en-US" w:eastAsia="ko-KR"/>
        </w:rPr>
        <w:t>Fixed location will be considered for adjacent coexistence evaluation.</w:t>
      </w:r>
    </w:p>
    <w:p w:rsidR="00862D12" w:rsidRPr="005A23B2" w:rsidRDefault="00EC39B1" w:rsidP="00071AB9">
      <w:pPr>
        <w:numPr>
          <w:ilvl w:val="1"/>
          <w:numId w:val="18"/>
        </w:numPr>
        <w:spacing w:after="0"/>
        <w:rPr>
          <w:rFonts w:eastAsia="Malgun Gothic"/>
          <w:i/>
          <w:sz w:val="22"/>
          <w:szCs w:val="22"/>
          <w:lang w:val="en-US" w:eastAsia="ko-KR"/>
        </w:rPr>
      </w:pPr>
      <w:r w:rsidRPr="005A23B2">
        <w:rPr>
          <w:rFonts w:eastAsia="Malgun Gothic"/>
          <w:i/>
          <w:sz w:val="22"/>
          <w:szCs w:val="22"/>
          <w:lang w:val="en-US" w:eastAsia="ko-KR"/>
        </w:rPr>
        <w:t>Vehicle density : Follow TR36.885</w:t>
      </w:r>
    </w:p>
    <w:p w:rsidR="00862D12" w:rsidRPr="005A23B2" w:rsidRDefault="00EC39B1" w:rsidP="00071AB9">
      <w:pPr>
        <w:numPr>
          <w:ilvl w:val="1"/>
          <w:numId w:val="18"/>
        </w:numPr>
        <w:spacing w:after="0"/>
        <w:rPr>
          <w:rFonts w:eastAsia="Malgun Gothic"/>
          <w:i/>
          <w:sz w:val="22"/>
          <w:szCs w:val="22"/>
          <w:lang w:val="en-US" w:eastAsia="ko-KR"/>
        </w:rPr>
      </w:pPr>
      <w:r w:rsidRPr="005A23B2">
        <w:rPr>
          <w:rFonts w:eastAsia="Malgun Gothic"/>
          <w:i/>
          <w:sz w:val="22"/>
          <w:szCs w:val="22"/>
          <w:lang w:val="en-US" w:eastAsia="ko-KR"/>
        </w:rPr>
        <w:t>V2V channel model : Follow TR36.885</w:t>
      </w:r>
    </w:p>
    <w:p w:rsidR="00862D12" w:rsidRPr="005A23B2" w:rsidRDefault="00EC39B1" w:rsidP="00071AB9">
      <w:pPr>
        <w:numPr>
          <w:ilvl w:val="1"/>
          <w:numId w:val="18"/>
        </w:numPr>
        <w:spacing w:after="0"/>
        <w:rPr>
          <w:rFonts w:eastAsia="Malgun Gothic"/>
          <w:i/>
          <w:sz w:val="22"/>
          <w:szCs w:val="22"/>
          <w:lang w:val="en-US" w:eastAsia="ko-KR"/>
        </w:rPr>
      </w:pPr>
      <w:r w:rsidRPr="005A23B2">
        <w:rPr>
          <w:rFonts w:eastAsia="Malgun Gothic"/>
          <w:i/>
          <w:sz w:val="22"/>
          <w:szCs w:val="22"/>
          <w:lang w:val="en-US" w:eastAsia="ko-KR"/>
        </w:rPr>
        <w:t># of acti</w:t>
      </w:r>
      <w:r w:rsidR="00071AB9" w:rsidRPr="005A23B2">
        <w:rPr>
          <w:rFonts w:eastAsia="Malgun Gothic"/>
          <w:i/>
          <w:sz w:val="22"/>
          <w:szCs w:val="22"/>
          <w:lang w:val="en-US" w:eastAsia="ko-KR"/>
        </w:rPr>
        <w:t>v</w:t>
      </w:r>
      <w:r w:rsidRPr="005A23B2">
        <w:rPr>
          <w:rFonts w:eastAsia="Malgun Gothic"/>
          <w:i/>
          <w:sz w:val="22"/>
          <w:szCs w:val="22"/>
          <w:lang w:val="en-US" w:eastAsia="ko-KR"/>
        </w:rPr>
        <w:t>e UEs per V2V cell: Round (5% * # of total dropped UEs/cell)</w:t>
      </w:r>
    </w:p>
    <w:p w:rsidR="00862D12" w:rsidRPr="005A23B2" w:rsidRDefault="00071AB9" w:rsidP="00071AB9">
      <w:pPr>
        <w:numPr>
          <w:ilvl w:val="1"/>
          <w:numId w:val="18"/>
        </w:numPr>
        <w:spacing w:after="0"/>
        <w:rPr>
          <w:rFonts w:eastAsia="Malgun Gothic"/>
          <w:i/>
          <w:sz w:val="22"/>
          <w:szCs w:val="22"/>
          <w:lang w:val="en-US" w:eastAsia="ko-KR"/>
        </w:rPr>
      </w:pPr>
      <w:r w:rsidRPr="005A23B2">
        <w:rPr>
          <w:rFonts w:eastAsia="Malgun Gothic"/>
          <w:i/>
          <w:sz w:val="22"/>
          <w:szCs w:val="22"/>
          <w:lang w:val="en-US" w:eastAsia="ko-KR"/>
        </w:rPr>
        <w:t># of activ</w:t>
      </w:r>
      <w:r w:rsidR="00EC39B1" w:rsidRPr="005A23B2">
        <w:rPr>
          <w:rFonts w:eastAsia="Malgun Gothic"/>
          <w:i/>
          <w:sz w:val="22"/>
          <w:szCs w:val="22"/>
          <w:lang w:val="en-US" w:eastAsia="ko-KR"/>
        </w:rPr>
        <w:t>e UEs per LTE/LAA cell : 3UEs</w:t>
      </w:r>
    </w:p>
    <w:p w:rsidR="00071AB9" w:rsidRPr="00071AB9" w:rsidRDefault="00071AB9" w:rsidP="00071AB9">
      <w:pPr>
        <w:rPr>
          <w:rFonts w:eastAsia="Malgun Gothic"/>
          <w:lang w:eastAsia="ko-KR"/>
        </w:rPr>
      </w:pPr>
    </w:p>
    <w:p w:rsidR="00F15D6B" w:rsidRPr="00571645" w:rsidRDefault="00571645" w:rsidP="003206D1">
      <w:pPr>
        <w:pStyle w:val="Heading2"/>
        <w:ind w:left="0" w:firstLine="0"/>
        <w:rPr>
          <w:rFonts w:ascii="Times New Roman" w:eastAsia="Malgun Gothic" w:hAnsi="Times New Roman"/>
          <w:sz w:val="22"/>
          <w:szCs w:val="22"/>
          <w:lang w:eastAsia="ko-KR"/>
        </w:rPr>
      </w:pPr>
      <w:r w:rsidRPr="00571645">
        <w:rPr>
          <w:rFonts w:ascii="Times New Roman" w:eastAsia="Malgun Gothic" w:hAnsi="Times New Roman"/>
          <w:sz w:val="22"/>
          <w:szCs w:val="22"/>
          <w:lang w:eastAsia="ko-KR"/>
        </w:rPr>
        <w:t xml:space="preserve">In addition </w:t>
      </w:r>
      <w:proofErr w:type="spellStart"/>
      <w:r w:rsidRPr="00571645">
        <w:rPr>
          <w:rFonts w:ascii="Times New Roman" w:eastAsia="Malgun Gothic" w:hAnsi="Times New Roman"/>
          <w:sz w:val="22"/>
          <w:szCs w:val="22"/>
          <w:lang w:eastAsia="ko-KR"/>
        </w:rPr>
        <w:t>pathloss</w:t>
      </w:r>
      <w:proofErr w:type="spellEnd"/>
      <w:r w:rsidRPr="00571645">
        <w:rPr>
          <w:rFonts w:ascii="Times New Roman" w:eastAsia="Malgun Gothic" w:hAnsi="Times New Roman"/>
          <w:sz w:val="22"/>
          <w:szCs w:val="22"/>
          <w:lang w:eastAsia="ko-KR"/>
        </w:rPr>
        <w:t xml:space="preserve"> models and deployment model </w:t>
      </w:r>
      <w:r w:rsidR="00F15D6B" w:rsidRPr="00571645">
        <w:rPr>
          <w:rFonts w:ascii="Times New Roman" w:eastAsia="Malgun Gothic" w:hAnsi="Times New Roman"/>
          <w:sz w:val="22"/>
          <w:szCs w:val="22"/>
          <w:lang w:eastAsia="ko-KR"/>
        </w:rPr>
        <w:t xml:space="preserve">assumptions </w:t>
      </w:r>
      <w:r w:rsidRPr="00571645">
        <w:rPr>
          <w:rFonts w:ascii="Times New Roman" w:eastAsia="Malgun Gothic" w:hAnsi="Times New Roman"/>
          <w:sz w:val="22"/>
          <w:szCs w:val="22"/>
          <w:lang w:eastAsia="ko-KR"/>
        </w:rPr>
        <w:t>for urban deployments were agreed to in [3].</w:t>
      </w:r>
    </w:p>
    <w:p w:rsidR="00571645" w:rsidRPr="00571645" w:rsidRDefault="00571645" w:rsidP="00571645">
      <w:pPr>
        <w:rPr>
          <w:rFonts w:eastAsia="Malgun Gothic"/>
          <w:sz w:val="22"/>
          <w:szCs w:val="22"/>
          <w:lang w:eastAsia="ko-KR"/>
        </w:rPr>
      </w:pPr>
      <w:r w:rsidRPr="00571645">
        <w:rPr>
          <w:rFonts w:eastAsia="Malgun Gothic"/>
          <w:sz w:val="22"/>
          <w:szCs w:val="22"/>
          <w:lang w:eastAsia="ko-KR"/>
        </w:rPr>
        <w:t xml:space="preserve">From the agreed WF there are a number of assumptions and parameters that need further definition </w:t>
      </w:r>
      <w:r w:rsidR="00740EAB">
        <w:rPr>
          <w:rFonts w:eastAsia="Malgun Gothic"/>
          <w:sz w:val="22"/>
          <w:szCs w:val="22"/>
          <w:lang w:eastAsia="ko-KR"/>
        </w:rPr>
        <w:t xml:space="preserve">and discussion as noted </w:t>
      </w:r>
      <w:r w:rsidRPr="00571645">
        <w:rPr>
          <w:rFonts w:eastAsia="Malgun Gothic"/>
          <w:sz w:val="22"/>
          <w:szCs w:val="22"/>
          <w:lang w:eastAsia="ko-KR"/>
        </w:rPr>
        <w:t>below.</w:t>
      </w:r>
    </w:p>
    <w:p w:rsidR="00571645" w:rsidRDefault="00571645" w:rsidP="00571645">
      <w:pPr>
        <w:pStyle w:val="ListParagraph"/>
        <w:numPr>
          <w:ilvl w:val="6"/>
          <w:numId w:val="3"/>
        </w:numPr>
        <w:ind w:left="900"/>
        <w:rPr>
          <w:rFonts w:ascii="Times New Roman" w:eastAsia="Malgun Gothic" w:hAnsi="Times New Roman"/>
          <w:lang w:eastAsia="ko-KR"/>
        </w:rPr>
      </w:pPr>
      <w:r w:rsidRPr="00740EAB">
        <w:rPr>
          <w:rFonts w:ascii="Times New Roman" w:eastAsia="Malgun Gothic" w:hAnsi="Times New Roman"/>
          <w:u w:val="single"/>
          <w:lang w:eastAsia="ko-KR"/>
        </w:rPr>
        <w:t xml:space="preserve">The number active UEs based on </w:t>
      </w:r>
      <w:r w:rsidR="00FB3146" w:rsidRPr="00740EAB">
        <w:rPr>
          <w:rFonts w:ascii="Times New Roman" w:eastAsia="Malgun Gothic" w:hAnsi="Times New Roman"/>
          <w:u w:val="single"/>
          <w:lang w:eastAsia="ko-KR"/>
        </w:rPr>
        <w:t>a 5% activity rate</w:t>
      </w:r>
      <w:r w:rsidR="00740EAB">
        <w:rPr>
          <w:rFonts w:ascii="Times New Roman" w:eastAsia="Malgun Gothic" w:hAnsi="Times New Roman"/>
          <w:lang w:eastAsia="ko-KR"/>
        </w:rPr>
        <w:t xml:space="preserve">. </w:t>
      </w:r>
      <w:r w:rsidR="00FB3146" w:rsidRPr="00740EAB">
        <w:rPr>
          <w:rFonts w:ascii="Times New Roman" w:eastAsia="Malgun Gothic" w:hAnsi="Times New Roman"/>
          <w:lang w:eastAsia="ko-KR"/>
        </w:rPr>
        <w:t xml:space="preserve"> </w:t>
      </w:r>
      <w:r w:rsidR="0071041B">
        <w:rPr>
          <w:rFonts w:ascii="Times New Roman" w:eastAsia="Malgun Gothic" w:hAnsi="Times New Roman"/>
          <w:lang w:eastAsia="ko-KR"/>
        </w:rPr>
        <w:t>The WF in [3] proposes a transmission activity rate of 5% for V2V transmissions. It is not clear what criteria this is based upon and the derivation of the number of simultaneous V2V transmissions for the 60 km/</w:t>
      </w:r>
      <w:proofErr w:type="spellStart"/>
      <w:r w:rsidR="0071041B">
        <w:rPr>
          <w:rFonts w:ascii="Times New Roman" w:eastAsia="Malgun Gothic" w:hAnsi="Times New Roman"/>
          <w:lang w:eastAsia="ko-KR"/>
        </w:rPr>
        <w:t>hr</w:t>
      </w:r>
      <w:proofErr w:type="spellEnd"/>
      <w:r w:rsidR="0071041B">
        <w:rPr>
          <w:rFonts w:ascii="Times New Roman" w:eastAsia="Malgun Gothic" w:hAnsi="Times New Roman"/>
          <w:lang w:eastAsia="ko-KR"/>
        </w:rPr>
        <w:t xml:space="preserve"> urban use case </w:t>
      </w:r>
      <w:r w:rsidR="0071041B" w:rsidRPr="0071041B">
        <w:rPr>
          <w:rFonts w:ascii="Times New Roman" w:eastAsia="Malgun Gothic" w:hAnsi="Times New Roman"/>
          <w:lang w:eastAsia="ko-KR"/>
        </w:rPr>
        <w:t>results in a rather low number of only 2 simultaneous V2V transmissions in a cell. Based on the UE drop and mobility model in Table A.1.2-1 of TR36.885, the vehicle den</w:t>
      </w:r>
      <w:r w:rsidR="0040632A">
        <w:rPr>
          <w:rFonts w:ascii="Times New Roman" w:eastAsia="Malgun Gothic" w:hAnsi="Times New Roman"/>
          <w:lang w:eastAsia="ko-KR"/>
        </w:rPr>
        <w:t>sity in a cell is based on the a</w:t>
      </w:r>
      <w:r w:rsidR="0071041B" w:rsidRPr="0071041B">
        <w:rPr>
          <w:rFonts w:ascii="Times New Roman" w:eastAsia="Malgun Gothic" w:hAnsi="Times New Roman"/>
          <w:lang w:eastAsia="ko-KR"/>
        </w:rPr>
        <w:t>verage inter-vehicle distance in the same lane being  2.5 sec * absolute vehicle speed.</w:t>
      </w:r>
      <w:r w:rsidR="00764528">
        <w:rPr>
          <w:rFonts w:ascii="Times New Roman" w:eastAsia="Malgun Gothic" w:hAnsi="Times New Roman"/>
          <w:lang w:eastAsia="ko-KR"/>
        </w:rPr>
        <w:t xml:space="preserve"> For a vehicle velocity of 60 km/h</w:t>
      </w:r>
      <w:r w:rsidR="0040632A">
        <w:rPr>
          <w:rFonts w:ascii="Times New Roman" w:eastAsia="Malgun Gothic" w:hAnsi="Times New Roman"/>
          <w:lang w:eastAsia="ko-KR"/>
        </w:rPr>
        <w:t>ou</w:t>
      </w:r>
      <w:r w:rsidR="00764528">
        <w:rPr>
          <w:rFonts w:ascii="Times New Roman" w:eastAsia="Malgun Gothic" w:hAnsi="Times New Roman"/>
          <w:lang w:eastAsia="ko-KR"/>
        </w:rPr>
        <w:t>r this would result in an inter-vehicle distance of 41.6 m in a single lane. For an inter-cell distance of 500 meters, a single lane of traffic in a cell could accommodate 72 vehicle</w:t>
      </w:r>
      <w:r w:rsidR="0040632A">
        <w:rPr>
          <w:rFonts w:ascii="Times New Roman" w:eastAsia="Malgun Gothic" w:hAnsi="Times New Roman"/>
          <w:lang w:eastAsia="ko-KR"/>
        </w:rPr>
        <w:t>s</w:t>
      </w:r>
      <w:r w:rsidR="00764528">
        <w:rPr>
          <w:rFonts w:ascii="Times New Roman" w:eastAsia="Malgun Gothic" w:hAnsi="Times New Roman"/>
          <w:lang w:eastAsia="ko-KR"/>
        </w:rPr>
        <w:t xml:space="preserve">. </w:t>
      </w:r>
      <w:r w:rsidR="00C655D3">
        <w:rPr>
          <w:rFonts w:ascii="Times New Roman" w:eastAsia="Malgun Gothic" w:hAnsi="Times New Roman"/>
          <w:lang w:eastAsia="ko-KR"/>
        </w:rPr>
        <w:t>Given that there are at least two lanes of traffic, the proposed value of 2 V2V transmissions appears to be low. In order to have a consistent model of the V2V traffic density it is proposed that the individual parameters comprising the vehicle density calculation be further reviewed and agreed upon.</w:t>
      </w:r>
    </w:p>
    <w:p w:rsidR="00C655D3" w:rsidRPr="00EB0F58" w:rsidRDefault="00C655D3" w:rsidP="00C655D3">
      <w:pPr>
        <w:rPr>
          <w:b/>
          <w:sz w:val="22"/>
          <w:szCs w:val="22"/>
          <w:u w:val="single"/>
          <w:lang w:val="en-US"/>
        </w:rPr>
      </w:pPr>
      <w:r>
        <w:rPr>
          <w:b/>
          <w:sz w:val="22"/>
          <w:szCs w:val="22"/>
          <w:u w:val="single"/>
          <w:lang w:val="en-US"/>
        </w:rPr>
        <w:t>Proposal #1</w:t>
      </w:r>
      <w:r w:rsidRPr="00EB0F58">
        <w:rPr>
          <w:b/>
          <w:sz w:val="22"/>
          <w:szCs w:val="22"/>
          <w:u w:val="single"/>
          <w:lang w:val="en-US"/>
        </w:rPr>
        <w:t>:</w:t>
      </w:r>
    </w:p>
    <w:p w:rsidR="00C655D3" w:rsidRPr="00C655D3" w:rsidRDefault="00C655D3" w:rsidP="00C655D3">
      <w:pPr>
        <w:numPr>
          <w:ilvl w:val="0"/>
          <w:numId w:val="13"/>
        </w:numPr>
        <w:rPr>
          <w:rFonts w:eastAsia="SimSun"/>
          <w:b/>
          <w:sz w:val="22"/>
          <w:szCs w:val="22"/>
          <w:lang w:eastAsia="zh-CN"/>
        </w:rPr>
      </w:pPr>
      <w:r w:rsidRPr="00C655D3">
        <w:rPr>
          <w:rFonts w:eastAsia="Malgun Gothic"/>
          <w:b/>
          <w:sz w:val="22"/>
          <w:szCs w:val="22"/>
          <w:lang w:eastAsia="ko-KR"/>
        </w:rPr>
        <w:t>In order to have a consistent model of the V2V traffic density</w:t>
      </w:r>
      <w:r>
        <w:rPr>
          <w:rFonts w:eastAsia="Malgun Gothic"/>
          <w:b/>
          <w:sz w:val="22"/>
          <w:szCs w:val="22"/>
          <w:lang w:eastAsia="ko-KR"/>
        </w:rPr>
        <w:t xml:space="preserve"> for adjacent channel co-existence simulation</w:t>
      </w:r>
      <w:r w:rsidR="000E3260">
        <w:rPr>
          <w:rFonts w:eastAsia="Malgun Gothic"/>
          <w:b/>
          <w:sz w:val="22"/>
          <w:szCs w:val="22"/>
          <w:lang w:eastAsia="ko-KR"/>
        </w:rPr>
        <w:t>s</w:t>
      </w:r>
      <w:r w:rsidRPr="00C655D3">
        <w:rPr>
          <w:rFonts w:eastAsia="Malgun Gothic"/>
          <w:b/>
          <w:sz w:val="22"/>
          <w:szCs w:val="22"/>
          <w:lang w:eastAsia="ko-KR"/>
        </w:rPr>
        <w:t xml:space="preserve"> it is proposed that the individual parameters comprising the vehicle density calculation be further reviewed and agreed upon</w:t>
      </w:r>
      <w:r w:rsidRPr="00C655D3">
        <w:rPr>
          <w:b/>
          <w:sz w:val="22"/>
          <w:szCs w:val="22"/>
        </w:rPr>
        <w:t>.</w:t>
      </w:r>
    </w:p>
    <w:p w:rsidR="00FB3146" w:rsidRDefault="00FB3146" w:rsidP="00FB3146">
      <w:pPr>
        <w:pStyle w:val="ListParagraph"/>
        <w:ind w:left="900"/>
        <w:rPr>
          <w:rFonts w:ascii="Times New Roman" w:eastAsia="Malgun Gothic" w:hAnsi="Times New Roman"/>
          <w:lang w:eastAsia="ko-KR"/>
        </w:rPr>
      </w:pPr>
    </w:p>
    <w:p w:rsidR="00FB3146" w:rsidRPr="00C655D3" w:rsidRDefault="00FB3146" w:rsidP="00FB3146">
      <w:pPr>
        <w:pStyle w:val="ListParagraph"/>
        <w:numPr>
          <w:ilvl w:val="6"/>
          <w:numId w:val="3"/>
        </w:numPr>
        <w:ind w:left="900"/>
        <w:rPr>
          <w:rFonts w:ascii="Times New Roman" w:eastAsia="Malgun Gothic" w:hAnsi="Times New Roman"/>
          <w:u w:val="single"/>
          <w:lang w:eastAsia="ko-KR"/>
        </w:rPr>
      </w:pPr>
      <w:r w:rsidRPr="00FB3146">
        <w:rPr>
          <w:rFonts w:ascii="Times New Roman" w:eastAsia="Malgun Gothic" w:hAnsi="Times New Roman"/>
          <w:u w:val="single"/>
          <w:lang w:eastAsia="ko-KR"/>
        </w:rPr>
        <w:t>Power control of V2V transmissions</w:t>
      </w:r>
      <w:r>
        <w:rPr>
          <w:rFonts w:ascii="Times New Roman" w:eastAsia="Malgun Gothic" w:hAnsi="Times New Roman"/>
          <w:u w:val="single"/>
          <w:lang w:eastAsia="ko-KR"/>
        </w:rPr>
        <w:t xml:space="preserve">: </w:t>
      </w:r>
      <w:r>
        <w:rPr>
          <w:rFonts w:ascii="Times New Roman" w:eastAsia="Malgun Gothic" w:hAnsi="Times New Roman"/>
          <w:lang w:eastAsia="ko-KR"/>
        </w:rPr>
        <w:t xml:space="preserve">The WF in [3] does not define the level of power control to be assumed for V2V transmissions. Given that RAN1 has not defined a V2V power control scheme, it is proposed that for initial RAN4 adjacent channel co-existence analysis, it is assumed that </w:t>
      </w:r>
      <w:r w:rsidR="00D46AEC">
        <w:rPr>
          <w:rFonts w:ascii="Times New Roman" w:eastAsia="Malgun Gothic" w:hAnsi="Times New Roman"/>
          <w:lang w:eastAsia="ko-KR"/>
        </w:rPr>
        <w:t>the V2V transmissions occur at</w:t>
      </w:r>
      <w:r w:rsidR="000E3260">
        <w:rPr>
          <w:rFonts w:ascii="Times New Roman" w:eastAsia="Malgun Gothic" w:hAnsi="Times New Roman"/>
          <w:lang w:eastAsia="ko-KR"/>
        </w:rPr>
        <w:t xml:space="preserve"> the maximum transmit power</w:t>
      </w:r>
      <w:r w:rsidR="00D46AEC">
        <w:rPr>
          <w:rFonts w:ascii="Times New Roman" w:eastAsia="Malgun Gothic" w:hAnsi="Times New Roman"/>
          <w:lang w:eastAsia="ko-KR"/>
        </w:rPr>
        <w:t xml:space="preserve"> </w:t>
      </w:r>
      <w:proofErr w:type="spellStart"/>
      <w:r w:rsidR="00D46AEC">
        <w:rPr>
          <w:rFonts w:ascii="Times New Roman" w:eastAsia="Malgun Gothic" w:hAnsi="Times New Roman"/>
          <w:lang w:eastAsia="ko-KR"/>
        </w:rPr>
        <w:t>Pmax</w:t>
      </w:r>
      <w:proofErr w:type="spellEnd"/>
      <w:r w:rsidR="00D46AEC">
        <w:rPr>
          <w:rFonts w:ascii="Times New Roman" w:eastAsia="Malgun Gothic" w:hAnsi="Times New Roman"/>
          <w:lang w:eastAsia="ko-KR"/>
        </w:rPr>
        <w:t xml:space="preserve"> of the </w:t>
      </w:r>
      <w:r w:rsidR="000E3260">
        <w:rPr>
          <w:rFonts w:ascii="Times New Roman" w:eastAsia="Malgun Gothic" w:hAnsi="Times New Roman"/>
          <w:lang w:eastAsia="ko-KR"/>
        </w:rPr>
        <w:t xml:space="preserve">V2V </w:t>
      </w:r>
      <w:r w:rsidR="00D46AEC">
        <w:rPr>
          <w:rFonts w:ascii="Times New Roman" w:eastAsia="Malgun Gothic" w:hAnsi="Times New Roman"/>
          <w:lang w:eastAsia="ko-KR"/>
        </w:rPr>
        <w:t>UE.</w:t>
      </w:r>
    </w:p>
    <w:p w:rsidR="00C655D3" w:rsidRPr="00EB0F58" w:rsidRDefault="00C655D3" w:rsidP="00C655D3">
      <w:pPr>
        <w:rPr>
          <w:b/>
          <w:sz w:val="22"/>
          <w:szCs w:val="22"/>
          <w:u w:val="single"/>
          <w:lang w:val="en-US"/>
        </w:rPr>
      </w:pPr>
      <w:r>
        <w:rPr>
          <w:b/>
          <w:sz w:val="22"/>
          <w:szCs w:val="22"/>
          <w:u w:val="single"/>
          <w:lang w:val="en-US"/>
        </w:rPr>
        <w:t>Proposal #2</w:t>
      </w:r>
      <w:r w:rsidRPr="00EB0F58">
        <w:rPr>
          <w:b/>
          <w:sz w:val="22"/>
          <w:szCs w:val="22"/>
          <w:u w:val="single"/>
          <w:lang w:val="en-US"/>
        </w:rPr>
        <w:t>:</w:t>
      </w:r>
    </w:p>
    <w:p w:rsidR="00C655D3" w:rsidRPr="00C655D3" w:rsidRDefault="00C655D3" w:rsidP="00C655D3">
      <w:pPr>
        <w:numPr>
          <w:ilvl w:val="0"/>
          <w:numId w:val="13"/>
        </w:numPr>
        <w:rPr>
          <w:rFonts w:eastAsia="SimSun"/>
          <w:b/>
          <w:sz w:val="22"/>
          <w:szCs w:val="22"/>
          <w:lang w:eastAsia="zh-CN"/>
        </w:rPr>
      </w:pPr>
      <w:r w:rsidRPr="00C655D3">
        <w:rPr>
          <w:rFonts w:eastAsia="Malgun Gothic"/>
          <w:b/>
          <w:sz w:val="22"/>
          <w:szCs w:val="22"/>
          <w:lang w:eastAsia="ko-KR"/>
        </w:rPr>
        <w:t xml:space="preserve">For initial RAN4 adjacent channel co-existence analysis, it is assumed that the V2V transmissions occur at </w:t>
      </w:r>
      <w:r w:rsidR="000E3260">
        <w:rPr>
          <w:rFonts w:eastAsia="Malgun Gothic"/>
          <w:b/>
          <w:sz w:val="22"/>
          <w:szCs w:val="22"/>
          <w:lang w:eastAsia="ko-KR"/>
        </w:rPr>
        <w:t xml:space="preserve">the maximum transmit power </w:t>
      </w:r>
      <w:proofErr w:type="spellStart"/>
      <w:r w:rsidRPr="00C655D3">
        <w:rPr>
          <w:rFonts w:eastAsia="Malgun Gothic"/>
          <w:b/>
          <w:sz w:val="22"/>
          <w:szCs w:val="22"/>
          <w:lang w:eastAsia="ko-KR"/>
        </w:rPr>
        <w:t>Pmax</w:t>
      </w:r>
      <w:proofErr w:type="spellEnd"/>
      <w:r w:rsidRPr="00C655D3">
        <w:rPr>
          <w:rFonts w:eastAsia="Malgun Gothic"/>
          <w:b/>
          <w:sz w:val="22"/>
          <w:szCs w:val="22"/>
          <w:lang w:eastAsia="ko-KR"/>
        </w:rPr>
        <w:t xml:space="preserve"> of the </w:t>
      </w:r>
      <w:r w:rsidR="000E3260">
        <w:rPr>
          <w:rFonts w:eastAsia="Malgun Gothic"/>
          <w:b/>
          <w:sz w:val="22"/>
          <w:szCs w:val="22"/>
          <w:lang w:eastAsia="ko-KR"/>
        </w:rPr>
        <w:t xml:space="preserve">V2V </w:t>
      </w:r>
      <w:r w:rsidRPr="00C655D3">
        <w:rPr>
          <w:rFonts w:eastAsia="Malgun Gothic"/>
          <w:b/>
          <w:sz w:val="22"/>
          <w:szCs w:val="22"/>
          <w:lang w:eastAsia="ko-KR"/>
        </w:rPr>
        <w:t>UE</w:t>
      </w:r>
      <w:r w:rsidRPr="00C655D3">
        <w:rPr>
          <w:b/>
          <w:sz w:val="22"/>
          <w:szCs w:val="22"/>
        </w:rPr>
        <w:t>.</w:t>
      </w:r>
    </w:p>
    <w:p w:rsidR="00C655D3" w:rsidRPr="00C655D3" w:rsidRDefault="00C655D3" w:rsidP="00C655D3">
      <w:pPr>
        <w:rPr>
          <w:rFonts w:eastAsia="Malgun Gothic"/>
          <w:u w:val="single"/>
          <w:lang w:eastAsia="ko-KR"/>
        </w:rPr>
      </w:pPr>
    </w:p>
    <w:p w:rsidR="00FB3146" w:rsidRPr="00FB3146" w:rsidRDefault="00FB3146" w:rsidP="00FB3146">
      <w:pPr>
        <w:spacing w:after="0"/>
        <w:rPr>
          <w:rFonts w:eastAsia="Malgun Gothic"/>
          <w:lang w:eastAsia="ko-KR"/>
        </w:rPr>
      </w:pPr>
    </w:p>
    <w:p w:rsidR="00FB3146" w:rsidRDefault="00FB3146" w:rsidP="00571645">
      <w:pPr>
        <w:pStyle w:val="ListParagraph"/>
        <w:numPr>
          <w:ilvl w:val="6"/>
          <w:numId w:val="3"/>
        </w:numPr>
        <w:ind w:left="900"/>
        <w:rPr>
          <w:rFonts w:ascii="Times New Roman" w:eastAsia="Malgun Gothic" w:hAnsi="Times New Roman"/>
          <w:lang w:eastAsia="ko-KR"/>
        </w:rPr>
      </w:pPr>
      <w:r w:rsidRPr="00FB3146">
        <w:rPr>
          <w:rFonts w:ascii="Times New Roman" w:eastAsia="Malgun Gothic" w:hAnsi="Times New Roman"/>
          <w:u w:val="single"/>
          <w:lang w:eastAsia="ko-KR"/>
        </w:rPr>
        <w:lastRenderedPageBreak/>
        <w:t>ACLR and ACS values for V2V UEs</w:t>
      </w:r>
      <w:r>
        <w:rPr>
          <w:rFonts w:ascii="Times New Roman" w:eastAsia="Malgun Gothic" w:hAnsi="Times New Roman"/>
          <w:lang w:eastAsia="ko-KR"/>
        </w:rPr>
        <w:t>. The current WF [3] proposes values of ACLR and ACS of 30 and 33 dB respectively based on the requirements for D2D. However given that the use cases and scenarios under which the D2D ACLR an</w:t>
      </w:r>
      <w:r w:rsidR="005A23B2">
        <w:rPr>
          <w:rFonts w:ascii="Times New Roman" w:eastAsia="Malgun Gothic" w:hAnsi="Times New Roman"/>
          <w:lang w:eastAsia="ko-KR"/>
        </w:rPr>
        <w:t>d ACS requirements were derived</w:t>
      </w:r>
      <w:r>
        <w:rPr>
          <w:rFonts w:ascii="Times New Roman" w:eastAsia="Malgun Gothic" w:hAnsi="Times New Roman"/>
          <w:lang w:eastAsia="ko-KR"/>
        </w:rPr>
        <w:t xml:space="preserve"> </w:t>
      </w:r>
      <w:r w:rsidR="000E3260">
        <w:rPr>
          <w:rFonts w:ascii="Times New Roman" w:eastAsia="Malgun Gothic" w:hAnsi="Times New Roman"/>
          <w:lang w:eastAsia="ko-KR"/>
        </w:rPr>
        <w:t xml:space="preserve">are </w:t>
      </w:r>
      <w:r>
        <w:rPr>
          <w:rFonts w:ascii="Times New Roman" w:eastAsia="Malgun Gothic" w:hAnsi="Times New Roman"/>
          <w:lang w:eastAsia="ko-KR"/>
        </w:rPr>
        <w:t>differ</w:t>
      </w:r>
      <w:r w:rsidR="000E3260">
        <w:rPr>
          <w:rFonts w:ascii="Times New Roman" w:eastAsia="Malgun Gothic" w:hAnsi="Times New Roman"/>
          <w:lang w:eastAsia="ko-KR"/>
        </w:rPr>
        <w:t>ent</w:t>
      </w:r>
      <w:r>
        <w:rPr>
          <w:rFonts w:ascii="Times New Roman" w:eastAsia="Malgun Gothic" w:hAnsi="Times New Roman"/>
          <w:lang w:eastAsia="ko-KR"/>
        </w:rPr>
        <w:t xml:space="preserve"> from the V2V use cases, we do not believe it is technically justifiable to simply assume the D2D ACLR and ACS specifications can be reused for V2V. It order to be technically accurate</w:t>
      </w:r>
      <w:r w:rsidR="00844105">
        <w:rPr>
          <w:rFonts w:ascii="Times New Roman" w:eastAsia="Malgun Gothic" w:hAnsi="Times New Roman"/>
          <w:lang w:eastAsia="ko-KR"/>
        </w:rPr>
        <w:t>,</w:t>
      </w:r>
      <w:r>
        <w:rPr>
          <w:rFonts w:ascii="Times New Roman" w:eastAsia="Malgun Gothic" w:hAnsi="Times New Roman"/>
          <w:lang w:eastAsia="ko-KR"/>
        </w:rPr>
        <w:t xml:space="preserve"> full adjacent channel co-located co-existence simulations and analysis should be completed in order to derive the ACLR and ACS values for V2V. In addition to the need to complete proper co-existence analysis for V2V, it should also be noted tha</w:t>
      </w:r>
      <w:r w:rsidR="000E3260">
        <w:rPr>
          <w:rFonts w:ascii="Times New Roman" w:eastAsia="Malgun Gothic" w:hAnsi="Times New Roman"/>
          <w:lang w:eastAsia="ko-KR"/>
        </w:rPr>
        <w:t xml:space="preserve">t the ETSI ACLR requirement is </w:t>
      </w:r>
      <w:r>
        <w:rPr>
          <w:rFonts w:ascii="Times New Roman" w:eastAsia="Malgun Gothic" w:hAnsi="Times New Roman"/>
          <w:lang w:eastAsia="ko-KR"/>
        </w:rPr>
        <w:t xml:space="preserve">-38 </w:t>
      </w:r>
      <w:proofErr w:type="spellStart"/>
      <w:r>
        <w:rPr>
          <w:rFonts w:ascii="Times New Roman" w:eastAsia="Malgun Gothic" w:hAnsi="Times New Roman"/>
          <w:lang w:eastAsia="ko-KR"/>
        </w:rPr>
        <w:t>dB.</w:t>
      </w:r>
      <w:proofErr w:type="spellEnd"/>
    </w:p>
    <w:p w:rsidR="00844105" w:rsidRPr="00EB0F58" w:rsidRDefault="00844105" w:rsidP="00844105">
      <w:pPr>
        <w:rPr>
          <w:b/>
          <w:sz w:val="22"/>
          <w:szCs w:val="22"/>
          <w:u w:val="single"/>
          <w:lang w:val="en-US"/>
        </w:rPr>
      </w:pPr>
      <w:r>
        <w:rPr>
          <w:b/>
          <w:sz w:val="22"/>
          <w:szCs w:val="22"/>
          <w:u w:val="single"/>
          <w:lang w:val="en-US"/>
        </w:rPr>
        <w:t>Proposal #3</w:t>
      </w:r>
      <w:r w:rsidRPr="00EB0F58">
        <w:rPr>
          <w:b/>
          <w:sz w:val="22"/>
          <w:szCs w:val="22"/>
          <w:u w:val="single"/>
          <w:lang w:val="en-US"/>
        </w:rPr>
        <w:t>:</w:t>
      </w:r>
    </w:p>
    <w:p w:rsidR="00844105" w:rsidRPr="00972033" w:rsidRDefault="00844105" w:rsidP="00844105">
      <w:pPr>
        <w:numPr>
          <w:ilvl w:val="0"/>
          <w:numId w:val="13"/>
        </w:numPr>
        <w:rPr>
          <w:rFonts w:eastAsia="SimSun"/>
          <w:b/>
          <w:sz w:val="22"/>
          <w:szCs w:val="22"/>
          <w:lang w:eastAsia="zh-CN"/>
        </w:rPr>
      </w:pPr>
      <w:r w:rsidRPr="00972033">
        <w:rPr>
          <w:rFonts w:eastAsia="Malgun Gothic"/>
          <w:b/>
          <w:sz w:val="22"/>
          <w:szCs w:val="22"/>
          <w:lang w:eastAsia="ko-KR"/>
        </w:rPr>
        <w:t xml:space="preserve">V2V ACLR and ACS values </w:t>
      </w:r>
      <w:proofErr w:type="gramStart"/>
      <w:r w:rsidRPr="00972033">
        <w:rPr>
          <w:rFonts w:eastAsia="Malgun Gothic"/>
          <w:b/>
          <w:sz w:val="22"/>
          <w:szCs w:val="22"/>
          <w:lang w:eastAsia="ko-KR"/>
        </w:rPr>
        <w:t>be</w:t>
      </w:r>
      <w:proofErr w:type="gramEnd"/>
      <w:r w:rsidRPr="00972033">
        <w:rPr>
          <w:rFonts w:eastAsia="Malgun Gothic"/>
          <w:b/>
          <w:sz w:val="22"/>
          <w:szCs w:val="22"/>
          <w:lang w:eastAsia="ko-KR"/>
        </w:rPr>
        <w:t xml:space="preserve"> based on full</w:t>
      </w:r>
      <w:r w:rsidR="00972033" w:rsidRPr="00972033">
        <w:rPr>
          <w:rFonts w:eastAsia="Malgun Gothic"/>
          <w:b/>
          <w:sz w:val="22"/>
          <w:szCs w:val="22"/>
          <w:lang w:eastAsia="ko-KR"/>
        </w:rPr>
        <w:t xml:space="preserve"> </w:t>
      </w:r>
      <w:r w:rsidR="00972033" w:rsidRPr="00972033">
        <w:rPr>
          <w:rFonts w:eastAsia="Malgun Gothic"/>
          <w:b/>
          <w:lang w:eastAsia="ko-KR"/>
        </w:rPr>
        <w:t>adjacent channel co-located co-existence simulations and analysis in RAN4</w:t>
      </w:r>
      <w:r w:rsidRPr="00972033">
        <w:rPr>
          <w:b/>
          <w:sz w:val="22"/>
          <w:szCs w:val="22"/>
        </w:rPr>
        <w:t>.</w:t>
      </w:r>
    </w:p>
    <w:p w:rsidR="00D46AEC" w:rsidRPr="00D46AEC" w:rsidRDefault="00D46AEC" w:rsidP="00D46AEC">
      <w:pPr>
        <w:pStyle w:val="ListParagraph"/>
        <w:rPr>
          <w:rFonts w:ascii="Times New Roman" w:eastAsia="Malgun Gothic" w:hAnsi="Times New Roman"/>
          <w:lang w:eastAsia="ko-KR"/>
        </w:rPr>
      </w:pPr>
    </w:p>
    <w:p w:rsidR="00D46AEC" w:rsidRPr="00571645" w:rsidRDefault="00D46AEC" w:rsidP="00571645">
      <w:pPr>
        <w:pStyle w:val="ListParagraph"/>
        <w:numPr>
          <w:ilvl w:val="6"/>
          <w:numId w:val="3"/>
        </w:numPr>
        <w:ind w:left="900"/>
        <w:rPr>
          <w:rFonts w:ascii="Times New Roman" w:eastAsia="Malgun Gothic" w:hAnsi="Times New Roman"/>
          <w:lang w:eastAsia="ko-KR"/>
        </w:rPr>
      </w:pPr>
      <w:r w:rsidRPr="00D46AEC">
        <w:rPr>
          <w:rFonts w:ascii="Times New Roman" w:eastAsia="Malgun Gothic" w:hAnsi="Times New Roman"/>
          <w:u w:val="single"/>
          <w:lang w:eastAsia="ko-KR"/>
        </w:rPr>
        <w:t>Adjacent Channel Co-existence Evaluation Metric:</w:t>
      </w:r>
      <w:r>
        <w:rPr>
          <w:rFonts w:ascii="Times New Roman" w:eastAsia="Malgun Gothic" w:hAnsi="Times New Roman"/>
          <w:lang w:eastAsia="ko-KR"/>
        </w:rPr>
        <w:t xml:space="preserve"> It has been proposed </w:t>
      </w:r>
      <w:r w:rsidR="00740EAB">
        <w:rPr>
          <w:rFonts w:ascii="Times New Roman" w:eastAsia="Malgun Gothic" w:hAnsi="Times New Roman"/>
          <w:lang w:eastAsia="ko-KR"/>
        </w:rPr>
        <w:t xml:space="preserve">in discussions related to [3] and in </w:t>
      </w:r>
      <w:proofErr w:type="gramStart"/>
      <w:r w:rsidR="00740EAB">
        <w:rPr>
          <w:rFonts w:ascii="Times New Roman" w:eastAsia="Malgun Gothic" w:hAnsi="Times New Roman"/>
          <w:lang w:eastAsia="ko-KR"/>
        </w:rPr>
        <w:t>TR36.885</w:t>
      </w:r>
      <w:r w:rsidR="005A23B2">
        <w:rPr>
          <w:rFonts w:ascii="Times New Roman" w:eastAsia="Malgun Gothic" w:hAnsi="Times New Roman"/>
          <w:lang w:eastAsia="ko-KR"/>
        </w:rPr>
        <w:t>[</w:t>
      </w:r>
      <w:proofErr w:type="gramEnd"/>
      <w:r w:rsidR="005A23B2">
        <w:rPr>
          <w:rFonts w:ascii="Times New Roman" w:eastAsia="Malgun Gothic" w:hAnsi="Times New Roman"/>
          <w:lang w:eastAsia="ko-KR"/>
        </w:rPr>
        <w:t>4]</w:t>
      </w:r>
      <w:r w:rsidR="00740EAB">
        <w:rPr>
          <w:rFonts w:ascii="Times New Roman" w:eastAsia="Malgun Gothic" w:hAnsi="Times New Roman"/>
          <w:lang w:eastAsia="ko-KR"/>
        </w:rPr>
        <w:t xml:space="preserve"> that a metric of packet rejection ratio (PRR) be employed for evaluation of co-located adjacent channel co-existence performance for V2V. All previous adjacent channel co-existence analysis that has been carried out by RAN4 has been based on the truncated Shannon bound defined in TR36.942 [5]. </w:t>
      </w:r>
      <w:r w:rsidR="000E3260">
        <w:rPr>
          <w:rFonts w:ascii="Times New Roman" w:eastAsia="Malgun Gothic" w:hAnsi="Times New Roman"/>
          <w:lang w:eastAsia="ko-KR"/>
        </w:rPr>
        <w:t>Using this approach,</w:t>
      </w:r>
      <w:r w:rsidR="00740EAB">
        <w:rPr>
          <w:rFonts w:ascii="Times New Roman" w:eastAsia="Malgun Gothic" w:hAnsi="Times New Roman"/>
          <w:lang w:eastAsia="ko-KR"/>
        </w:rPr>
        <w:t xml:space="preserve"> ACLR and ACS requirements are defined based on a degradation in performance of victim networks of less than 2% to 5 %. </w:t>
      </w:r>
      <w:r w:rsidR="000E3260">
        <w:rPr>
          <w:rFonts w:ascii="Times New Roman" w:eastAsia="Malgun Gothic" w:hAnsi="Times New Roman"/>
          <w:lang w:eastAsia="ko-KR"/>
        </w:rPr>
        <w:t>Use of a</w:t>
      </w:r>
      <w:r w:rsidR="00740EAB">
        <w:rPr>
          <w:rFonts w:ascii="Times New Roman" w:eastAsia="Malgun Gothic" w:hAnsi="Times New Roman"/>
          <w:lang w:eastAsia="ko-KR"/>
        </w:rPr>
        <w:t xml:space="preserve"> new metric such as PRR will require an agreed calibration of the metric to legacy performance based on the truncated Shannon bound of [5].  However given the tight timeline for completion of the RAN4 core RF analysis, such an effort will require additional work to complete. Furthermore for scenarios in which V2V transmissions are from an aggressor network and LTE legacy carrier is the victim network, a new metric such as PRR is not relevant. For these reas</w:t>
      </w:r>
      <w:r w:rsidR="00972033">
        <w:rPr>
          <w:rFonts w:ascii="Times New Roman" w:eastAsia="Malgun Gothic" w:hAnsi="Times New Roman"/>
          <w:lang w:eastAsia="ko-KR"/>
        </w:rPr>
        <w:t xml:space="preserve">ons it </w:t>
      </w:r>
      <w:r w:rsidR="00740EAB">
        <w:rPr>
          <w:rFonts w:ascii="Times New Roman" w:eastAsia="Malgun Gothic" w:hAnsi="Times New Roman"/>
          <w:lang w:eastAsia="ko-KR"/>
        </w:rPr>
        <w:t>is proposed the traditional metric based on the truncated Shannon bound be employed for RAN4 adjacent channel co-existence analysis of V2V.</w:t>
      </w:r>
    </w:p>
    <w:p w:rsidR="00F15D6B" w:rsidRPr="00571645" w:rsidRDefault="00F15D6B" w:rsidP="00F15D6B">
      <w:pPr>
        <w:rPr>
          <w:rFonts w:eastAsia="Malgun Gothic"/>
          <w:lang w:eastAsia="ko-KR"/>
        </w:rPr>
      </w:pPr>
    </w:p>
    <w:p w:rsidR="00972033" w:rsidRPr="00EB0F58" w:rsidRDefault="00972033" w:rsidP="00972033">
      <w:pPr>
        <w:rPr>
          <w:b/>
          <w:sz w:val="22"/>
          <w:szCs w:val="22"/>
          <w:u w:val="single"/>
          <w:lang w:val="en-US"/>
        </w:rPr>
      </w:pPr>
      <w:r>
        <w:rPr>
          <w:b/>
          <w:sz w:val="22"/>
          <w:szCs w:val="22"/>
          <w:u w:val="single"/>
          <w:lang w:val="en-US"/>
        </w:rPr>
        <w:t>Proposal #4</w:t>
      </w:r>
      <w:r w:rsidRPr="00EB0F58">
        <w:rPr>
          <w:b/>
          <w:sz w:val="22"/>
          <w:szCs w:val="22"/>
          <w:u w:val="single"/>
          <w:lang w:val="en-US"/>
        </w:rPr>
        <w:t>:</w:t>
      </w:r>
    </w:p>
    <w:p w:rsidR="00972033" w:rsidRPr="00972033" w:rsidRDefault="00972033" w:rsidP="00972033">
      <w:pPr>
        <w:numPr>
          <w:ilvl w:val="0"/>
          <w:numId w:val="13"/>
        </w:numPr>
        <w:rPr>
          <w:rFonts w:eastAsia="SimSun"/>
          <w:b/>
          <w:sz w:val="22"/>
          <w:szCs w:val="22"/>
          <w:lang w:eastAsia="zh-CN"/>
        </w:rPr>
      </w:pPr>
      <w:r>
        <w:rPr>
          <w:rFonts w:eastAsia="Malgun Gothic"/>
          <w:b/>
          <w:sz w:val="22"/>
          <w:szCs w:val="22"/>
          <w:lang w:eastAsia="ko-KR"/>
        </w:rPr>
        <w:t>T</w:t>
      </w:r>
      <w:r w:rsidRPr="00972033">
        <w:rPr>
          <w:rFonts w:eastAsia="Malgun Gothic"/>
          <w:b/>
          <w:sz w:val="22"/>
          <w:szCs w:val="22"/>
          <w:lang w:eastAsia="ko-KR"/>
        </w:rPr>
        <w:t>he truncated Shannon bound be employed</w:t>
      </w:r>
      <w:r>
        <w:rPr>
          <w:rFonts w:eastAsia="Malgun Gothic"/>
          <w:b/>
          <w:sz w:val="22"/>
          <w:szCs w:val="22"/>
          <w:lang w:eastAsia="ko-KR"/>
        </w:rPr>
        <w:t xml:space="preserve"> as the metric </w:t>
      </w:r>
      <w:r w:rsidRPr="00972033">
        <w:rPr>
          <w:rFonts w:eastAsia="Malgun Gothic"/>
          <w:b/>
          <w:sz w:val="22"/>
          <w:szCs w:val="22"/>
          <w:lang w:eastAsia="ko-KR"/>
        </w:rPr>
        <w:t>for RAN4 adjacent channel co-existence analysis of V2V</w:t>
      </w:r>
      <w:r w:rsidRPr="00972033">
        <w:rPr>
          <w:b/>
          <w:sz w:val="22"/>
          <w:szCs w:val="22"/>
        </w:rPr>
        <w:t>.</w:t>
      </w:r>
    </w:p>
    <w:p w:rsidR="00F15D6B" w:rsidRPr="00571645" w:rsidRDefault="00F15D6B" w:rsidP="00F15D6B">
      <w:pPr>
        <w:rPr>
          <w:rFonts w:eastAsia="Malgun Gothic"/>
          <w:lang w:eastAsia="ko-KR"/>
        </w:rPr>
      </w:pPr>
    </w:p>
    <w:p w:rsidR="003206D1" w:rsidRPr="003206D1" w:rsidRDefault="001706B8" w:rsidP="003206D1">
      <w:pPr>
        <w:pStyle w:val="Heading2"/>
        <w:ind w:left="0" w:firstLine="0"/>
        <w:rPr>
          <w:rFonts w:ascii="Times New Roman" w:eastAsia="Malgun Gothic" w:hAnsi="Times New Roman"/>
          <w:sz w:val="22"/>
          <w:szCs w:val="22"/>
          <w:lang w:eastAsia="ko-KR"/>
        </w:rPr>
      </w:pPr>
      <w:r w:rsidRPr="00571645">
        <w:rPr>
          <w:rFonts w:ascii="Times New Roman" w:eastAsia="Malgun Gothic" w:hAnsi="Times New Roman"/>
          <w:sz w:val="22"/>
          <w:szCs w:val="22"/>
          <w:lang w:eastAsia="ko-KR"/>
        </w:rPr>
        <w:t>In 3GPP</w:t>
      </w:r>
      <w:r>
        <w:rPr>
          <w:rFonts w:ascii="Times New Roman" w:eastAsia="Malgun Gothic" w:hAnsi="Times New Roman"/>
          <w:sz w:val="22"/>
          <w:szCs w:val="22"/>
          <w:lang w:eastAsia="ko-KR"/>
        </w:rPr>
        <w:t xml:space="preserve"> RAN4 the co-existence evaluation methodology has been based on the methods and assumptions defined in 3GPP TR36.942 [3]. Furthermore, </w:t>
      </w:r>
      <w:r w:rsidR="00232103">
        <w:rPr>
          <w:rFonts w:ascii="Times New Roman" w:eastAsia="Malgun Gothic" w:hAnsi="Times New Roman"/>
          <w:sz w:val="22"/>
          <w:szCs w:val="22"/>
          <w:lang w:eastAsia="ko-KR"/>
        </w:rPr>
        <w:t xml:space="preserve">in </w:t>
      </w:r>
      <w:r>
        <w:rPr>
          <w:rFonts w:ascii="Times New Roman" w:eastAsia="Malgun Gothic" w:hAnsi="Times New Roman"/>
          <w:sz w:val="22"/>
          <w:szCs w:val="22"/>
          <w:lang w:eastAsia="ko-KR"/>
        </w:rPr>
        <w:t>TR36.885</w:t>
      </w:r>
      <w:r w:rsidR="005A23B2">
        <w:rPr>
          <w:rFonts w:ascii="Times New Roman" w:eastAsia="Malgun Gothic" w:hAnsi="Times New Roman"/>
          <w:sz w:val="22"/>
          <w:szCs w:val="22"/>
          <w:lang w:eastAsia="ko-KR"/>
        </w:rPr>
        <w:t xml:space="preserve"> [4</w:t>
      </w:r>
      <w:r w:rsidR="00232103">
        <w:rPr>
          <w:rFonts w:ascii="Times New Roman" w:eastAsia="Malgun Gothic" w:hAnsi="Times New Roman"/>
          <w:sz w:val="22"/>
          <w:szCs w:val="22"/>
          <w:lang w:eastAsia="ko-KR"/>
        </w:rPr>
        <w:t>]</w:t>
      </w:r>
      <w:r>
        <w:rPr>
          <w:rFonts w:ascii="Times New Roman" w:eastAsia="Malgun Gothic" w:hAnsi="Times New Roman"/>
          <w:sz w:val="22"/>
          <w:szCs w:val="22"/>
          <w:lang w:eastAsia="ko-KR"/>
        </w:rPr>
        <w:t xml:space="preserve"> </w:t>
      </w:r>
      <w:r w:rsidR="00232103">
        <w:rPr>
          <w:rFonts w:ascii="Times New Roman" w:eastAsia="Malgun Gothic" w:hAnsi="Times New Roman"/>
          <w:sz w:val="22"/>
          <w:szCs w:val="22"/>
          <w:lang w:eastAsia="ko-KR"/>
        </w:rPr>
        <w:t>Appendix A, det</w:t>
      </w:r>
      <w:r w:rsidR="005A23B2">
        <w:rPr>
          <w:rFonts w:ascii="Times New Roman" w:eastAsia="Malgun Gothic" w:hAnsi="Times New Roman"/>
          <w:sz w:val="22"/>
          <w:szCs w:val="22"/>
          <w:lang w:eastAsia="ko-KR"/>
        </w:rPr>
        <w:t>ailed assumptions are defined for</w:t>
      </w:r>
      <w:r w:rsidR="00232103">
        <w:rPr>
          <w:rFonts w:ascii="Times New Roman" w:eastAsia="Malgun Gothic" w:hAnsi="Times New Roman"/>
          <w:sz w:val="22"/>
          <w:szCs w:val="22"/>
          <w:lang w:eastAsia="ko-KR"/>
        </w:rPr>
        <w:t xml:space="preserve"> use case scenarios, channel models, deployment scenarios, as well as drop and mobility models</w:t>
      </w:r>
      <w:r w:rsidR="009F3A7D">
        <w:rPr>
          <w:rFonts w:ascii="Times New Roman" w:eastAsia="Malgun Gothic" w:hAnsi="Times New Roman"/>
          <w:sz w:val="22"/>
          <w:szCs w:val="22"/>
          <w:lang w:eastAsia="ko-KR"/>
        </w:rPr>
        <w:t xml:space="preserve"> for the simulation of V2V performance</w:t>
      </w:r>
      <w:r w:rsidR="00232103">
        <w:rPr>
          <w:rFonts w:ascii="Times New Roman" w:eastAsia="Malgun Gothic" w:hAnsi="Times New Roman"/>
          <w:sz w:val="22"/>
          <w:szCs w:val="22"/>
          <w:lang w:eastAsia="ko-KR"/>
        </w:rPr>
        <w:t>.  It is proposed that these assumptions be adopted for the Release 14 RAN4 co-existence analysis for V2X operation. Table 1 below summarizes the specific references for the given requirements.</w:t>
      </w:r>
      <w:r w:rsidR="003206D1">
        <w:rPr>
          <w:rFonts w:ascii="Times New Roman" w:eastAsia="Malgun Gothic" w:hAnsi="Times New Roman"/>
          <w:sz w:val="22"/>
          <w:szCs w:val="22"/>
          <w:lang w:eastAsia="ko-KR"/>
        </w:rPr>
        <w:t xml:space="preserve"> </w:t>
      </w:r>
    </w:p>
    <w:p w:rsidR="009F3A7D" w:rsidRDefault="009F3A7D" w:rsidP="009F3A7D">
      <w:pPr>
        <w:rPr>
          <w:rFonts w:eastAsia="Malgun Gothic"/>
          <w:lang w:eastAsia="ko-KR"/>
        </w:rPr>
      </w:pPr>
    </w:p>
    <w:p w:rsidR="003206D1" w:rsidRPr="009F3A7D" w:rsidRDefault="003206D1" w:rsidP="009F3A7D">
      <w:pPr>
        <w:rPr>
          <w:rFonts w:eastAsia="Malgun Gothic"/>
          <w:lang w:eastAsia="ko-KR"/>
        </w:rPr>
      </w:pPr>
    </w:p>
    <w:p w:rsidR="00713EA1" w:rsidRPr="004B0E52" w:rsidRDefault="00C655D3" w:rsidP="00713EA1">
      <w:pPr>
        <w:pStyle w:val="Heading2"/>
        <w:numPr>
          <w:ilvl w:val="1"/>
          <w:numId w:val="0"/>
        </w:numPr>
        <w:tabs>
          <w:tab w:val="num" w:pos="576"/>
        </w:tabs>
        <w:ind w:left="576" w:hanging="576"/>
        <w:jc w:val="center"/>
        <w:rPr>
          <w:rFonts w:ascii="Times New Roman" w:hAnsi="Times New Roman"/>
          <w:b/>
          <w:sz w:val="22"/>
          <w:szCs w:val="22"/>
        </w:rPr>
      </w:pPr>
      <w:r>
        <w:rPr>
          <w:rFonts w:ascii="Times New Roman" w:hAnsi="Times New Roman"/>
          <w:b/>
          <w:sz w:val="22"/>
          <w:szCs w:val="22"/>
        </w:rPr>
        <w:t>Table 1</w:t>
      </w:r>
      <w:r w:rsidR="00713EA1" w:rsidRPr="004B0E52">
        <w:rPr>
          <w:rFonts w:ascii="Times New Roman" w:hAnsi="Times New Roman"/>
          <w:b/>
          <w:sz w:val="22"/>
          <w:szCs w:val="22"/>
        </w:rPr>
        <w:t xml:space="preserve">: </w:t>
      </w:r>
      <w:r w:rsidR="00713EA1">
        <w:rPr>
          <w:rFonts w:ascii="Times New Roman" w:hAnsi="Times New Roman"/>
          <w:b/>
          <w:sz w:val="22"/>
          <w:szCs w:val="22"/>
        </w:rPr>
        <w:t>V2X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6228"/>
      </w:tblGrid>
      <w:tr w:rsidR="00713EA1" w:rsidRPr="004B0E52" w:rsidTr="005F4422">
        <w:tc>
          <w:tcPr>
            <w:tcW w:w="3348" w:type="dxa"/>
            <w:shd w:val="clear" w:color="auto" w:fill="C6D9F1"/>
          </w:tcPr>
          <w:p w:rsidR="00713EA1" w:rsidRPr="002F3783" w:rsidRDefault="00713EA1" w:rsidP="005F4422">
            <w:pPr>
              <w:rPr>
                <w:rFonts w:eastAsia="MS Mincho"/>
                <w:b/>
              </w:rPr>
            </w:pPr>
            <w:r w:rsidRPr="002F3783">
              <w:rPr>
                <w:rFonts w:eastAsia="MS Mincho"/>
                <w:b/>
              </w:rPr>
              <w:t>Parameter</w:t>
            </w:r>
          </w:p>
        </w:tc>
        <w:tc>
          <w:tcPr>
            <w:tcW w:w="6228" w:type="dxa"/>
            <w:shd w:val="clear" w:color="auto" w:fill="C6D9F1"/>
          </w:tcPr>
          <w:p w:rsidR="00713EA1" w:rsidRPr="002F3783" w:rsidRDefault="00713EA1" w:rsidP="005F4422">
            <w:pPr>
              <w:rPr>
                <w:rFonts w:eastAsia="MS Mincho"/>
                <w:b/>
              </w:rPr>
            </w:pPr>
            <w:r>
              <w:rPr>
                <w:rFonts w:eastAsia="MS Mincho"/>
                <w:b/>
              </w:rPr>
              <w:t>Assumption</w:t>
            </w:r>
          </w:p>
        </w:tc>
      </w:tr>
      <w:tr w:rsidR="00713EA1" w:rsidRPr="004B0E52" w:rsidTr="005F4422">
        <w:tc>
          <w:tcPr>
            <w:tcW w:w="3348" w:type="dxa"/>
            <w:shd w:val="clear" w:color="auto" w:fill="auto"/>
          </w:tcPr>
          <w:p w:rsidR="00713EA1" w:rsidRPr="002F3783" w:rsidRDefault="00713EA1" w:rsidP="005F4422">
            <w:pPr>
              <w:rPr>
                <w:rFonts w:eastAsia="MS Mincho"/>
              </w:rPr>
            </w:pPr>
            <w:r>
              <w:rPr>
                <w:rFonts w:eastAsia="MS Mincho"/>
              </w:rPr>
              <w:t>Evaluation Scenarios</w:t>
            </w:r>
          </w:p>
        </w:tc>
        <w:tc>
          <w:tcPr>
            <w:tcW w:w="6228" w:type="dxa"/>
            <w:shd w:val="clear" w:color="auto" w:fill="auto"/>
          </w:tcPr>
          <w:p w:rsidR="00713EA1" w:rsidRPr="00713EA1" w:rsidRDefault="00713EA1" w:rsidP="00713EA1">
            <w:pPr>
              <w:jc w:val="center"/>
              <w:rPr>
                <w:rFonts w:eastAsia="MS Mincho"/>
              </w:rPr>
            </w:pPr>
            <w:r w:rsidRPr="00713EA1">
              <w:rPr>
                <w:rFonts w:eastAsia="MS Mincho"/>
              </w:rPr>
              <w:t>TR36.885 Appendix A.1.1</w:t>
            </w:r>
          </w:p>
        </w:tc>
      </w:tr>
      <w:tr w:rsidR="00713EA1" w:rsidRPr="004B0E52" w:rsidTr="005F4422">
        <w:tc>
          <w:tcPr>
            <w:tcW w:w="3348" w:type="dxa"/>
            <w:shd w:val="clear" w:color="auto" w:fill="auto"/>
          </w:tcPr>
          <w:p w:rsidR="00713EA1" w:rsidRPr="002F3783" w:rsidRDefault="00713EA1" w:rsidP="005F4422">
            <w:pPr>
              <w:rPr>
                <w:rFonts w:eastAsia="MS Mincho"/>
              </w:rPr>
            </w:pPr>
            <w:r>
              <w:rPr>
                <w:rFonts w:eastAsia="MS Mincho"/>
              </w:rPr>
              <w:t>UE Drop and Mobility Model</w:t>
            </w:r>
          </w:p>
        </w:tc>
        <w:tc>
          <w:tcPr>
            <w:tcW w:w="6228" w:type="dxa"/>
            <w:shd w:val="clear" w:color="auto" w:fill="auto"/>
          </w:tcPr>
          <w:p w:rsidR="00713EA1" w:rsidRPr="00713EA1" w:rsidRDefault="00713EA1" w:rsidP="00713EA1">
            <w:pPr>
              <w:jc w:val="center"/>
              <w:rPr>
                <w:rFonts w:eastAsia="MS Mincho"/>
              </w:rPr>
            </w:pPr>
            <w:r w:rsidRPr="00713EA1">
              <w:rPr>
                <w:rFonts w:eastAsia="MS Mincho"/>
              </w:rPr>
              <w:t>TR36.885 Appendix A.1.2</w:t>
            </w:r>
          </w:p>
        </w:tc>
      </w:tr>
      <w:tr w:rsidR="00713EA1" w:rsidRPr="004B0E52" w:rsidTr="005F4422">
        <w:tc>
          <w:tcPr>
            <w:tcW w:w="3348" w:type="dxa"/>
            <w:shd w:val="clear" w:color="auto" w:fill="auto"/>
          </w:tcPr>
          <w:p w:rsidR="00713EA1" w:rsidRPr="002F3783" w:rsidRDefault="00713EA1" w:rsidP="005F4422">
            <w:pPr>
              <w:rPr>
                <w:rFonts w:eastAsia="MS Mincho"/>
              </w:rPr>
            </w:pPr>
            <w:r>
              <w:rPr>
                <w:rFonts w:eastAsia="MS Mincho"/>
              </w:rPr>
              <w:lastRenderedPageBreak/>
              <w:t>eNB and RSU deployment</w:t>
            </w:r>
          </w:p>
        </w:tc>
        <w:tc>
          <w:tcPr>
            <w:tcW w:w="6228" w:type="dxa"/>
            <w:shd w:val="clear" w:color="auto" w:fill="auto"/>
          </w:tcPr>
          <w:p w:rsidR="00713EA1" w:rsidRPr="00713EA1" w:rsidRDefault="00713EA1" w:rsidP="00713EA1">
            <w:pPr>
              <w:pStyle w:val="ListParagraph"/>
              <w:spacing w:after="0" w:line="240" w:lineRule="auto"/>
              <w:ind w:left="0"/>
              <w:jc w:val="center"/>
              <w:rPr>
                <w:rFonts w:ascii="Times New Roman" w:hAnsi="Times New Roman"/>
                <w:sz w:val="20"/>
                <w:szCs w:val="20"/>
                <w:lang w:val="en-GB"/>
              </w:rPr>
            </w:pPr>
            <w:r w:rsidRPr="00713EA1">
              <w:rPr>
                <w:rFonts w:ascii="Times New Roman" w:eastAsia="MS Mincho" w:hAnsi="Times New Roman"/>
                <w:sz w:val="20"/>
                <w:szCs w:val="20"/>
              </w:rPr>
              <w:t xml:space="preserve">TR36.885 Appendix </w:t>
            </w:r>
            <w:r w:rsidRPr="00713EA1">
              <w:rPr>
                <w:rFonts w:ascii="Times New Roman" w:hAnsi="Times New Roman"/>
                <w:sz w:val="20"/>
                <w:szCs w:val="20"/>
                <w:lang w:val="en-GB"/>
              </w:rPr>
              <w:t>A.1.3</w:t>
            </w:r>
          </w:p>
        </w:tc>
      </w:tr>
      <w:tr w:rsidR="00713EA1" w:rsidRPr="004B0E52" w:rsidTr="005F4422">
        <w:tc>
          <w:tcPr>
            <w:tcW w:w="3348" w:type="dxa"/>
            <w:shd w:val="clear" w:color="auto" w:fill="auto"/>
          </w:tcPr>
          <w:p w:rsidR="00713EA1" w:rsidRPr="002F3783" w:rsidRDefault="009A1832" w:rsidP="005F4422">
            <w:pPr>
              <w:rPr>
                <w:rFonts w:eastAsia="MS Mincho"/>
              </w:rPr>
            </w:pPr>
            <w:r>
              <w:rPr>
                <w:rFonts w:eastAsia="MS Mincho"/>
              </w:rPr>
              <w:t xml:space="preserve">V2V and V2I </w:t>
            </w:r>
            <w:r w:rsidR="00713EA1">
              <w:rPr>
                <w:rFonts w:eastAsia="MS Mincho"/>
              </w:rPr>
              <w:t>Channel Model</w:t>
            </w:r>
          </w:p>
        </w:tc>
        <w:tc>
          <w:tcPr>
            <w:tcW w:w="6228" w:type="dxa"/>
            <w:shd w:val="clear" w:color="auto" w:fill="auto"/>
          </w:tcPr>
          <w:p w:rsidR="00713EA1" w:rsidRPr="00713EA1" w:rsidRDefault="00713EA1" w:rsidP="00713EA1">
            <w:pPr>
              <w:pStyle w:val="ListParagraph"/>
              <w:spacing w:after="0" w:line="240" w:lineRule="auto"/>
              <w:ind w:left="0"/>
              <w:jc w:val="center"/>
              <w:rPr>
                <w:rFonts w:ascii="Times New Roman" w:hAnsi="Times New Roman"/>
                <w:sz w:val="20"/>
                <w:szCs w:val="20"/>
                <w:lang w:val="en-GB"/>
              </w:rPr>
            </w:pPr>
            <w:r w:rsidRPr="00713EA1">
              <w:rPr>
                <w:rFonts w:ascii="Times New Roman" w:eastAsia="MS Mincho" w:hAnsi="Times New Roman"/>
                <w:sz w:val="20"/>
                <w:szCs w:val="20"/>
              </w:rPr>
              <w:t xml:space="preserve">TR36.885 Appendix </w:t>
            </w:r>
            <w:r w:rsidRPr="00713EA1">
              <w:rPr>
                <w:rFonts w:ascii="Times New Roman" w:hAnsi="Times New Roman"/>
                <w:sz w:val="20"/>
                <w:szCs w:val="20"/>
                <w:lang w:val="en-GB"/>
              </w:rPr>
              <w:t>A.1.4</w:t>
            </w:r>
          </w:p>
        </w:tc>
      </w:tr>
      <w:tr w:rsidR="00713EA1" w:rsidRPr="004B0E52" w:rsidTr="005F4422">
        <w:tc>
          <w:tcPr>
            <w:tcW w:w="3348" w:type="dxa"/>
            <w:shd w:val="clear" w:color="auto" w:fill="auto"/>
          </w:tcPr>
          <w:p w:rsidR="00713EA1" w:rsidRPr="002F3783" w:rsidRDefault="00713EA1" w:rsidP="005F4422">
            <w:pPr>
              <w:rPr>
                <w:rFonts w:eastAsia="MS Mincho"/>
              </w:rPr>
            </w:pPr>
            <w:r>
              <w:rPr>
                <w:rFonts w:eastAsia="MS Mincho"/>
              </w:rPr>
              <w:t>Traffic Model</w:t>
            </w:r>
          </w:p>
        </w:tc>
        <w:tc>
          <w:tcPr>
            <w:tcW w:w="6228" w:type="dxa"/>
            <w:shd w:val="clear" w:color="auto" w:fill="auto"/>
          </w:tcPr>
          <w:p w:rsidR="00713EA1" w:rsidRPr="00713EA1" w:rsidRDefault="00713EA1" w:rsidP="00713EA1">
            <w:pPr>
              <w:jc w:val="center"/>
              <w:rPr>
                <w:rFonts w:eastAsia="MS Mincho"/>
              </w:rPr>
            </w:pPr>
            <w:r w:rsidRPr="00713EA1">
              <w:rPr>
                <w:rFonts w:eastAsia="MS Mincho"/>
              </w:rPr>
              <w:t xml:space="preserve">TR36.885 Appendix </w:t>
            </w:r>
            <w:r w:rsidRPr="00713EA1">
              <w:t>A.1.5</w:t>
            </w:r>
          </w:p>
        </w:tc>
      </w:tr>
    </w:tbl>
    <w:p w:rsidR="00232103" w:rsidRDefault="00232103" w:rsidP="00232103">
      <w:pPr>
        <w:rPr>
          <w:rFonts w:eastAsia="Malgun Gothic"/>
          <w:lang w:eastAsia="ko-KR"/>
        </w:rPr>
      </w:pPr>
    </w:p>
    <w:p w:rsidR="00232103" w:rsidRPr="00C655D3" w:rsidRDefault="00972033" w:rsidP="00972033">
      <w:pPr>
        <w:rPr>
          <w:rFonts w:eastAsia="SimSun"/>
          <w:b/>
          <w:sz w:val="22"/>
          <w:szCs w:val="22"/>
          <w:lang w:eastAsia="zh-CN"/>
        </w:rPr>
      </w:pPr>
      <w:r>
        <w:rPr>
          <w:b/>
          <w:sz w:val="22"/>
          <w:szCs w:val="22"/>
          <w:u w:val="single"/>
          <w:lang w:val="en-US"/>
        </w:rPr>
        <w:t>Proposal #5</w:t>
      </w:r>
      <w:r w:rsidR="00232103" w:rsidRPr="00C655D3">
        <w:rPr>
          <w:b/>
          <w:sz w:val="22"/>
          <w:szCs w:val="22"/>
          <w:u w:val="single"/>
          <w:lang w:val="en-US"/>
        </w:rPr>
        <w:t>:</w:t>
      </w:r>
    </w:p>
    <w:p w:rsidR="00232103" w:rsidRPr="00232103" w:rsidRDefault="00232103" w:rsidP="00232103">
      <w:pPr>
        <w:numPr>
          <w:ilvl w:val="0"/>
          <w:numId w:val="13"/>
        </w:numPr>
        <w:rPr>
          <w:rFonts w:eastAsia="SimSun"/>
          <w:b/>
          <w:sz w:val="22"/>
          <w:szCs w:val="22"/>
          <w:lang w:eastAsia="zh-CN"/>
        </w:rPr>
      </w:pPr>
      <w:r>
        <w:rPr>
          <w:b/>
          <w:sz w:val="22"/>
          <w:szCs w:val="22"/>
        </w:rPr>
        <w:t>For</w:t>
      </w:r>
      <w:r w:rsidRPr="00232103">
        <w:rPr>
          <w:b/>
          <w:sz w:val="22"/>
          <w:szCs w:val="22"/>
        </w:rPr>
        <w:t xml:space="preserve"> </w:t>
      </w:r>
      <w:r w:rsidRPr="00232103">
        <w:rPr>
          <w:rFonts w:eastAsia="Malgun Gothic"/>
          <w:b/>
          <w:sz w:val="22"/>
          <w:szCs w:val="22"/>
          <w:lang w:eastAsia="ko-KR"/>
        </w:rPr>
        <w:t>RAN4 Release 14 co-existence evaluation</w:t>
      </w:r>
      <w:r>
        <w:rPr>
          <w:rFonts w:eastAsia="Malgun Gothic"/>
          <w:b/>
          <w:sz w:val="22"/>
          <w:szCs w:val="22"/>
          <w:lang w:eastAsia="ko-KR"/>
        </w:rPr>
        <w:t xml:space="preserve">s, the use case definitions, channel models and </w:t>
      </w:r>
      <w:r w:rsidR="00713EA1">
        <w:rPr>
          <w:rFonts w:eastAsia="Malgun Gothic"/>
          <w:b/>
          <w:sz w:val="22"/>
          <w:szCs w:val="22"/>
          <w:lang w:eastAsia="ko-KR"/>
        </w:rPr>
        <w:t>deployment scenarios of Appe</w:t>
      </w:r>
      <w:r w:rsidR="00972033">
        <w:rPr>
          <w:rFonts w:eastAsia="Malgun Gothic"/>
          <w:b/>
          <w:sz w:val="22"/>
          <w:szCs w:val="22"/>
          <w:lang w:eastAsia="ko-KR"/>
        </w:rPr>
        <w:t xml:space="preserve">ndix </w:t>
      </w:r>
      <w:proofErr w:type="gramStart"/>
      <w:r w:rsidR="00713EA1">
        <w:rPr>
          <w:rFonts w:eastAsia="Malgun Gothic"/>
          <w:b/>
          <w:sz w:val="22"/>
          <w:szCs w:val="22"/>
          <w:lang w:eastAsia="ko-KR"/>
        </w:rPr>
        <w:t>A</w:t>
      </w:r>
      <w:proofErr w:type="gramEnd"/>
      <w:r w:rsidR="00713EA1">
        <w:rPr>
          <w:rFonts w:eastAsia="Malgun Gothic"/>
          <w:b/>
          <w:sz w:val="22"/>
          <w:szCs w:val="22"/>
          <w:lang w:eastAsia="ko-KR"/>
        </w:rPr>
        <w:t xml:space="preserve"> of TR36.885 be employed</w:t>
      </w:r>
      <w:r w:rsidR="00972033">
        <w:rPr>
          <w:rFonts w:eastAsia="Malgun Gothic"/>
          <w:b/>
          <w:sz w:val="22"/>
          <w:szCs w:val="22"/>
          <w:lang w:eastAsia="ko-KR"/>
        </w:rPr>
        <w:t xml:space="preserve"> as summarized in Table 1</w:t>
      </w:r>
      <w:r w:rsidR="00713EA1">
        <w:rPr>
          <w:rFonts w:eastAsia="Malgun Gothic"/>
          <w:b/>
          <w:sz w:val="22"/>
          <w:szCs w:val="22"/>
          <w:lang w:eastAsia="ko-KR"/>
        </w:rPr>
        <w:t>.</w:t>
      </w:r>
      <w:r w:rsidRPr="00232103">
        <w:rPr>
          <w:rFonts w:eastAsia="Malgun Gothic"/>
          <w:b/>
          <w:sz w:val="22"/>
          <w:szCs w:val="22"/>
          <w:lang w:eastAsia="ko-KR"/>
        </w:rPr>
        <w:t xml:space="preserve"> </w:t>
      </w:r>
    </w:p>
    <w:p w:rsidR="001748F3" w:rsidRDefault="001748F3" w:rsidP="001748F3">
      <w:pPr>
        <w:rPr>
          <w:rFonts w:eastAsia="Malgun Gothic"/>
          <w:lang w:eastAsia="ko-KR"/>
        </w:rPr>
      </w:pPr>
    </w:p>
    <w:p w:rsidR="001706B8" w:rsidRPr="00350491" w:rsidRDefault="001706B8" w:rsidP="001706B8">
      <w:pPr>
        <w:pStyle w:val="Heading1"/>
        <w:ind w:left="851" w:hanging="851"/>
      </w:pPr>
      <w:r w:rsidRPr="00350491">
        <w:t>3</w:t>
      </w:r>
      <w:r w:rsidRPr="00350491">
        <w:tab/>
        <w:t>Conclusions</w:t>
      </w:r>
    </w:p>
    <w:p w:rsidR="009A1832" w:rsidRPr="003206D1" w:rsidRDefault="00FB5ACA" w:rsidP="00713EA1">
      <w:pPr>
        <w:rPr>
          <w:sz w:val="22"/>
          <w:szCs w:val="22"/>
        </w:rPr>
      </w:pPr>
      <w:r w:rsidRPr="00350491">
        <w:rPr>
          <w:sz w:val="22"/>
          <w:szCs w:val="22"/>
        </w:rPr>
        <w:t xml:space="preserve">The following </w:t>
      </w:r>
      <w:r>
        <w:rPr>
          <w:sz w:val="22"/>
          <w:szCs w:val="22"/>
        </w:rPr>
        <w:t xml:space="preserve">proposals </w:t>
      </w:r>
      <w:r w:rsidRPr="00350491">
        <w:rPr>
          <w:sz w:val="22"/>
          <w:szCs w:val="22"/>
        </w:rPr>
        <w:t xml:space="preserve">should be taken into consideration when </w:t>
      </w:r>
      <w:r>
        <w:rPr>
          <w:sz w:val="22"/>
          <w:szCs w:val="22"/>
        </w:rPr>
        <w:t xml:space="preserve">defining the Release 14 V2X RF </w:t>
      </w:r>
      <w:r w:rsidR="00FF7F9C">
        <w:rPr>
          <w:sz w:val="22"/>
          <w:szCs w:val="22"/>
        </w:rPr>
        <w:t xml:space="preserve">co-existence </w:t>
      </w:r>
      <w:r w:rsidR="005A23B2">
        <w:rPr>
          <w:sz w:val="22"/>
          <w:szCs w:val="22"/>
        </w:rPr>
        <w:t>simulation assumptions</w:t>
      </w:r>
      <w:r>
        <w:rPr>
          <w:sz w:val="22"/>
          <w:szCs w:val="22"/>
        </w:rPr>
        <w:t>:</w:t>
      </w:r>
    </w:p>
    <w:p w:rsidR="00972033" w:rsidRPr="00EB0F58" w:rsidRDefault="00972033" w:rsidP="00972033">
      <w:pPr>
        <w:rPr>
          <w:b/>
          <w:sz w:val="22"/>
          <w:szCs w:val="22"/>
          <w:u w:val="single"/>
          <w:lang w:val="en-US"/>
        </w:rPr>
      </w:pPr>
      <w:r>
        <w:rPr>
          <w:b/>
          <w:sz w:val="22"/>
          <w:szCs w:val="22"/>
          <w:u w:val="single"/>
          <w:lang w:val="en-US"/>
        </w:rPr>
        <w:t>Proposal #1</w:t>
      </w:r>
      <w:r w:rsidRPr="00EB0F58">
        <w:rPr>
          <w:b/>
          <w:sz w:val="22"/>
          <w:szCs w:val="22"/>
          <w:u w:val="single"/>
          <w:lang w:val="en-US"/>
        </w:rPr>
        <w:t>:</w:t>
      </w:r>
    </w:p>
    <w:p w:rsidR="00972033" w:rsidRPr="00C655D3" w:rsidRDefault="00972033" w:rsidP="00972033">
      <w:pPr>
        <w:numPr>
          <w:ilvl w:val="0"/>
          <w:numId w:val="13"/>
        </w:numPr>
        <w:rPr>
          <w:rFonts w:eastAsia="SimSun"/>
          <w:b/>
          <w:sz w:val="22"/>
          <w:szCs w:val="22"/>
          <w:lang w:eastAsia="zh-CN"/>
        </w:rPr>
      </w:pPr>
      <w:r w:rsidRPr="00C655D3">
        <w:rPr>
          <w:rFonts w:eastAsia="Malgun Gothic"/>
          <w:b/>
          <w:sz w:val="22"/>
          <w:szCs w:val="22"/>
          <w:lang w:eastAsia="ko-KR"/>
        </w:rPr>
        <w:t>In order to have a consistent model of the V2V traffic density</w:t>
      </w:r>
      <w:r>
        <w:rPr>
          <w:rFonts w:eastAsia="Malgun Gothic"/>
          <w:b/>
          <w:sz w:val="22"/>
          <w:szCs w:val="22"/>
          <w:lang w:eastAsia="ko-KR"/>
        </w:rPr>
        <w:t xml:space="preserve"> for adjacent channel co-existence simulation</w:t>
      </w:r>
      <w:r w:rsidR="000E3260">
        <w:rPr>
          <w:rFonts w:eastAsia="Malgun Gothic"/>
          <w:b/>
          <w:sz w:val="22"/>
          <w:szCs w:val="22"/>
          <w:lang w:eastAsia="ko-KR"/>
        </w:rPr>
        <w:t>s</w:t>
      </w:r>
      <w:r w:rsidRPr="00C655D3">
        <w:rPr>
          <w:rFonts w:eastAsia="Malgun Gothic"/>
          <w:b/>
          <w:sz w:val="22"/>
          <w:szCs w:val="22"/>
          <w:lang w:eastAsia="ko-KR"/>
        </w:rPr>
        <w:t xml:space="preserve"> it is proposed that the individual parameters comprising the vehicle density calculation be further reviewed and agreed upon</w:t>
      </w:r>
      <w:r w:rsidRPr="00C655D3">
        <w:rPr>
          <w:b/>
          <w:sz w:val="22"/>
          <w:szCs w:val="22"/>
        </w:rPr>
        <w:t>.</w:t>
      </w:r>
    </w:p>
    <w:p w:rsidR="00972033" w:rsidRPr="00EB0F58" w:rsidRDefault="00972033" w:rsidP="00972033">
      <w:pPr>
        <w:rPr>
          <w:b/>
          <w:sz w:val="22"/>
          <w:szCs w:val="22"/>
          <w:u w:val="single"/>
          <w:lang w:val="en-US"/>
        </w:rPr>
      </w:pPr>
      <w:r>
        <w:rPr>
          <w:b/>
          <w:sz w:val="22"/>
          <w:szCs w:val="22"/>
          <w:u w:val="single"/>
          <w:lang w:val="en-US"/>
        </w:rPr>
        <w:t>Proposal #2</w:t>
      </w:r>
      <w:r w:rsidRPr="00EB0F58">
        <w:rPr>
          <w:b/>
          <w:sz w:val="22"/>
          <w:szCs w:val="22"/>
          <w:u w:val="single"/>
          <w:lang w:val="en-US"/>
        </w:rPr>
        <w:t>:</w:t>
      </w:r>
    </w:p>
    <w:p w:rsidR="00972033" w:rsidRPr="00C655D3" w:rsidRDefault="00972033" w:rsidP="00972033">
      <w:pPr>
        <w:numPr>
          <w:ilvl w:val="0"/>
          <w:numId w:val="13"/>
        </w:numPr>
        <w:rPr>
          <w:rFonts w:eastAsia="SimSun"/>
          <w:b/>
          <w:sz w:val="22"/>
          <w:szCs w:val="22"/>
          <w:lang w:eastAsia="zh-CN"/>
        </w:rPr>
      </w:pPr>
      <w:r w:rsidRPr="00C655D3">
        <w:rPr>
          <w:rFonts w:eastAsia="Malgun Gothic"/>
          <w:b/>
          <w:sz w:val="22"/>
          <w:szCs w:val="22"/>
          <w:lang w:eastAsia="ko-KR"/>
        </w:rPr>
        <w:t>For initial RAN4 adjacent channel co-existence analysis, it is assumed that the V2V transmissions occur at</w:t>
      </w:r>
      <w:r w:rsidR="000E3260">
        <w:rPr>
          <w:rFonts w:eastAsia="Malgun Gothic"/>
          <w:b/>
          <w:sz w:val="22"/>
          <w:szCs w:val="22"/>
          <w:lang w:eastAsia="ko-KR"/>
        </w:rPr>
        <w:t xml:space="preserve"> the</w:t>
      </w:r>
      <w:r w:rsidRPr="00C655D3">
        <w:rPr>
          <w:rFonts w:eastAsia="Malgun Gothic"/>
          <w:b/>
          <w:sz w:val="22"/>
          <w:szCs w:val="22"/>
          <w:lang w:eastAsia="ko-KR"/>
        </w:rPr>
        <w:t xml:space="preserve"> </w:t>
      </w:r>
      <w:r w:rsidR="000E3260">
        <w:rPr>
          <w:rFonts w:eastAsia="Malgun Gothic"/>
          <w:b/>
          <w:sz w:val="22"/>
          <w:szCs w:val="22"/>
          <w:lang w:eastAsia="ko-KR"/>
        </w:rPr>
        <w:t xml:space="preserve">maximum transmit power </w:t>
      </w:r>
      <w:proofErr w:type="spellStart"/>
      <w:r w:rsidR="000E3260" w:rsidRPr="00C655D3">
        <w:rPr>
          <w:rFonts w:eastAsia="Malgun Gothic"/>
          <w:b/>
          <w:sz w:val="22"/>
          <w:szCs w:val="22"/>
          <w:lang w:eastAsia="ko-KR"/>
        </w:rPr>
        <w:t>Pmax</w:t>
      </w:r>
      <w:proofErr w:type="spellEnd"/>
      <w:r w:rsidR="000E3260" w:rsidRPr="00C655D3">
        <w:rPr>
          <w:rFonts w:eastAsia="Malgun Gothic"/>
          <w:b/>
          <w:sz w:val="22"/>
          <w:szCs w:val="22"/>
          <w:lang w:eastAsia="ko-KR"/>
        </w:rPr>
        <w:t xml:space="preserve"> of the </w:t>
      </w:r>
      <w:r w:rsidR="000E3260">
        <w:rPr>
          <w:rFonts w:eastAsia="Malgun Gothic"/>
          <w:b/>
          <w:sz w:val="22"/>
          <w:szCs w:val="22"/>
          <w:lang w:eastAsia="ko-KR"/>
        </w:rPr>
        <w:t xml:space="preserve">V2V </w:t>
      </w:r>
      <w:r w:rsidR="000E3260" w:rsidRPr="00C655D3">
        <w:rPr>
          <w:rFonts w:eastAsia="Malgun Gothic"/>
          <w:b/>
          <w:sz w:val="22"/>
          <w:szCs w:val="22"/>
          <w:lang w:eastAsia="ko-KR"/>
        </w:rPr>
        <w:t>UE</w:t>
      </w:r>
      <w:r w:rsidRPr="00C655D3">
        <w:rPr>
          <w:b/>
          <w:sz w:val="22"/>
          <w:szCs w:val="22"/>
        </w:rPr>
        <w:t>.</w:t>
      </w:r>
    </w:p>
    <w:p w:rsidR="00972033" w:rsidRPr="00EB0F58" w:rsidRDefault="00972033" w:rsidP="00972033">
      <w:pPr>
        <w:rPr>
          <w:b/>
          <w:sz w:val="22"/>
          <w:szCs w:val="22"/>
          <w:u w:val="single"/>
          <w:lang w:val="en-US"/>
        </w:rPr>
      </w:pPr>
      <w:r>
        <w:rPr>
          <w:b/>
          <w:sz w:val="22"/>
          <w:szCs w:val="22"/>
          <w:u w:val="single"/>
          <w:lang w:val="en-US"/>
        </w:rPr>
        <w:t>Proposal #3</w:t>
      </w:r>
      <w:r w:rsidRPr="00EB0F58">
        <w:rPr>
          <w:b/>
          <w:sz w:val="22"/>
          <w:szCs w:val="22"/>
          <w:u w:val="single"/>
          <w:lang w:val="en-US"/>
        </w:rPr>
        <w:t>:</w:t>
      </w:r>
    </w:p>
    <w:p w:rsidR="00972033" w:rsidRPr="00972033" w:rsidRDefault="00972033" w:rsidP="00972033">
      <w:pPr>
        <w:numPr>
          <w:ilvl w:val="0"/>
          <w:numId w:val="13"/>
        </w:numPr>
        <w:rPr>
          <w:rFonts w:eastAsia="SimSun"/>
          <w:b/>
          <w:sz w:val="22"/>
          <w:szCs w:val="22"/>
          <w:lang w:eastAsia="zh-CN"/>
        </w:rPr>
      </w:pPr>
      <w:r w:rsidRPr="00972033">
        <w:rPr>
          <w:rFonts w:eastAsia="Malgun Gothic"/>
          <w:b/>
          <w:sz w:val="22"/>
          <w:szCs w:val="22"/>
          <w:lang w:eastAsia="ko-KR"/>
        </w:rPr>
        <w:t xml:space="preserve">V2V ACLR and ACS values </w:t>
      </w:r>
      <w:proofErr w:type="gramStart"/>
      <w:r w:rsidRPr="00972033">
        <w:rPr>
          <w:rFonts w:eastAsia="Malgun Gothic"/>
          <w:b/>
          <w:sz w:val="22"/>
          <w:szCs w:val="22"/>
          <w:lang w:eastAsia="ko-KR"/>
        </w:rPr>
        <w:t>be</w:t>
      </w:r>
      <w:proofErr w:type="gramEnd"/>
      <w:r w:rsidRPr="00972033">
        <w:rPr>
          <w:rFonts w:eastAsia="Malgun Gothic"/>
          <w:b/>
          <w:sz w:val="22"/>
          <w:szCs w:val="22"/>
          <w:lang w:eastAsia="ko-KR"/>
        </w:rPr>
        <w:t xml:space="preserve"> based on full </w:t>
      </w:r>
      <w:r w:rsidRPr="00972033">
        <w:rPr>
          <w:rFonts w:eastAsia="Malgun Gothic"/>
          <w:b/>
          <w:lang w:eastAsia="ko-KR"/>
        </w:rPr>
        <w:t>adjacent channel co-located co-existence simulations and analysis in RAN4</w:t>
      </w:r>
      <w:r w:rsidRPr="00972033">
        <w:rPr>
          <w:b/>
          <w:sz w:val="22"/>
          <w:szCs w:val="22"/>
        </w:rPr>
        <w:t>.</w:t>
      </w:r>
    </w:p>
    <w:p w:rsidR="00972033" w:rsidRPr="00EB0F58" w:rsidRDefault="00972033" w:rsidP="00972033">
      <w:pPr>
        <w:rPr>
          <w:b/>
          <w:sz w:val="22"/>
          <w:szCs w:val="22"/>
          <w:u w:val="single"/>
          <w:lang w:val="en-US"/>
        </w:rPr>
      </w:pPr>
      <w:r>
        <w:rPr>
          <w:b/>
          <w:sz w:val="22"/>
          <w:szCs w:val="22"/>
          <w:u w:val="single"/>
          <w:lang w:val="en-US"/>
        </w:rPr>
        <w:t>Proposal #4</w:t>
      </w:r>
      <w:r w:rsidRPr="00EB0F58">
        <w:rPr>
          <w:b/>
          <w:sz w:val="22"/>
          <w:szCs w:val="22"/>
          <w:u w:val="single"/>
          <w:lang w:val="en-US"/>
        </w:rPr>
        <w:t>:</w:t>
      </w:r>
    </w:p>
    <w:p w:rsidR="00972033" w:rsidRPr="00972033" w:rsidRDefault="00972033" w:rsidP="00972033">
      <w:pPr>
        <w:numPr>
          <w:ilvl w:val="0"/>
          <w:numId w:val="13"/>
        </w:numPr>
        <w:rPr>
          <w:rFonts w:eastAsia="SimSun"/>
          <w:b/>
          <w:sz w:val="22"/>
          <w:szCs w:val="22"/>
          <w:lang w:eastAsia="zh-CN"/>
        </w:rPr>
      </w:pPr>
      <w:r>
        <w:rPr>
          <w:rFonts w:eastAsia="Malgun Gothic"/>
          <w:b/>
          <w:sz w:val="22"/>
          <w:szCs w:val="22"/>
          <w:lang w:eastAsia="ko-KR"/>
        </w:rPr>
        <w:t>T</w:t>
      </w:r>
      <w:r w:rsidRPr="00972033">
        <w:rPr>
          <w:rFonts w:eastAsia="Malgun Gothic"/>
          <w:b/>
          <w:sz w:val="22"/>
          <w:szCs w:val="22"/>
          <w:lang w:eastAsia="ko-KR"/>
        </w:rPr>
        <w:t>he truncated Shannon bound be employed</w:t>
      </w:r>
      <w:r>
        <w:rPr>
          <w:rFonts w:eastAsia="Malgun Gothic"/>
          <w:b/>
          <w:sz w:val="22"/>
          <w:szCs w:val="22"/>
          <w:lang w:eastAsia="ko-KR"/>
        </w:rPr>
        <w:t xml:space="preserve"> as the metric </w:t>
      </w:r>
      <w:r w:rsidRPr="00972033">
        <w:rPr>
          <w:rFonts w:eastAsia="Malgun Gothic"/>
          <w:b/>
          <w:sz w:val="22"/>
          <w:szCs w:val="22"/>
          <w:lang w:eastAsia="ko-KR"/>
        </w:rPr>
        <w:t>for RAN4 adjacent channel co-existence analysis of V2V</w:t>
      </w:r>
      <w:r w:rsidRPr="00972033">
        <w:rPr>
          <w:b/>
          <w:sz w:val="22"/>
          <w:szCs w:val="22"/>
        </w:rPr>
        <w:t>.</w:t>
      </w:r>
    </w:p>
    <w:p w:rsidR="00972033" w:rsidRPr="00C655D3" w:rsidRDefault="00972033" w:rsidP="00972033">
      <w:pPr>
        <w:rPr>
          <w:rFonts w:eastAsia="SimSun"/>
          <w:b/>
          <w:sz w:val="22"/>
          <w:szCs w:val="22"/>
          <w:lang w:eastAsia="zh-CN"/>
        </w:rPr>
      </w:pPr>
      <w:r>
        <w:rPr>
          <w:b/>
          <w:sz w:val="22"/>
          <w:szCs w:val="22"/>
          <w:u w:val="single"/>
          <w:lang w:val="en-US"/>
        </w:rPr>
        <w:t>Proposal #5</w:t>
      </w:r>
      <w:r w:rsidRPr="00C655D3">
        <w:rPr>
          <w:b/>
          <w:sz w:val="22"/>
          <w:szCs w:val="22"/>
          <w:u w:val="single"/>
          <w:lang w:val="en-US"/>
        </w:rPr>
        <w:t>:</w:t>
      </w:r>
    </w:p>
    <w:p w:rsidR="00972033" w:rsidRPr="00232103" w:rsidRDefault="00972033" w:rsidP="00972033">
      <w:pPr>
        <w:numPr>
          <w:ilvl w:val="0"/>
          <w:numId w:val="13"/>
        </w:numPr>
        <w:rPr>
          <w:rFonts w:eastAsia="SimSun"/>
          <w:b/>
          <w:sz w:val="22"/>
          <w:szCs w:val="22"/>
          <w:lang w:eastAsia="zh-CN"/>
        </w:rPr>
      </w:pPr>
      <w:r>
        <w:rPr>
          <w:b/>
          <w:sz w:val="22"/>
          <w:szCs w:val="22"/>
        </w:rPr>
        <w:t>For</w:t>
      </w:r>
      <w:r w:rsidRPr="00232103">
        <w:rPr>
          <w:b/>
          <w:sz w:val="22"/>
          <w:szCs w:val="22"/>
        </w:rPr>
        <w:t xml:space="preserve"> </w:t>
      </w:r>
      <w:r w:rsidRPr="00232103">
        <w:rPr>
          <w:rFonts w:eastAsia="Malgun Gothic"/>
          <w:b/>
          <w:sz w:val="22"/>
          <w:szCs w:val="22"/>
          <w:lang w:eastAsia="ko-KR"/>
        </w:rPr>
        <w:t>RAN4 Release 14 co-existence evaluation</w:t>
      </w:r>
      <w:r>
        <w:rPr>
          <w:rFonts w:eastAsia="Malgun Gothic"/>
          <w:b/>
          <w:sz w:val="22"/>
          <w:szCs w:val="22"/>
          <w:lang w:eastAsia="ko-KR"/>
        </w:rPr>
        <w:t xml:space="preserve">s, the use case definitions, channel models and deployment scenarios of Appendix </w:t>
      </w:r>
      <w:proofErr w:type="gramStart"/>
      <w:r>
        <w:rPr>
          <w:rFonts w:eastAsia="Malgun Gothic"/>
          <w:b/>
          <w:sz w:val="22"/>
          <w:szCs w:val="22"/>
          <w:lang w:eastAsia="ko-KR"/>
        </w:rPr>
        <w:t>A</w:t>
      </w:r>
      <w:proofErr w:type="gramEnd"/>
      <w:r>
        <w:rPr>
          <w:rFonts w:eastAsia="Malgun Gothic"/>
          <w:b/>
          <w:sz w:val="22"/>
          <w:szCs w:val="22"/>
          <w:lang w:eastAsia="ko-KR"/>
        </w:rPr>
        <w:t xml:space="preserve"> of TR36.885 be employed as summarized in Table 1.</w:t>
      </w:r>
      <w:r w:rsidRPr="00232103">
        <w:rPr>
          <w:rFonts w:eastAsia="Malgun Gothic"/>
          <w:b/>
          <w:sz w:val="22"/>
          <w:szCs w:val="22"/>
          <w:lang w:eastAsia="ko-KR"/>
        </w:rPr>
        <w:t xml:space="preserve"> </w:t>
      </w:r>
    </w:p>
    <w:p w:rsidR="001706B8" w:rsidRPr="000D15B1" w:rsidRDefault="001706B8" w:rsidP="001706B8">
      <w:pPr>
        <w:rPr>
          <w:sz w:val="22"/>
          <w:szCs w:val="22"/>
          <w:lang w:val="en-US"/>
        </w:rPr>
      </w:pPr>
    </w:p>
    <w:p w:rsidR="001706B8" w:rsidRDefault="001706B8" w:rsidP="001706B8">
      <w:pPr>
        <w:pStyle w:val="Heading1"/>
        <w:ind w:left="0" w:firstLine="0"/>
        <w:rPr>
          <w:lang w:val="en-US"/>
        </w:rPr>
      </w:pPr>
      <w:r>
        <w:rPr>
          <w:lang w:val="en-US"/>
        </w:rPr>
        <w:t>4</w:t>
      </w:r>
      <w:r>
        <w:rPr>
          <w:lang w:val="en-US"/>
        </w:rPr>
        <w:tab/>
      </w:r>
      <w:r>
        <w:rPr>
          <w:lang w:val="en-US"/>
        </w:rPr>
        <w:tab/>
      </w:r>
      <w:r>
        <w:rPr>
          <w:lang w:val="en-US"/>
        </w:rPr>
        <w:tab/>
        <w:t>References</w:t>
      </w:r>
    </w:p>
    <w:p w:rsidR="001706B8" w:rsidRDefault="001706B8" w:rsidP="001706B8">
      <w:pPr>
        <w:ind w:left="564" w:hanging="564"/>
        <w:rPr>
          <w:sz w:val="22"/>
          <w:szCs w:val="22"/>
        </w:rPr>
      </w:pPr>
      <w:r w:rsidRPr="0039201C">
        <w:rPr>
          <w:b/>
          <w:sz w:val="22"/>
          <w:szCs w:val="22"/>
        </w:rPr>
        <w:t>[</w:t>
      </w:r>
      <w:r w:rsidRPr="0039201C">
        <w:rPr>
          <w:sz w:val="22"/>
          <w:szCs w:val="22"/>
        </w:rPr>
        <w:t>1</w:t>
      </w:r>
      <w:r w:rsidRPr="0039201C">
        <w:rPr>
          <w:b/>
          <w:sz w:val="22"/>
          <w:szCs w:val="22"/>
        </w:rPr>
        <w:t>]</w:t>
      </w:r>
      <w:r w:rsidRPr="0039201C">
        <w:rPr>
          <w:b/>
          <w:sz w:val="22"/>
          <w:szCs w:val="22"/>
        </w:rPr>
        <w:tab/>
      </w:r>
      <w:r w:rsidRPr="0039201C">
        <w:rPr>
          <w:sz w:val="22"/>
          <w:szCs w:val="22"/>
        </w:rPr>
        <w:t xml:space="preserve">RP-151109, </w:t>
      </w:r>
      <w:r w:rsidR="00A71B60">
        <w:rPr>
          <w:sz w:val="22"/>
          <w:szCs w:val="22"/>
        </w:rPr>
        <w:t>“</w:t>
      </w:r>
      <w:r w:rsidRPr="0039201C">
        <w:rPr>
          <w:sz w:val="22"/>
          <w:szCs w:val="22"/>
        </w:rPr>
        <w:t>Feasibility Study on LTE-based V2X Services</w:t>
      </w:r>
      <w:r w:rsidR="00A71B60">
        <w:rPr>
          <w:sz w:val="22"/>
          <w:szCs w:val="22"/>
        </w:rPr>
        <w:t>”</w:t>
      </w:r>
      <w:r w:rsidRPr="0039201C">
        <w:rPr>
          <w:sz w:val="22"/>
          <w:szCs w:val="22"/>
        </w:rPr>
        <w:t>, LG Electronics, CATT, Vodafone, Huawei</w:t>
      </w:r>
      <w:r>
        <w:rPr>
          <w:sz w:val="22"/>
          <w:szCs w:val="22"/>
        </w:rPr>
        <w:t>.</w:t>
      </w:r>
    </w:p>
    <w:p w:rsidR="00A71B60" w:rsidRDefault="00A71B60" w:rsidP="001706B8">
      <w:pPr>
        <w:ind w:left="564" w:hanging="564"/>
        <w:rPr>
          <w:sz w:val="22"/>
          <w:szCs w:val="22"/>
          <w:lang w:val="en-US" w:eastAsia="ko-KR"/>
        </w:rPr>
      </w:pPr>
      <w:r w:rsidRPr="00A71B60">
        <w:rPr>
          <w:sz w:val="22"/>
          <w:szCs w:val="22"/>
        </w:rPr>
        <w:t>[2]</w:t>
      </w:r>
      <w:r w:rsidRPr="00A71B60">
        <w:rPr>
          <w:sz w:val="22"/>
          <w:szCs w:val="22"/>
        </w:rPr>
        <w:tab/>
        <w:t>RP-160220, “</w:t>
      </w:r>
      <w:r w:rsidRPr="00A71B60">
        <w:rPr>
          <w:rFonts w:eastAsia="Batang"/>
          <w:sz w:val="22"/>
          <w:szCs w:val="22"/>
          <w:lang w:eastAsia="zh-CN"/>
        </w:rPr>
        <w:t xml:space="preserve">Revised </w:t>
      </w:r>
      <w:r w:rsidRPr="00A71B60">
        <w:rPr>
          <w:rFonts w:eastAsia="Batang"/>
          <w:sz w:val="22"/>
          <w:szCs w:val="22"/>
          <w:lang w:eastAsia="ko-KR"/>
        </w:rPr>
        <w:t xml:space="preserve">WID: Support for V2V services based on LTE </w:t>
      </w:r>
      <w:proofErr w:type="spellStart"/>
      <w:r w:rsidRPr="00A71B60">
        <w:rPr>
          <w:rFonts w:eastAsia="Batang"/>
          <w:sz w:val="22"/>
          <w:szCs w:val="22"/>
          <w:lang w:eastAsia="ko-KR"/>
        </w:rPr>
        <w:t>sidelink</w:t>
      </w:r>
      <w:proofErr w:type="spellEnd"/>
      <w:r w:rsidRPr="00A71B60">
        <w:rPr>
          <w:rFonts w:eastAsia="Batang"/>
          <w:sz w:val="22"/>
          <w:szCs w:val="22"/>
          <w:lang w:eastAsia="ko-KR"/>
        </w:rPr>
        <w:t xml:space="preserve">”, </w:t>
      </w:r>
      <w:r w:rsidRPr="00A71B60">
        <w:rPr>
          <w:rFonts w:eastAsia="Batang"/>
          <w:sz w:val="22"/>
          <w:szCs w:val="22"/>
          <w:lang w:val="en-US" w:eastAsia="ko-KR"/>
        </w:rPr>
        <w:t xml:space="preserve">LG Electronics, </w:t>
      </w:r>
      <w:r w:rsidRPr="00A71B60">
        <w:rPr>
          <w:rFonts w:eastAsia="SimSun"/>
          <w:sz w:val="22"/>
          <w:szCs w:val="22"/>
          <w:lang w:val="en-US" w:eastAsia="zh-CN"/>
        </w:rPr>
        <w:t>Huaw</w:t>
      </w:r>
      <w:r w:rsidRPr="00A71B60">
        <w:rPr>
          <w:sz w:val="22"/>
          <w:szCs w:val="22"/>
          <w:lang w:val="en-US" w:eastAsia="ko-KR"/>
        </w:rPr>
        <w:t>e</w:t>
      </w:r>
      <w:r w:rsidRPr="00A71B60">
        <w:rPr>
          <w:rFonts w:eastAsia="SimSun"/>
          <w:sz w:val="22"/>
          <w:szCs w:val="22"/>
          <w:lang w:val="en-US" w:eastAsia="zh-CN"/>
        </w:rPr>
        <w:t xml:space="preserve">i, </w:t>
      </w:r>
      <w:proofErr w:type="spellStart"/>
      <w:r w:rsidRPr="00A71B60">
        <w:rPr>
          <w:rFonts w:eastAsia="SimSun"/>
          <w:sz w:val="22"/>
          <w:szCs w:val="22"/>
          <w:lang w:val="en-US" w:eastAsia="zh-CN"/>
        </w:rPr>
        <w:t>HiSilicon</w:t>
      </w:r>
      <w:proofErr w:type="spellEnd"/>
      <w:r w:rsidRPr="00A71B60">
        <w:rPr>
          <w:sz w:val="22"/>
          <w:szCs w:val="22"/>
          <w:lang w:val="en-US" w:eastAsia="ko-KR"/>
        </w:rPr>
        <w:t>, CATT, CATR</w:t>
      </w:r>
      <w:r w:rsidR="005A23B2">
        <w:rPr>
          <w:sz w:val="22"/>
          <w:szCs w:val="22"/>
          <w:lang w:val="en-US" w:eastAsia="ko-KR"/>
        </w:rPr>
        <w:t>.</w:t>
      </w:r>
    </w:p>
    <w:p w:rsidR="009F70AC" w:rsidRPr="00A71B60" w:rsidRDefault="009F70AC" w:rsidP="009F70AC">
      <w:pPr>
        <w:ind w:left="564" w:hanging="564"/>
        <w:rPr>
          <w:sz w:val="22"/>
          <w:szCs w:val="22"/>
          <w:lang w:eastAsia="ko-KR"/>
        </w:rPr>
      </w:pPr>
      <w:r>
        <w:rPr>
          <w:sz w:val="22"/>
          <w:szCs w:val="22"/>
          <w:lang w:val="en-US" w:eastAsia="ko-KR"/>
        </w:rPr>
        <w:t>[3]</w:t>
      </w:r>
      <w:r>
        <w:rPr>
          <w:sz w:val="22"/>
          <w:szCs w:val="22"/>
          <w:lang w:val="en-US" w:eastAsia="ko-KR"/>
        </w:rPr>
        <w:tab/>
        <w:t>R4-161409</w:t>
      </w:r>
      <w:r w:rsidRPr="009F70AC">
        <w:rPr>
          <w:sz w:val="22"/>
          <w:szCs w:val="22"/>
          <w:lang w:val="en-US" w:eastAsia="ko-KR"/>
        </w:rPr>
        <w:t>, “</w:t>
      </w:r>
      <w:r w:rsidRPr="009F70AC">
        <w:rPr>
          <w:bCs/>
          <w:sz w:val="22"/>
          <w:szCs w:val="22"/>
          <w:lang w:val="sv-SE" w:eastAsia="ko-KR"/>
        </w:rPr>
        <w:t>WF on V2V coexistence simulation parameters</w:t>
      </w:r>
      <w:r w:rsidRPr="009F70AC">
        <w:rPr>
          <w:sz w:val="22"/>
          <w:szCs w:val="22"/>
          <w:lang w:eastAsia="ko-KR"/>
        </w:rPr>
        <w:t>”, LG</w:t>
      </w:r>
      <w:r>
        <w:rPr>
          <w:sz w:val="22"/>
          <w:szCs w:val="22"/>
          <w:lang w:eastAsia="ko-KR"/>
        </w:rPr>
        <w:t xml:space="preserve"> Electronics</w:t>
      </w:r>
      <w:r w:rsidR="005A23B2">
        <w:rPr>
          <w:sz w:val="22"/>
          <w:szCs w:val="22"/>
          <w:lang w:eastAsia="ko-KR"/>
        </w:rPr>
        <w:t>.</w:t>
      </w:r>
    </w:p>
    <w:p w:rsidR="001706B8" w:rsidRDefault="00B214E9" w:rsidP="001706B8">
      <w:pPr>
        <w:pStyle w:val="ZT"/>
        <w:framePr w:wrap="auto" w:hAnchor="text" w:yAlign="inline"/>
        <w:jc w:val="left"/>
        <w:rPr>
          <w:rFonts w:ascii="Times New Roman" w:hAnsi="Times New Roman"/>
          <w:b w:val="0"/>
          <w:sz w:val="22"/>
          <w:szCs w:val="22"/>
        </w:rPr>
      </w:pPr>
      <w:r>
        <w:rPr>
          <w:rFonts w:ascii="Times New Roman" w:hAnsi="Times New Roman"/>
          <w:b w:val="0"/>
          <w:sz w:val="22"/>
          <w:szCs w:val="22"/>
        </w:rPr>
        <w:t>[4</w:t>
      </w:r>
      <w:r w:rsidR="001706B8" w:rsidRPr="00E4560B">
        <w:rPr>
          <w:rFonts w:ascii="Times New Roman" w:hAnsi="Times New Roman"/>
          <w:b w:val="0"/>
          <w:sz w:val="22"/>
          <w:szCs w:val="22"/>
        </w:rPr>
        <w:t>]</w:t>
      </w:r>
      <w:r w:rsidR="001706B8" w:rsidRPr="00E4560B">
        <w:rPr>
          <w:rFonts w:ascii="Times New Roman" w:hAnsi="Times New Roman"/>
          <w:b w:val="0"/>
          <w:sz w:val="22"/>
          <w:szCs w:val="22"/>
        </w:rPr>
        <w:tab/>
      </w:r>
      <w:r w:rsidR="001706B8">
        <w:rPr>
          <w:rFonts w:ascii="Times New Roman" w:hAnsi="Times New Roman"/>
          <w:b w:val="0"/>
          <w:sz w:val="22"/>
          <w:szCs w:val="22"/>
        </w:rPr>
        <w:tab/>
      </w:r>
      <w:r w:rsidR="001706B8" w:rsidRPr="00E4560B">
        <w:rPr>
          <w:rFonts w:ascii="Times New Roman" w:hAnsi="Times New Roman"/>
          <w:b w:val="0"/>
          <w:sz w:val="22"/>
          <w:szCs w:val="22"/>
        </w:rPr>
        <w:t>3GPP TR36.885, “</w:t>
      </w:r>
      <w:r w:rsidR="001706B8">
        <w:rPr>
          <w:rFonts w:ascii="Times New Roman" w:hAnsi="Times New Roman"/>
          <w:b w:val="0"/>
          <w:sz w:val="22"/>
          <w:szCs w:val="22"/>
        </w:rPr>
        <w:t xml:space="preserve">3GPP E-UTRA </w:t>
      </w:r>
      <w:r w:rsidR="001706B8" w:rsidRPr="00E4560B">
        <w:rPr>
          <w:rFonts w:ascii="Times New Roman" w:eastAsia="MS Mincho" w:hAnsi="Times New Roman"/>
          <w:b w:val="0"/>
          <w:sz w:val="22"/>
          <w:szCs w:val="22"/>
        </w:rPr>
        <w:t xml:space="preserve">Study on </w:t>
      </w:r>
      <w:r w:rsidR="001706B8" w:rsidRPr="00E4560B">
        <w:rPr>
          <w:rFonts w:ascii="Times New Roman" w:eastAsia="Malgun Gothic" w:hAnsi="Times New Roman"/>
          <w:b w:val="0"/>
          <w:sz w:val="22"/>
          <w:szCs w:val="22"/>
          <w:lang w:eastAsia="ko-KR"/>
        </w:rPr>
        <w:t>LTE-based V2X Services</w:t>
      </w:r>
      <w:r w:rsidR="001706B8" w:rsidRPr="00E4560B">
        <w:rPr>
          <w:rFonts w:ascii="Times New Roman" w:hAnsi="Times New Roman"/>
          <w:b w:val="0"/>
          <w:sz w:val="22"/>
          <w:szCs w:val="22"/>
        </w:rPr>
        <w:t>;</w:t>
      </w:r>
      <w:r w:rsidR="001706B8">
        <w:rPr>
          <w:rFonts w:ascii="Times New Roman" w:hAnsi="Times New Roman"/>
          <w:b w:val="0"/>
          <w:sz w:val="22"/>
          <w:szCs w:val="22"/>
        </w:rPr>
        <w:t xml:space="preserve"> </w:t>
      </w:r>
      <w:r w:rsidR="001706B8" w:rsidRPr="00E4560B">
        <w:rPr>
          <w:rFonts w:ascii="Times New Roman" w:hAnsi="Times New Roman"/>
          <w:b w:val="0"/>
          <w:sz w:val="22"/>
          <w:szCs w:val="22"/>
        </w:rPr>
        <w:t>(</w:t>
      </w:r>
      <w:r w:rsidR="001706B8" w:rsidRPr="00E4560B">
        <w:rPr>
          <w:rStyle w:val="ZGSM"/>
          <w:rFonts w:ascii="Times New Roman" w:hAnsi="Times New Roman"/>
          <w:b w:val="0"/>
          <w:sz w:val="22"/>
          <w:szCs w:val="22"/>
        </w:rPr>
        <w:t>Release 1</w:t>
      </w:r>
      <w:r w:rsidR="001706B8" w:rsidRPr="00E4560B">
        <w:rPr>
          <w:rStyle w:val="ZGSM"/>
          <w:rFonts w:ascii="Times New Roman" w:eastAsia="Malgun Gothic" w:hAnsi="Times New Roman"/>
          <w:b w:val="0"/>
          <w:sz w:val="22"/>
          <w:szCs w:val="22"/>
          <w:lang w:eastAsia="ko-KR"/>
        </w:rPr>
        <w:t>4</w:t>
      </w:r>
      <w:r w:rsidR="001706B8" w:rsidRPr="00E4560B">
        <w:rPr>
          <w:rFonts w:ascii="Times New Roman" w:hAnsi="Times New Roman"/>
          <w:b w:val="0"/>
          <w:sz w:val="22"/>
          <w:szCs w:val="22"/>
        </w:rPr>
        <w:t>)</w:t>
      </w:r>
      <w:r w:rsidR="005A23B2">
        <w:rPr>
          <w:rFonts w:ascii="Times New Roman" w:hAnsi="Times New Roman"/>
          <w:b w:val="0"/>
          <w:sz w:val="22"/>
          <w:szCs w:val="22"/>
        </w:rPr>
        <w:t>.</w:t>
      </w:r>
    </w:p>
    <w:p w:rsidR="001706B8" w:rsidRDefault="001706B8" w:rsidP="001706B8">
      <w:pPr>
        <w:pStyle w:val="ZT"/>
        <w:framePr w:wrap="auto" w:hAnchor="text" w:yAlign="inline"/>
        <w:jc w:val="left"/>
        <w:rPr>
          <w:rFonts w:ascii="Times New Roman" w:hAnsi="Times New Roman"/>
          <w:b w:val="0"/>
          <w:sz w:val="22"/>
          <w:szCs w:val="22"/>
        </w:rPr>
      </w:pPr>
    </w:p>
    <w:p w:rsidR="001706B8" w:rsidRDefault="00B214E9" w:rsidP="001706B8">
      <w:pPr>
        <w:pStyle w:val="ZT"/>
        <w:framePr w:wrap="auto" w:hAnchor="text" w:yAlign="inline"/>
        <w:jc w:val="left"/>
        <w:rPr>
          <w:rFonts w:ascii="Times New Roman" w:hAnsi="Times New Roman"/>
          <w:b w:val="0"/>
          <w:sz w:val="22"/>
          <w:szCs w:val="22"/>
        </w:rPr>
      </w:pPr>
      <w:r>
        <w:rPr>
          <w:rFonts w:ascii="Times New Roman" w:hAnsi="Times New Roman"/>
          <w:b w:val="0"/>
          <w:sz w:val="22"/>
          <w:szCs w:val="22"/>
        </w:rPr>
        <w:lastRenderedPageBreak/>
        <w:t>[5</w:t>
      </w:r>
      <w:r w:rsidR="001706B8">
        <w:rPr>
          <w:rFonts w:ascii="Times New Roman" w:hAnsi="Times New Roman"/>
          <w:b w:val="0"/>
          <w:sz w:val="22"/>
          <w:szCs w:val="22"/>
        </w:rPr>
        <w:t>]</w:t>
      </w:r>
      <w:r w:rsidR="001706B8">
        <w:rPr>
          <w:rFonts w:ascii="Times New Roman" w:hAnsi="Times New Roman"/>
          <w:b w:val="0"/>
          <w:sz w:val="22"/>
          <w:szCs w:val="22"/>
        </w:rPr>
        <w:tab/>
      </w:r>
      <w:r w:rsidR="001706B8">
        <w:rPr>
          <w:rFonts w:ascii="Times New Roman" w:hAnsi="Times New Roman"/>
          <w:b w:val="0"/>
          <w:sz w:val="22"/>
          <w:szCs w:val="22"/>
        </w:rPr>
        <w:tab/>
        <w:t>3GPP TR36.942</w:t>
      </w:r>
      <w:r w:rsidR="0034083A">
        <w:rPr>
          <w:rFonts w:ascii="Times New Roman" w:hAnsi="Times New Roman"/>
          <w:b w:val="0"/>
          <w:sz w:val="22"/>
          <w:szCs w:val="22"/>
        </w:rPr>
        <w:t>, “3GPP E-UTRA RF System Scenarios”, v13.0</w:t>
      </w:r>
      <w:r w:rsidR="005A23B2">
        <w:rPr>
          <w:rFonts w:ascii="Times New Roman" w:hAnsi="Times New Roman"/>
          <w:b w:val="0"/>
          <w:sz w:val="22"/>
          <w:szCs w:val="22"/>
        </w:rPr>
        <w:t>.</w:t>
      </w:r>
    </w:p>
    <w:p w:rsidR="001706B8" w:rsidRPr="001706B8" w:rsidRDefault="001706B8" w:rsidP="001706B8">
      <w:pPr>
        <w:pStyle w:val="ZT"/>
        <w:framePr w:wrap="auto" w:hAnchor="text" w:yAlign="inline"/>
        <w:jc w:val="left"/>
        <w:rPr>
          <w:rFonts w:ascii="Times New Roman" w:hAnsi="Times New Roman"/>
          <w:b w:val="0"/>
          <w:i/>
          <w:sz w:val="22"/>
          <w:szCs w:val="22"/>
        </w:rPr>
      </w:pPr>
    </w:p>
    <w:p w:rsidR="001706B8" w:rsidRDefault="00B214E9" w:rsidP="001706B8">
      <w:pPr>
        <w:pStyle w:val="ZT"/>
        <w:framePr w:wrap="auto" w:hAnchor="text" w:yAlign="inline"/>
        <w:spacing w:after="120" w:line="240" w:lineRule="auto"/>
        <w:ind w:left="567" w:hanging="567"/>
        <w:jc w:val="left"/>
        <w:rPr>
          <w:rFonts w:ascii="Times New Roman" w:hAnsi="Times New Roman"/>
          <w:b w:val="0"/>
          <w:sz w:val="22"/>
          <w:szCs w:val="22"/>
        </w:rPr>
      </w:pPr>
      <w:r>
        <w:rPr>
          <w:rFonts w:ascii="Times New Roman" w:hAnsi="Times New Roman"/>
          <w:b w:val="0"/>
          <w:sz w:val="22"/>
          <w:szCs w:val="22"/>
        </w:rPr>
        <w:t>[6</w:t>
      </w:r>
      <w:r w:rsidR="001706B8" w:rsidRPr="00B358B2">
        <w:rPr>
          <w:rFonts w:ascii="Times New Roman" w:hAnsi="Times New Roman"/>
          <w:b w:val="0"/>
          <w:sz w:val="22"/>
          <w:szCs w:val="22"/>
        </w:rPr>
        <w:t>]</w:t>
      </w:r>
      <w:r w:rsidR="001706B8" w:rsidRPr="00B358B2">
        <w:rPr>
          <w:rFonts w:ascii="Times New Roman" w:hAnsi="Times New Roman"/>
          <w:b w:val="0"/>
          <w:sz w:val="22"/>
          <w:szCs w:val="22"/>
        </w:rPr>
        <w:tab/>
        <w:t>3GPP TR36.101, “3GPP E-UTRA UE Radio Transmission and Reception”, v13.0</w:t>
      </w:r>
      <w:r w:rsidR="005A23B2">
        <w:rPr>
          <w:rFonts w:ascii="Times New Roman" w:hAnsi="Times New Roman"/>
          <w:b w:val="0"/>
          <w:sz w:val="22"/>
          <w:szCs w:val="22"/>
        </w:rPr>
        <w:t>.</w:t>
      </w:r>
      <w:r w:rsidR="001706B8" w:rsidRPr="00B358B2">
        <w:rPr>
          <w:rFonts w:ascii="Times New Roman" w:hAnsi="Times New Roman"/>
          <w:b w:val="0"/>
          <w:sz w:val="22"/>
          <w:szCs w:val="22"/>
        </w:rPr>
        <w:t xml:space="preserve"> </w:t>
      </w:r>
    </w:p>
    <w:p w:rsidR="003206D1" w:rsidRDefault="00B214E9" w:rsidP="003206D1">
      <w:pPr>
        <w:pStyle w:val="ZT"/>
        <w:framePr w:wrap="auto" w:hAnchor="text" w:yAlign="inline"/>
        <w:jc w:val="left"/>
        <w:rPr>
          <w:rFonts w:ascii="Times New Roman" w:hAnsi="Times New Roman"/>
          <w:b w:val="0"/>
          <w:sz w:val="22"/>
          <w:szCs w:val="22"/>
        </w:rPr>
      </w:pPr>
      <w:r>
        <w:rPr>
          <w:rFonts w:ascii="Times New Roman" w:hAnsi="Times New Roman"/>
          <w:b w:val="0"/>
          <w:sz w:val="22"/>
          <w:szCs w:val="22"/>
        </w:rPr>
        <w:t>[7</w:t>
      </w:r>
      <w:r w:rsidR="003206D1" w:rsidRPr="00AE5FD9">
        <w:rPr>
          <w:rFonts w:ascii="Times New Roman" w:hAnsi="Times New Roman"/>
          <w:b w:val="0"/>
          <w:sz w:val="22"/>
          <w:szCs w:val="22"/>
        </w:rPr>
        <w:t>]</w:t>
      </w:r>
      <w:r w:rsidR="003206D1" w:rsidRPr="00AE5FD9">
        <w:rPr>
          <w:rFonts w:ascii="Times New Roman" w:hAnsi="Times New Roman"/>
          <w:b w:val="0"/>
          <w:sz w:val="22"/>
          <w:szCs w:val="22"/>
        </w:rPr>
        <w:tab/>
      </w:r>
      <w:r w:rsidR="003206D1" w:rsidRPr="00AE5FD9">
        <w:rPr>
          <w:rFonts w:ascii="Times New Roman" w:hAnsi="Times New Roman"/>
          <w:b w:val="0"/>
          <w:sz w:val="22"/>
          <w:szCs w:val="22"/>
        </w:rPr>
        <w:tab/>
        <w:t>R4-160114, “Candidate Bands for Vehicle-to-Vehicle Communication”, Ericsson</w:t>
      </w:r>
      <w:r w:rsidR="005A23B2">
        <w:rPr>
          <w:rFonts w:ascii="Times New Roman" w:hAnsi="Times New Roman"/>
          <w:b w:val="0"/>
          <w:sz w:val="22"/>
          <w:szCs w:val="22"/>
        </w:rPr>
        <w:t>.</w:t>
      </w:r>
    </w:p>
    <w:p w:rsidR="006F4DA1" w:rsidRDefault="006F4DA1" w:rsidP="003206D1">
      <w:pPr>
        <w:pStyle w:val="ZT"/>
        <w:framePr w:wrap="auto" w:hAnchor="text" w:yAlign="inline"/>
        <w:jc w:val="left"/>
        <w:rPr>
          <w:rFonts w:ascii="Times New Roman" w:hAnsi="Times New Roman"/>
          <w:b w:val="0"/>
          <w:sz w:val="22"/>
          <w:szCs w:val="22"/>
        </w:rPr>
      </w:pPr>
    </w:p>
    <w:p w:rsidR="006F4DA1" w:rsidRPr="00AE5FD9" w:rsidRDefault="006F4DA1" w:rsidP="003206D1">
      <w:pPr>
        <w:pStyle w:val="ZT"/>
        <w:framePr w:wrap="auto" w:hAnchor="text" w:yAlign="inline"/>
        <w:jc w:val="left"/>
        <w:rPr>
          <w:rFonts w:ascii="Times New Roman" w:hAnsi="Times New Roman"/>
          <w:b w:val="0"/>
          <w:i/>
          <w:sz w:val="22"/>
          <w:szCs w:val="22"/>
        </w:rPr>
      </w:pPr>
      <w:r>
        <w:rPr>
          <w:rFonts w:ascii="Times New Roman" w:hAnsi="Times New Roman"/>
          <w:b w:val="0"/>
          <w:sz w:val="22"/>
          <w:szCs w:val="22"/>
        </w:rPr>
        <w:t>[8]</w:t>
      </w:r>
      <w:r>
        <w:rPr>
          <w:rFonts w:ascii="Times New Roman" w:hAnsi="Times New Roman"/>
          <w:b w:val="0"/>
          <w:sz w:val="22"/>
          <w:szCs w:val="22"/>
        </w:rPr>
        <w:tab/>
      </w:r>
      <w:r>
        <w:rPr>
          <w:rFonts w:ascii="Times New Roman" w:hAnsi="Times New Roman"/>
          <w:b w:val="0"/>
          <w:sz w:val="22"/>
          <w:szCs w:val="22"/>
        </w:rPr>
        <w:tab/>
        <w:t>R4-160116, “Simulation Assumptions for Co-existence”, Ericsson</w:t>
      </w:r>
      <w:r w:rsidR="005A23B2">
        <w:rPr>
          <w:rFonts w:ascii="Times New Roman" w:hAnsi="Times New Roman"/>
          <w:b w:val="0"/>
          <w:sz w:val="22"/>
          <w:szCs w:val="22"/>
        </w:rPr>
        <w:t>.</w:t>
      </w:r>
    </w:p>
    <w:p w:rsidR="003206D1" w:rsidRPr="00B358B2" w:rsidRDefault="003206D1" w:rsidP="001706B8">
      <w:pPr>
        <w:pStyle w:val="ZT"/>
        <w:framePr w:wrap="auto" w:hAnchor="text" w:yAlign="inline"/>
        <w:spacing w:after="120" w:line="240" w:lineRule="auto"/>
        <w:ind w:left="567" w:hanging="567"/>
        <w:jc w:val="left"/>
        <w:rPr>
          <w:rFonts w:ascii="Times New Roman" w:hAnsi="Times New Roman"/>
          <w:b w:val="0"/>
          <w:sz w:val="22"/>
          <w:szCs w:val="22"/>
        </w:rPr>
      </w:pPr>
    </w:p>
    <w:bookmarkEnd w:id="0"/>
    <w:bookmarkEnd w:id="1"/>
    <w:bookmarkEnd w:id="2"/>
    <w:bookmarkEnd w:id="3"/>
    <w:bookmarkEnd w:id="4"/>
    <w:bookmarkEnd w:id="5"/>
    <w:bookmarkEnd w:id="6"/>
    <w:bookmarkEnd w:id="7"/>
    <w:bookmarkEnd w:id="8"/>
    <w:bookmarkEnd w:id="9"/>
    <w:bookmarkEnd w:id="10"/>
    <w:bookmarkEnd w:id="11"/>
    <w:bookmarkEnd w:id="12"/>
    <w:p w:rsidR="001706B8" w:rsidRPr="00D70BF5" w:rsidRDefault="001706B8" w:rsidP="003206D1">
      <w:pPr>
        <w:spacing w:after="0"/>
        <w:rPr>
          <w:lang w:eastAsia="ko-KR"/>
        </w:rPr>
      </w:pPr>
    </w:p>
    <w:sectPr w:rsidR="001706B8" w:rsidRPr="00D70BF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9A8" w:rsidRDefault="00F679A8">
      <w:r>
        <w:separator/>
      </w:r>
    </w:p>
  </w:endnote>
  <w:endnote w:type="continuationSeparator" w:id="0">
    <w:p w:rsidR="00F679A8" w:rsidRDefault="00F67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AB0" w:rsidRDefault="00B57AB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9A8" w:rsidRDefault="00F679A8">
      <w:r>
        <w:separator/>
      </w:r>
    </w:p>
  </w:footnote>
  <w:footnote w:type="continuationSeparator" w:id="0">
    <w:p w:rsidR="00F679A8" w:rsidRDefault="00F679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4C0"/>
    <w:multiLevelType w:val="hybridMultilevel"/>
    <w:tmpl w:val="4310348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B660972"/>
    <w:multiLevelType w:val="multilevel"/>
    <w:tmpl w:val="0409001D"/>
    <w:lvl w:ilvl="0">
      <w:start w:val="1"/>
      <w:numFmt w:val="decimal"/>
      <w:lvlText w:val="%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3">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4">
    <w:nsid w:val="1BAC39FC"/>
    <w:multiLevelType w:val="hybridMultilevel"/>
    <w:tmpl w:val="4EF21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ED0D63"/>
    <w:multiLevelType w:val="hybridMultilevel"/>
    <w:tmpl w:val="8160B364"/>
    <w:lvl w:ilvl="0" w:tplc="A716813C">
      <w:start w:val="1"/>
      <w:numFmt w:val="bullet"/>
      <w:lvlText w:val="•"/>
      <w:lvlJc w:val="left"/>
      <w:pPr>
        <w:tabs>
          <w:tab w:val="num" w:pos="720"/>
        </w:tabs>
        <w:ind w:left="720" w:hanging="360"/>
      </w:pPr>
      <w:rPr>
        <w:rFonts w:ascii="Arial" w:hAnsi="Arial" w:hint="default"/>
      </w:rPr>
    </w:lvl>
    <w:lvl w:ilvl="1" w:tplc="72B05B98">
      <w:start w:val="611"/>
      <w:numFmt w:val="bullet"/>
      <w:lvlText w:val="–"/>
      <w:lvlJc w:val="left"/>
      <w:pPr>
        <w:tabs>
          <w:tab w:val="num" w:pos="1440"/>
        </w:tabs>
        <w:ind w:left="1440" w:hanging="360"/>
      </w:pPr>
      <w:rPr>
        <w:rFonts w:ascii="Arial" w:hAnsi="Arial" w:hint="default"/>
      </w:rPr>
    </w:lvl>
    <w:lvl w:ilvl="2" w:tplc="3DCAF5DC" w:tentative="1">
      <w:start w:val="1"/>
      <w:numFmt w:val="bullet"/>
      <w:lvlText w:val="•"/>
      <w:lvlJc w:val="left"/>
      <w:pPr>
        <w:tabs>
          <w:tab w:val="num" w:pos="2160"/>
        </w:tabs>
        <w:ind w:left="2160" w:hanging="360"/>
      </w:pPr>
      <w:rPr>
        <w:rFonts w:ascii="Arial" w:hAnsi="Arial" w:hint="default"/>
      </w:rPr>
    </w:lvl>
    <w:lvl w:ilvl="3" w:tplc="C126804C" w:tentative="1">
      <w:start w:val="1"/>
      <w:numFmt w:val="bullet"/>
      <w:lvlText w:val="•"/>
      <w:lvlJc w:val="left"/>
      <w:pPr>
        <w:tabs>
          <w:tab w:val="num" w:pos="2880"/>
        </w:tabs>
        <w:ind w:left="2880" w:hanging="360"/>
      </w:pPr>
      <w:rPr>
        <w:rFonts w:ascii="Arial" w:hAnsi="Arial" w:hint="default"/>
      </w:rPr>
    </w:lvl>
    <w:lvl w:ilvl="4" w:tplc="4F143852" w:tentative="1">
      <w:start w:val="1"/>
      <w:numFmt w:val="bullet"/>
      <w:lvlText w:val="•"/>
      <w:lvlJc w:val="left"/>
      <w:pPr>
        <w:tabs>
          <w:tab w:val="num" w:pos="3600"/>
        </w:tabs>
        <w:ind w:left="3600" w:hanging="360"/>
      </w:pPr>
      <w:rPr>
        <w:rFonts w:ascii="Arial" w:hAnsi="Arial" w:hint="default"/>
      </w:rPr>
    </w:lvl>
    <w:lvl w:ilvl="5" w:tplc="3148F4D4" w:tentative="1">
      <w:start w:val="1"/>
      <w:numFmt w:val="bullet"/>
      <w:lvlText w:val="•"/>
      <w:lvlJc w:val="left"/>
      <w:pPr>
        <w:tabs>
          <w:tab w:val="num" w:pos="4320"/>
        </w:tabs>
        <w:ind w:left="4320" w:hanging="360"/>
      </w:pPr>
      <w:rPr>
        <w:rFonts w:ascii="Arial" w:hAnsi="Arial" w:hint="default"/>
      </w:rPr>
    </w:lvl>
    <w:lvl w:ilvl="6" w:tplc="FFB6A746" w:tentative="1">
      <w:start w:val="1"/>
      <w:numFmt w:val="bullet"/>
      <w:lvlText w:val="•"/>
      <w:lvlJc w:val="left"/>
      <w:pPr>
        <w:tabs>
          <w:tab w:val="num" w:pos="5040"/>
        </w:tabs>
        <w:ind w:left="5040" w:hanging="360"/>
      </w:pPr>
      <w:rPr>
        <w:rFonts w:ascii="Arial" w:hAnsi="Arial" w:hint="default"/>
      </w:rPr>
    </w:lvl>
    <w:lvl w:ilvl="7" w:tplc="CF626E52" w:tentative="1">
      <w:start w:val="1"/>
      <w:numFmt w:val="bullet"/>
      <w:lvlText w:val="•"/>
      <w:lvlJc w:val="left"/>
      <w:pPr>
        <w:tabs>
          <w:tab w:val="num" w:pos="5760"/>
        </w:tabs>
        <w:ind w:left="5760" w:hanging="360"/>
      </w:pPr>
      <w:rPr>
        <w:rFonts w:ascii="Arial" w:hAnsi="Arial" w:hint="default"/>
      </w:rPr>
    </w:lvl>
    <w:lvl w:ilvl="8" w:tplc="9738C668" w:tentative="1">
      <w:start w:val="1"/>
      <w:numFmt w:val="bullet"/>
      <w:lvlText w:val="•"/>
      <w:lvlJc w:val="left"/>
      <w:pPr>
        <w:tabs>
          <w:tab w:val="num" w:pos="6480"/>
        </w:tabs>
        <w:ind w:left="6480" w:hanging="360"/>
      </w:pPr>
      <w:rPr>
        <w:rFonts w:ascii="Arial" w:hAnsi="Arial" w:hint="default"/>
      </w:rPr>
    </w:lvl>
  </w:abstractNum>
  <w:abstractNum w:abstractNumId="6">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8">
    <w:nsid w:val="28CA0C57"/>
    <w:multiLevelType w:val="hybridMultilevel"/>
    <w:tmpl w:val="EC24A8E2"/>
    <w:lvl w:ilvl="0" w:tplc="B8D2BE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E6B6BBC"/>
    <w:multiLevelType w:val="hybridMultilevel"/>
    <w:tmpl w:val="AFBEB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E368F1"/>
    <w:multiLevelType w:val="hybridMultilevel"/>
    <w:tmpl w:val="734EE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882B68"/>
    <w:multiLevelType w:val="hybridMultilevel"/>
    <w:tmpl w:val="C3E0E8AA"/>
    <w:lvl w:ilvl="0" w:tplc="67860FE0">
      <w:start w:val="1"/>
      <w:numFmt w:val="bullet"/>
      <w:lvlText w:val="•"/>
      <w:lvlJc w:val="left"/>
      <w:pPr>
        <w:tabs>
          <w:tab w:val="num" w:pos="720"/>
        </w:tabs>
        <w:ind w:left="720" w:hanging="360"/>
      </w:pPr>
      <w:rPr>
        <w:rFonts w:ascii="Arial" w:hAnsi="Arial" w:hint="default"/>
      </w:rPr>
    </w:lvl>
    <w:lvl w:ilvl="1" w:tplc="48B24D1E">
      <w:start w:val="5639"/>
      <w:numFmt w:val="bullet"/>
      <w:lvlText w:val="–"/>
      <w:lvlJc w:val="left"/>
      <w:pPr>
        <w:tabs>
          <w:tab w:val="num" w:pos="1440"/>
        </w:tabs>
        <w:ind w:left="1440" w:hanging="360"/>
      </w:pPr>
      <w:rPr>
        <w:rFonts w:ascii="Arial" w:hAnsi="Arial" w:hint="default"/>
      </w:rPr>
    </w:lvl>
    <w:lvl w:ilvl="2" w:tplc="08D05860" w:tentative="1">
      <w:start w:val="1"/>
      <w:numFmt w:val="bullet"/>
      <w:lvlText w:val="•"/>
      <w:lvlJc w:val="left"/>
      <w:pPr>
        <w:tabs>
          <w:tab w:val="num" w:pos="2160"/>
        </w:tabs>
        <w:ind w:left="2160" w:hanging="360"/>
      </w:pPr>
      <w:rPr>
        <w:rFonts w:ascii="Arial" w:hAnsi="Arial" w:hint="default"/>
      </w:rPr>
    </w:lvl>
    <w:lvl w:ilvl="3" w:tplc="B2864604" w:tentative="1">
      <w:start w:val="1"/>
      <w:numFmt w:val="bullet"/>
      <w:lvlText w:val="•"/>
      <w:lvlJc w:val="left"/>
      <w:pPr>
        <w:tabs>
          <w:tab w:val="num" w:pos="2880"/>
        </w:tabs>
        <w:ind w:left="2880" w:hanging="360"/>
      </w:pPr>
      <w:rPr>
        <w:rFonts w:ascii="Arial" w:hAnsi="Arial" w:hint="default"/>
      </w:rPr>
    </w:lvl>
    <w:lvl w:ilvl="4" w:tplc="9C68F112" w:tentative="1">
      <w:start w:val="1"/>
      <w:numFmt w:val="bullet"/>
      <w:lvlText w:val="•"/>
      <w:lvlJc w:val="left"/>
      <w:pPr>
        <w:tabs>
          <w:tab w:val="num" w:pos="3600"/>
        </w:tabs>
        <w:ind w:left="3600" w:hanging="360"/>
      </w:pPr>
      <w:rPr>
        <w:rFonts w:ascii="Arial" w:hAnsi="Arial" w:hint="default"/>
      </w:rPr>
    </w:lvl>
    <w:lvl w:ilvl="5" w:tplc="D1E27FA8" w:tentative="1">
      <w:start w:val="1"/>
      <w:numFmt w:val="bullet"/>
      <w:lvlText w:val="•"/>
      <w:lvlJc w:val="left"/>
      <w:pPr>
        <w:tabs>
          <w:tab w:val="num" w:pos="4320"/>
        </w:tabs>
        <w:ind w:left="4320" w:hanging="360"/>
      </w:pPr>
      <w:rPr>
        <w:rFonts w:ascii="Arial" w:hAnsi="Arial" w:hint="default"/>
      </w:rPr>
    </w:lvl>
    <w:lvl w:ilvl="6" w:tplc="EB1EA44A" w:tentative="1">
      <w:start w:val="1"/>
      <w:numFmt w:val="bullet"/>
      <w:lvlText w:val="•"/>
      <w:lvlJc w:val="left"/>
      <w:pPr>
        <w:tabs>
          <w:tab w:val="num" w:pos="5040"/>
        </w:tabs>
        <w:ind w:left="5040" w:hanging="360"/>
      </w:pPr>
      <w:rPr>
        <w:rFonts w:ascii="Arial" w:hAnsi="Arial" w:hint="default"/>
      </w:rPr>
    </w:lvl>
    <w:lvl w:ilvl="7" w:tplc="42E8547E" w:tentative="1">
      <w:start w:val="1"/>
      <w:numFmt w:val="bullet"/>
      <w:lvlText w:val="•"/>
      <w:lvlJc w:val="left"/>
      <w:pPr>
        <w:tabs>
          <w:tab w:val="num" w:pos="5760"/>
        </w:tabs>
        <w:ind w:left="5760" w:hanging="360"/>
      </w:pPr>
      <w:rPr>
        <w:rFonts w:ascii="Arial" w:hAnsi="Arial" w:hint="default"/>
      </w:rPr>
    </w:lvl>
    <w:lvl w:ilvl="8" w:tplc="C80601AE" w:tentative="1">
      <w:start w:val="1"/>
      <w:numFmt w:val="bullet"/>
      <w:lvlText w:val="•"/>
      <w:lvlJc w:val="left"/>
      <w:pPr>
        <w:tabs>
          <w:tab w:val="num" w:pos="6480"/>
        </w:tabs>
        <w:ind w:left="6480" w:hanging="360"/>
      </w:pPr>
      <w:rPr>
        <w:rFonts w:ascii="Arial" w:hAnsi="Arial" w:hint="default"/>
      </w:rPr>
    </w:lvl>
  </w:abstractNum>
  <w:abstractNum w:abstractNumId="12">
    <w:nsid w:val="482D24DF"/>
    <w:multiLevelType w:val="hybridMultilevel"/>
    <w:tmpl w:val="69069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A3A21D5"/>
    <w:multiLevelType w:val="hybridMultilevel"/>
    <w:tmpl w:val="5E66D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15">
    <w:nsid w:val="65DA21E5"/>
    <w:multiLevelType w:val="hybridMultilevel"/>
    <w:tmpl w:val="1250E54A"/>
    <w:lvl w:ilvl="0" w:tplc="35905D92">
      <w:start w:val="1"/>
      <w:numFmt w:val="bullet"/>
      <w:lvlText w:val="•"/>
      <w:lvlJc w:val="left"/>
      <w:pPr>
        <w:tabs>
          <w:tab w:val="num" w:pos="720"/>
        </w:tabs>
        <w:ind w:left="720" w:hanging="360"/>
      </w:pPr>
      <w:rPr>
        <w:rFonts w:ascii="Arial" w:hAnsi="Arial" w:hint="default"/>
      </w:rPr>
    </w:lvl>
    <w:lvl w:ilvl="1" w:tplc="3E26ABC2">
      <w:start w:val="57"/>
      <w:numFmt w:val="bullet"/>
      <w:lvlText w:val="•"/>
      <w:lvlJc w:val="left"/>
      <w:pPr>
        <w:tabs>
          <w:tab w:val="num" w:pos="1440"/>
        </w:tabs>
        <w:ind w:left="1440" w:hanging="360"/>
      </w:pPr>
      <w:rPr>
        <w:rFonts w:ascii="Arial" w:hAnsi="Arial" w:hint="default"/>
      </w:rPr>
    </w:lvl>
    <w:lvl w:ilvl="2" w:tplc="CCD22AB2" w:tentative="1">
      <w:start w:val="1"/>
      <w:numFmt w:val="bullet"/>
      <w:lvlText w:val="•"/>
      <w:lvlJc w:val="left"/>
      <w:pPr>
        <w:tabs>
          <w:tab w:val="num" w:pos="2160"/>
        </w:tabs>
        <w:ind w:left="2160" w:hanging="360"/>
      </w:pPr>
      <w:rPr>
        <w:rFonts w:ascii="Arial" w:hAnsi="Arial" w:hint="default"/>
      </w:rPr>
    </w:lvl>
    <w:lvl w:ilvl="3" w:tplc="7340D7B4" w:tentative="1">
      <w:start w:val="1"/>
      <w:numFmt w:val="bullet"/>
      <w:lvlText w:val="•"/>
      <w:lvlJc w:val="left"/>
      <w:pPr>
        <w:tabs>
          <w:tab w:val="num" w:pos="2880"/>
        </w:tabs>
        <w:ind w:left="2880" w:hanging="360"/>
      </w:pPr>
      <w:rPr>
        <w:rFonts w:ascii="Arial" w:hAnsi="Arial" w:hint="default"/>
      </w:rPr>
    </w:lvl>
    <w:lvl w:ilvl="4" w:tplc="AA4A4A9C" w:tentative="1">
      <w:start w:val="1"/>
      <w:numFmt w:val="bullet"/>
      <w:lvlText w:val="•"/>
      <w:lvlJc w:val="left"/>
      <w:pPr>
        <w:tabs>
          <w:tab w:val="num" w:pos="3600"/>
        </w:tabs>
        <w:ind w:left="3600" w:hanging="360"/>
      </w:pPr>
      <w:rPr>
        <w:rFonts w:ascii="Arial" w:hAnsi="Arial" w:hint="default"/>
      </w:rPr>
    </w:lvl>
    <w:lvl w:ilvl="5" w:tplc="94F28592" w:tentative="1">
      <w:start w:val="1"/>
      <w:numFmt w:val="bullet"/>
      <w:lvlText w:val="•"/>
      <w:lvlJc w:val="left"/>
      <w:pPr>
        <w:tabs>
          <w:tab w:val="num" w:pos="4320"/>
        </w:tabs>
        <w:ind w:left="4320" w:hanging="360"/>
      </w:pPr>
      <w:rPr>
        <w:rFonts w:ascii="Arial" w:hAnsi="Arial" w:hint="default"/>
      </w:rPr>
    </w:lvl>
    <w:lvl w:ilvl="6" w:tplc="D688B482" w:tentative="1">
      <w:start w:val="1"/>
      <w:numFmt w:val="bullet"/>
      <w:lvlText w:val="•"/>
      <w:lvlJc w:val="left"/>
      <w:pPr>
        <w:tabs>
          <w:tab w:val="num" w:pos="5040"/>
        </w:tabs>
        <w:ind w:left="5040" w:hanging="360"/>
      </w:pPr>
      <w:rPr>
        <w:rFonts w:ascii="Arial" w:hAnsi="Arial" w:hint="default"/>
      </w:rPr>
    </w:lvl>
    <w:lvl w:ilvl="7" w:tplc="780E108C" w:tentative="1">
      <w:start w:val="1"/>
      <w:numFmt w:val="bullet"/>
      <w:lvlText w:val="•"/>
      <w:lvlJc w:val="left"/>
      <w:pPr>
        <w:tabs>
          <w:tab w:val="num" w:pos="5760"/>
        </w:tabs>
        <w:ind w:left="5760" w:hanging="360"/>
      </w:pPr>
      <w:rPr>
        <w:rFonts w:ascii="Arial" w:hAnsi="Arial" w:hint="default"/>
      </w:rPr>
    </w:lvl>
    <w:lvl w:ilvl="8" w:tplc="4FF269C2" w:tentative="1">
      <w:start w:val="1"/>
      <w:numFmt w:val="bullet"/>
      <w:lvlText w:val="•"/>
      <w:lvlJc w:val="left"/>
      <w:pPr>
        <w:tabs>
          <w:tab w:val="num" w:pos="6480"/>
        </w:tabs>
        <w:ind w:left="6480" w:hanging="360"/>
      </w:pPr>
      <w:rPr>
        <w:rFonts w:ascii="Arial" w:hAnsi="Arial" w:hint="default"/>
      </w:rPr>
    </w:lvl>
  </w:abstractNum>
  <w:abstractNum w:abstractNumId="16">
    <w:nsid w:val="7B8D20F1"/>
    <w:multiLevelType w:val="hybridMultilevel"/>
    <w:tmpl w:val="FB0A6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5"/>
  </w:num>
  <w:num w:numId="3">
    <w:abstractNumId w:val="1"/>
  </w:num>
  <w:num w:numId="4">
    <w:abstractNumId w:val="9"/>
  </w:num>
  <w:num w:numId="5">
    <w:abstractNumId w:val="3"/>
  </w:num>
  <w:num w:numId="6">
    <w:abstractNumId w:val="14"/>
  </w:num>
  <w:num w:numId="7">
    <w:abstractNumId w:val="7"/>
  </w:num>
  <w:num w:numId="8">
    <w:abstractNumId w:val="6"/>
  </w:num>
  <w:num w:numId="9">
    <w:abstractNumId w:val="8"/>
  </w:num>
  <w:num w:numId="10">
    <w:abstractNumId w:val="2"/>
  </w:num>
  <w:num w:numId="11">
    <w:abstractNumId w:val="10"/>
  </w:num>
  <w:num w:numId="12">
    <w:abstractNumId w:val="17"/>
  </w:num>
  <w:num w:numId="13">
    <w:abstractNumId w:val="4"/>
  </w:num>
  <w:num w:numId="14">
    <w:abstractNumId w:val="5"/>
  </w:num>
  <w:num w:numId="15">
    <w:abstractNumId w:val="12"/>
  </w:num>
  <w:num w:numId="16">
    <w:abstractNumId w:val="13"/>
  </w:num>
  <w:num w:numId="17">
    <w:abstractNumId w:val="16"/>
  </w:num>
  <w:num w:numId="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342"/>
    <w:rsid w:val="000017B0"/>
    <w:rsid w:val="00003116"/>
    <w:rsid w:val="00003252"/>
    <w:rsid w:val="00004E6B"/>
    <w:rsid w:val="00006E93"/>
    <w:rsid w:val="00007CEC"/>
    <w:rsid w:val="0001165E"/>
    <w:rsid w:val="00014250"/>
    <w:rsid w:val="0001492E"/>
    <w:rsid w:val="00016606"/>
    <w:rsid w:val="00031BB4"/>
    <w:rsid w:val="00031C1D"/>
    <w:rsid w:val="000373D2"/>
    <w:rsid w:val="000411DC"/>
    <w:rsid w:val="0004226D"/>
    <w:rsid w:val="00043111"/>
    <w:rsid w:val="000442F4"/>
    <w:rsid w:val="000476A0"/>
    <w:rsid w:val="000549CA"/>
    <w:rsid w:val="00056E46"/>
    <w:rsid w:val="000603A4"/>
    <w:rsid w:val="000641EF"/>
    <w:rsid w:val="00067BFB"/>
    <w:rsid w:val="00071AB9"/>
    <w:rsid w:val="000749D8"/>
    <w:rsid w:val="00080A7D"/>
    <w:rsid w:val="00080DE9"/>
    <w:rsid w:val="0008513C"/>
    <w:rsid w:val="00085F68"/>
    <w:rsid w:val="00093E7E"/>
    <w:rsid w:val="00096A78"/>
    <w:rsid w:val="000A1FA3"/>
    <w:rsid w:val="000A23EC"/>
    <w:rsid w:val="000A3D9F"/>
    <w:rsid w:val="000A6679"/>
    <w:rsid w:val="000B2179"/>
    <w:rsid w:val="000B5CDC"/>
    <w:rsid w:val="000C2862"/>
    <w:rsid w:val="000C2B0F"/>
    <w:rsid w:val="000C3894"/>
    <w:rsid w:val="000C3E7C"/>
    <w:rsid w:val="000C5C99"/>
    <w:rsid w:val="000C7C84"/>
    <w:rsid w:val="000D15B1"/>
    <w:rsid w:val="000D698F"/>
    <w:rsid w:val="000D6A56"/>
    <w:rsid w:val="000D6AEA"/>
    <w:rsid w:val="000D6CFC"/>
    <w:rsid w:val="000E3260"/>
    <w:rsid w:val="000E620C"/>
    <w:rsid w:val="000F025F"/>
    <w:rsid w:val="000F1F14"/>
    <w:rsid w:val="000F3829"/>
    <w:rsid w:val="00101C91"/>
    <w:rsid w:val="00101D35"/>
    <w:rsid w:val="001025B0"/>
    <w:rsid w:val="00105ABB"/>
    <w:rsid w:val="001103CF"/>
    <w:rsid w:val="001103FC"/>
    <w:rsid w:val="00113541"/>
    <w:rsid w:val="001270B2"/>
    <w:rsid w:val="00141252"/>
    <w:rsid w:val="00141A28"/>
    <w:rsid w:val="00142463"/>
    <w:rsid w:val="00143700"/>
    <w:rsid w:val="00144257"/>
    <w:rsid w:val="00144F8A"/>
    <w:rsid w:val="001477F3"/>
    <w:rsid w:val="001508E1"/>
    <w:rsid w:val="00153A20"/>
    <w:rsid w:val="00156174"/>
    <w:rsid w:val="00162B8C"/>
    <w:rsid w:val="001706B8"/>
    <w:rsid w:val="00170D93"/>
    <w:rsid w:val="00171D06"/>
    <w:rsid w:val="00172973"/>
    <w:rsid w:val="00173284"/>
    <w:rsid w:val="001748F3"/>
    <w:rsid w:val="00174DEF"/>
    <w:rsid w:val="00180C3A"/>
    <w:rsid w:val="00180FFC"/>
    <w:rsid w:val="0018207B"/>
    <w:rsid w:val="001824F7"/>
    <w:rsid w:val="00183A49"/>
    <w:rsid w:val="001904C1"/>
    <w:rsid w:val="00192DB0"/>
    <w:rsid w:val="00193B39"/>
    <w:rsid w:val="00193C8D"/>
    <w:rsid w:val="001961D0"/>
    <w:rsid w:val="001A08AA"/>
    <w:rsid w:val="001A1DB5"/>
    <w:rsid w:val="001A6C13"/>
    <w:rsid w:val="001A7169"/>
    <w:rsid w:val="001C7C5C"/>
    <w:rsid w:val="001D27C1"/>
    <w:rsid w:val="001E20ED"/>
    <w:rsid w:val="001E3A61"/>
    <w:rsid w:val="001F2573"/>
    <w:rsid w:val="001F6E23"/>
    <w:rsid w:val="001F7900"/>
    <w:rsid w:val="002051F4"/>
    <w:rsid w:val="00206670"/>
    <w:rsid w:val="0020766B"/>
    <w:rsid w:val="0021047D"/>
    <w:rsid w:val="00210759"/>
    <w:rsid w:val="00211A0D"/>
    <w:rsid w:val="00216825"/>
    <w:rsid w:val="00222E08"/>
    <w:rsid w:val="00223704"/>
    <w:rsid w:val="0023010C"/>
    <w:rsid w:val="00230157"/>
    <w:rsid w:val="002310A0"/>
    <w:rsid w:val="00231D15"/>
    <w:rsid w:val="00232103"/>
    <w:rsid w:val="00232500"/>
    <w:rsid w:val="00232597"/>
    <w:rsid w:val="0023351F"/>
    <w:rsid w:val="00237CB8"/>
    <w:rsid w:val="00244972"/>
    <w:rsid w:val="00244FC6"/>
    <w:rsid w:val="002477D8"/>
    <w:rsid w:val="00247990"/>
    <w:rsid w:val="002542AB"/>
    <w:rsid w:val="00255509"/>
    <w:rsid w:val="00262901"/>
    <w:rsid w:val="00262CEA"/>
    <w:rsid w:val="00267494"/>
    <w:rsid w:val="00267CF4"/>
    <w:rsid w:val="002765A5"/>
    <w:rsid w:val="0027714C"/>
    <w:rsid w:val="00282213"/>
    <w:rsid w:val="00285046"/>
    <w:rsid w:val="0028764F"/>
    <w:rsid w:val="00294208"/>
    <w:rsid w:val="00296269"/>
    <w:rsid w:val="00297E77"/>
    <w:rsid w:val="002A08B3"/>
    <w:rsid w:val="002A1553"/>
    <w:rsid w:val="002A1720"/>
    <w:rsid w:val="002A499B"/>
    <w:rsid w:val="002B4211"/>
    <w:rsid w:val="002C0B25"/>
    <w:rsid w:val="002C395C"/>
    <w:rsid w:val="002C79F8"/>
    <w:rsid w:val="002D02D1"/>
    <w:rsid w:val="002D1E59"/>
    <w:rsid w:val="002D1F7F"/>
    <w:rsid w:val="002D7589"/>
    <w:rsid w:val="002D7B75"/>
    <w:rsid w:val="002E0707"/>
    <w:rsid w:val="002E0D08"/>
    <w:rsid w:val="002E0EDF"/>
    <w:rsid w:val="002E43FE"/>
    <w:rsid w:val="002E4F90"/>
    <w:rsid w:val="002E56A2"/>
    <w:rsid w:val="002E71AC"/>
    <w:rsid w:val="002F1CA5"/>
    <w:rsid w:val="002F337C"/>
    <w:rsid w:val="002F3783"/>
    <w:rsid w:val="002F4093"/>
    <w:rsid w:val="002F454B"/>
    <w:rsid w:val="002F57C6"/>
    <w:rsid w:val="002F6786"/>
    <w:rsid w:val="002F67F2"/>
    <w:rsid w:val="002F6BF0"/>
    <w:rsid w:val="00301B75"/>
    <w:rsid w:val="00302FFB"/>
    <w:rsid w:val="003045F8"/>
    <w:rsid w:val="00306ACD"/>
    <w:rsid w:val="00310E6C"/>
    <w:rsid w:val="00313A18"/>
    <w:rsid w:val="00313EB7"/>
    <w:rsid w:val="003206D1"/>
    <w:rsid w:val="00322DAA"/>
    <w:rsid w:val="00324683"/>
    <w:rsid w:val="003354D6"/>
    <w:rsid w:val="003365D5"/>
    <w:rsid w:val="0034083A"/>
    <w:rsid w:val="00350491"/>
    <w:rsid w:val="003505A1"/>
    <w:rsid w:val="0035107E"/>
    <w:rsid w:val="00351BE4"/>
    <w:rsid w:val="00352A2D"/>
    <w:rsid w:val="0035376C"/>
    <w:rsid w:val="00353A3B"/>
    <w:rsid w:val="003554AE"/>
    <w:rsid w:val="0035554B"/>
    <w:rsid w:val="00355A5A"/>
    <w:rsid w:val="0036025D"/>
    <w:rsid w:val="00361361"/>
    <w:rsid w:val="00361FD2"/>
    <w:rsid w:val="0036204A"/>
    <w:rsid w:val="00362662"/>
    <w:rsid w:val="00362C5A"/>
    <w:rsid w:val="0036610A"/>
    <w:rsid w:val="0036612C"/>
    <w:rsid w:val="00376729"/>
    <w:rsid w:val="003805C8"/>
    <w:rsid w:val="003814D6"/>
    <w:rsid w:val="00383A47"/>
    <w:rsid w:val="00384157"/>
    <w:rsid w:val="00384430"/>
    <w:rsid w:val="00384532"/>
    <w:rsid w:val="0038473B"/>
    <w:rsid w:val="00386C6B"/>
    <w:rsid w:val="003874F3"/>
    <w:rsid w:val="003904B2"/>
    <w:rsid w:val="0039201C"/>
    <w:rsid w:val="00392D1C"/>
    <w:rsid w:val="0039443F"/>
    <w:rsid w:val="00396A88"/>
    <w:rsid w:val="003A20F7"/>
    <w:rsid w:val="003A288C"/>
    <w:rsid w:val="003A30F1"/>
    <w:rsid w:val="003A310B"/>
    <w:rsid w:val="003A3DE2"/>
    <w:rsid w:val="003A6C7A"/>
    <w:rsid w:val="003B0DE3"/>
    <w:rsid w:val="003B3BE1"/>
    <w:rsid w:val="003B4D21"/>
    <w:rsid w:val="003B5AF5"/>
    <w:rsid w:val="003C1E58"/>
    <w:rsid w:val="003C22C9"/>
    <w:rsid w:val="003C4C87"/>
    <w:rsid w:val="003C6E42"/>
    <w:rsid w:val="003C70C4"/>
    <w:rsid w:val="003D54EA"/>
    <w:rsid w:val="003D6530"/>
    <w:rsid w:val="003D66FD"/>
    <w:rsid w:val="003D78EB"/>
    <w:rsid w:val="003E3484"/>
    <w:rsid w:val="003E4234"/>
    <w:rsid w:val="003E75B3"/>
    <w:rsid w:val="003F25A4"/>
    <w:rsid w:val="003F492E"/>
    <w:rsid w:val="003F7209"/>
    <w:rsid w:val="003F7E09"/>
    <w:rsid w:val="00404033"/>
    <w:rsid w:val="0040632A"/>
    <w:rsid w:val="00407368"/>
    <w:rsid w:val="004077A1"/>
    <w:rsid w:val="00411F92"/>
    <w:rsid w:val="00412928"/>
    <w:rsid w:val="004149BD"/>
    <w:rsid w:val="00416DDC"/>
    <w:rsid w:val="004212D0"/>
    <w:rsid w:val="00425C00"/>
    <w:rsid w:val="00430AF2"/>
    <w:rsid w:val="00431B27"/>
    <w:rsid w:val="00434138"/>
    <w:rsid w:val="00441CAA"/>
    <w:rsid w:val="00441F1D"/>
    <w:rsid w:val="00441FD0"/>
    <w:rsid w:val="00442206"/>
    <w:rsid w:val="004429AC"/>
    <w:rsid w:val="00444352"/>
    <w:rsid w:val="0044699B"/>
    <w:rsid w:val="004532CC"/>
    <w:rsid w:val="00453923"/>
    <w:rsid w:val="004543D6"/>
    <w:rsid w:val="00455077"/>
    <w:rsid w:val="00455AA0"/>
    <w:rsid w:val="004665E2"/>
    <w:rsid w:val="00470215"/>
    <w:rsid w:val="004712CA"/>
    <w:rsid w:val="00471771"/>
    <w:rsid w:val="00471D84"/>
    <w:rsid w:val="00472476"/>
    <w:rsid w:val="004728FF"/>
    <w:rsid w:val="0048142A"/>
    <w:rsid w:val="00482629"/>
    <w:rsid w:val="004829D8"/>
    <w:rsid w:val="00483C57"/>
    <w:rsid w:val="0048734B"/>
    <w:rsid w:val="00487B57"/>
    <w:rsid w:val="00491A27"/>
    <w:rsid w:val="004936D0"/>
    <w:rsid w:val="00494EE0"/>
    <w:rsid w:val="00496912"/>
    <w:rsid w:val="00496AFE"/>
    <w:rsid w:val="004A6024"/>
    <w:rsid w:val="004A6658"/>
    <w:rsid w:val="004A775B"/>
    <w:rsid w:val="004B0E52"/>
    <w:rsid w:val="004B1C29"/>
    <w:rsid w:val="004B21A9"/>
    <w:rsid w:val="004B77FE"/>
    <w:rsid w:val="004C10AC"/>
    <w:rsid w:val="004C1A96"/>
    <w:rsid w:val="004C5485"/>
    <w:rsid w:val="004D29CB"/>
    <w:rsid w:val="004D2C45"/>
    <w:rsid w:val="004D7D3C"/>
    <w:rsid w:val="004E0D80"/>
    <w:rsid w:val="004E285C"/>
    <w:rsid w:val="004F086C"/>
    <w:rsid w:val="004F0F9B"/>
    <w:rsid w:val="004F1A05"/>
    <w:rsid w:val="004F1B35"/>
    <w:rsid w:val="004F1D99"/>
    <w:rsid w:val="004F28D6"/>
    <w:rsid w:val="004F435E"/>
    <w:rsid w:val="0050137B"/>
    <w:rsid w:val="00505BFA"/>
    <w:rsid w:val="005063EE"/>
    <w:rsid w:val="0050643D"/>
    <w:rsid w:val="00507302"/>
    <w:rsid w:val="00507DDB"/>
    <w:rsid w:val="0051127A"/>
    <w:rsid w:val="0051260E"/>
    <w:rsid w:val="00514801"/>
    <w:rsid w:val="0052049F"/>
    <w:rsid w:val="0052066E"/>
    <w:rsid w:val="00520C6A"/>
    <w:rsid w:val="00525ABB"/>
    <w:rsid w:val="0053106C"/>
    <w:rsid w:val="00532DEF"/>
    <w:rsid w:val="00533EF4"/>
    <w:rsid w:val="00535CA6"/>
    <w:rsid w:val="00535FE5"/>
    <w:rsid w:val="005400CB"/>
    <w:rsid w:val="00540B3F"/>
    <w:rsid w:val="00541EC8"/>
    <w:rsid w:val="00544EB5"/>
    <w:rsid w:val="00544FF5"/>
    <w:rsid w:val="00546045"/>
    <w:rsid w:val="00550A1D"/>
    <w:rsid w:val="00551313"/>
    <w:rsid w:val="00553D95"/>
    <w:rsid w:val="00554859"/>
    <w:rsid w:val="0055676F"/>
    <w:rsid w:val="00561164"/>
    <w:rsid w:val="00562153"/>
    <w:rsid w:val="005638F2"/>
    <w:rsid w:val="00563A42"/>
    <w:rsid w:val="005700B9"/>
    <w:rsid w:val="00571091"/>
    <w:rsid w:val="00571645"/>
    <w:rsid w:val="00573535"/>
    <w:rsid w:val="00575D63"/>
    <w:rsid w:val="0057633F"/>
    <w:rsid w:val="005845BC"/>
    <w:rsid w:val="005879A8"/>
    <w:rsid w:val="00595614"/>
    <w:rsid w:val="00595BA3"/>
    <w:rsid w:val="005A23B2"/>
    <w:rsid w:val="005A25E8"/>
    <w:rsid w:val="005A45BA"/>
    <w:rsid w:val="005A4C61"/>
    <w:rsid w:val="005A55F6"/>
    <w:rsid w:val="005A75E0"/>
    <w:rsid w:val="005B2989"/>
    <w:rsid w:val="005B2A76"/>
    <w:rsid w:val="005B2FD6"/>
    <w:rsid w:val="005B4472"/>
    <w:rsid w:val="005B580E"/>
    <w:rsid w:val="005B7BE7"/>
    <w:rsid w:val="005C01B3"/>
    <w:rsid w:val="005C20E1"/>
    <w:rsid w:val="005C2B23"/>
    <w:rsid w:val="005C50D5"/>
    <w:rsid w:val="005C5D16"/>
    <w:rsid w:val="005C5E98"/>
    <w:rsid w:val="005C7798"/>
    <w:rsid w:val="005D0A1A"/>
    <w:rsid w:val="005D326A"/>
    <w:rsid w:val="005D5842"/>
    <w:rsid w:val="005D5C0F"/>
    <w:rsid w:val="005D7109"/>
    <w:rsid w:val="005E6B5C"/>
    <w:rsid w:val="005E6F81"/>
    <w:rsid w:val="005E7505"/>
    <w:rsid w:val="005F15D2"/>
    <w:rsid w:val="005F257F"/>
    <w:rsid w:val="005F33EC"/>
    <w:rsid w:val="005F3D43"/>
    <w:rsid w:val="005F4422"/>
    <w:rsid w:val="005F7E43"/>
    <w:rsid w:val="00603BCE"/>
    <w:rsid w:val="006106C1"/>
    <w:rsid w:val="0061167A"/>
    <w:rsid w:val="00611A99"/>
    <w:rsid w:val="006136D7"/>
    <w:rsid w:val="0061539B"/>
    <w:rsid w:val="006203ED"/>
    <w:rsid w:val="00621251"/>
    <w:rsid w:val="00626903"/>
    <w:rsid w:val="00631257"/>
    <w:rsid w:val="00633C2F"/>
    <w:rsid w:val="006356A0"/>
    <w:rsid w:val="00636022"/>
    <w:rsid w:val="006405DA"/>
    <w:rsid w:val="00645E32"/>
    <w:rsid w:val="0064630E"/>
    <w:rsid w:val="00650C7B"/>
    <w:rsid w:val="0065127C"/>
    <w:rsid w:val="006531A1"/>
    <w:rsid w:val="00653A72"/>
    <w:rsid w:val="00653F8F"/>
    <w:rsid w:val="00655F5F"/>
    <w:rsid w:val="00656955"/>
    <w:rsid w:val="00657E0D"/>
    <w:rsid w:val="0066022C"/>
    <w:rsid w:val="00662397"/>
    <w:rsid w:val="00662ADF"/>
    <w:rsid w:val="00662F23"/>
    <w:rsid w:val="0066366E"/>
    <w:rsid w:val="00663E87"/>
    <w:rsid w:val="00664D68"/>
    <w:rsid w:val="00667532"/>
    <w:rsid w:val="00667ADC"/>
    <w:rsid w:val="00670C94"/>
    <w:rsid w:val="006729B8"/>
    <w:rsid w:val="00675E29"/>
    <w:rsid w:val="006823FB"/>
    <w:rsid w:val="00683EAB"/>
    <w:rsid w:val="006867E8"/>
    <w:rsid w:val="00687F75"/>
    <w:rsid w:val="006904F4"/>
    <w:rsid w:val="00690711"/>
    <w:rsid w:val="00690C8A"/>
    <w:rsid w:val="0069131B"/>
    <w:rsid w:val="0069297E"/>
    <w:rsid w:val="00695C68"/>
    <w:rsid w:val="00696914"/>
    <w:rsid w:val="00696ED4"/>
    <w:rsid w:val="006B14AC"/>
    <w:rsid w:val="006B1DB9"/>
    <w:rsid w:val="006B376C"/>
    <w:rsid w:val="006B5225"/>
    <w:rsid w:val="006B667D"/>
    <w:rsid w:val="006C1175"/>
    <w:rsid w:val="006C126A"/>
    <w:rsid w:val="006C2C58"/>
    <w:rsid w:val="006C3C91"/>
    <w:rsid w:val="006C4EDC"/>
    <w:rsid w:val="006C5235"/>
    <w:rsid w:val="006C7268"/>
    <w:rsid w:val="006D3F96"/>
    <w:rsid w:val="006D7EDC"/>
    <w:rsid w:val="006E0E6A"/>
    <w:rsid w:val="006E3FB3"/>
    <w:rsid w:val="006E4175"/>
    <w:rsid w:val="006E5B9C"/>
    <w:rsid w:val="006E5DF3"/>
    <w:rsid w:val="006E63A6"/>
    <w:rsid w:val="006E7AB1"/>
    <w:rsid w:val="006F3F8B"/>
    <w:rsid w:val="006F40CC"/>
    <w:rsid w:val="006F4DA1"/>
    <w:rsid w:val="006F4E28"/>
    <w:rsid w:val="006F4ED6"/>
    <w:rsid w:val="006F57A7"/>
    <w:rsid w:val="006F5955"/>
    <w:rsid w:val="006F7DED"/>
    <w:rsid w:val="007003F3"/>
    <w:rsid w:val="007021CF"/>
    <w:rsid w:val="0070417D"/>
    <w:rsid w:val="00704266"/>
    <w:rsid w:val="0070646B"/>
    <w:rsid w:val="00706B4E"/>
    <w:rsid w:val="007070A2"/>
    <w:rsid w:val="00707508"/>
    <w:rsid w:val="0071041B"/>
    <w:rsid w:val="00711A75"/>
    <w:rsid w:val="00713EA1"/>
    <w:rsid w:val="00715A53"/>
    <w:rsid w:val="00716808"/>
    <w:rsid w:val="00716E57"/>
    <w:rsid w:val="00722452"/>
    <w:rsid w:val="007273E5"/>
    <w:rsid w:val="00735204"/>
    <w:rsid w:val="00740EAB"/>
    <w:rsid w:val="007416E7"/>
    <w:rsid w:val="007434AF"/>
    <w:rsid w:val="0074442F"/>
    <w:rsid w:val="007456AF"/>
    <w:rsid w:val="0075097F"/>
    <w:rsid w:val="00751119"/>
    <w:rsid w:val="007531C7"/>
    <w:rsid w:val="00756B15"/>
    <w:rsid w:val="0075761F"/>
    <w:rsid w:val="00760F54"/>
    <w:rsid w:val="00762D12"/>
    <w:rsid w:val="00763DDB"/>
    <w:rsid w:val="00763F54"/>
    <w:rsid w:val="00764528"/>
    <w:rsid w:val="00764DA1"/>
    <w:rsid w:val="00767E34"/>
    <w:rsid w:val="00770042"/>
    <w:rsid w:val="00773529"/>
    <w:rsid w:val="00783C17"/>
    <w:rsid w:val="0078490D"/>
    <w:rsid w:val="00785914"/>
    <w:rsid w:val="0078698D"/>
    <w:rsid w:val="00786CCC"/>
    <w:rsid w:val="007922A9"/>
    <w:rsid w:val="00792609"/>
    <w:rsid w:val="00792E16"/>
    <w:rsid w:val="0079444F"/>
    <w:rsid w:val="00796D8D"/>
    <w:rsid w:val="00796FA2"/>
    <w:rsid w:val="0079799F"/>
    <w:rsid w:val="007A172C"/>
    <w:rsid w:val="007A2800"/>
    <w:rsid w:val="007A2D23"/>
    <w:rsid w:val="007A648B"/>
    <w:rsid w:val="007A7D68"/>
    <w:rsid w:val="007B15CF"/>
    <w:rsid w:val="007B1856"/>
    <w:rsid w:val="007B2E33"/>
    <w:rsid w:val="007B3766"/>
    <w:rsid w:val="007B50F1"/>
    <w:rsid w:val="007B57A6"/>
    <w:rsid w:val="007B5840"/>
    <w:rsid w:val="007B76DF"/>
    <w:rsid w:val="007B799A"/>
    <w:rsid w:val="007C79C0"/>
    <w:rsid w:val="007D2D3A"/>
    <w:rsid w:val="007D6616"/>
    <w:rsid w:val="007E0127"/>
    <w:rsid w:val="007E1059"/>
    <w:rsid w:val="007E2D8C"/>
    <w:rsid w:val="007E3950"/>
    <w:rsid w:val="007E3FD6"/>
    <w:rsid w:val="007E7AD1"/>
    <w:rsid w:val="007F02EC"/>
    <w:rsid w:val="007F6390"/>
    <w:rsid w:val="00804BDB"/>
    <w:rsid w:val="00807CB6"/>
    <w:rsid w:val="00811AED"/>
    <w:rsid w:val="00812A90"/>
    <w:rsid w:val="0081540F"/>
    <w:rsid w:val="00815B99"/>
    <w:rsid w:val="00817C5E"/>
    <w:rsid w:val="008228DE"/>
    <w:rsid w:val="00822BF5"/>
    <w:rsid w:val="008277A2"/>
    <w:rsid w:val="00832E10"/>
    <w:rsid w:val="008338E2"/>
    <w:rsid w:val="00835FCC"/>
    <w:rsid w:val="00836852"/>
    <w:rsid w:val="0084025A"/>
    <w:rsid w:val="00841BAF"/>
    <w:rsid w:val="008425F6"/>
    <w:rsid w:val="0084318A"/>
    <w:rsid w:val="00844105"/>
    <w:rsid w:val="008451D2"/>
    <w:rsid w:val="008452E1"/>
    <w:rsid w:val="00845661"/>
    <w:rsid w:val="008463A0"/>
    <w:rsid w:val="008478CB"/>
    <w:rsid w:val="00850A95"/>
    <w:rsid w:val="008572EB"/>
    <w:rsid w:val="00857D5E"/>
    <w:rsid w:val="00862D12"/>
    <w:rsid w:val="008644F5"/>
    <w:rsid w:val="00864DDE"/>
    <w:rsid w:val="00866303"/>
    <w:rsid w:val="00866733"/>
    <w:rsid w:val="0086799C"/>
    <w:rsid w:val="00867D4F"/>
    <w:rsid w:val="00872C80"/>
    <w:rsid w:val="0087436E"/>
    <w:rsid w:val="008753B2"/>
    <w:rsid w:val="00877F1F"/>
    <w:rsid w:val="00880672"/>
    <w:rsid w:val="008813F0"/>
    <w:rsid w:val="008829F9"/>
    <w:rsid w:val="00882B36"/>
    <w:rsid w:val="00883F55"/>
    <w:rsid w:val="00886255"/>
    <w:rsid w:val="00890B72"/>
    <w:rsid w:val="00895581"/>
    <w:rsid w:val="0089600D"/>
    <w:rsid w:val="008A1D90"/>
    <w:rsid w:val="008A2A9B"/>
    <w:rsid w:val="008A3BF9"/>
    <w:rsid w:val="008B71D3"/>
    <w:rsid w:val="008B76A0"/>
    <w:rsid w:val="008B7850"/>
    <w:rsid w:val="008C60E9"/>
    <w:rsid w:val="008D1E52"/>
    <w:rsid w:val="008D271B"/>
    <w:rsid w:val="008D6410"/>
    <w:rsid w:val="008D6882"/>
    <w:rsid w:val="008D7A7E"/>
    <w:rsid w:val="008D7EEC"/>
    <w:rsid w:val="008E3C33"/>
    <w:rsid w:val="008E3E88"/>
    <w:rsid w:val="008E4463"/>
    <w:rsid w:val="008E566F"/>
    <w:rsid w:val="008E685D"/>
    <w:rsid w:val="008F026D"/>
    <w:rsid w:val="008F098B"/>
    <w:rsid w:val="008F1B0E"/>
    <w:rsid w:val="008F4EC2"/>
    <w:rsid w:val="008F7E6E"/>
    <w:rsid w:val="00900906"/>
    <w:rsid w:val="00903023"/>
    <w:rsid w:val="00904D27"/>
    <w:rsid w:val="00914C2E"/>
    <w:rsid w:val="00915F20"/>
    <w:rsid w:val="00920BEC"/>
    <w:rsid w:val="00924701"/>
    <w:rsid w:val="00926D9F"/>
    <w:rsid w:val="00933124"/>
    <w:rsid w:val="0093482B"/>
    <w:rsid w:val="009350C5"/>
    <w:rsid w:val="009358E4"/>
    <w:rsid w:val="0094065E"/>
    <w:rsid w:val="00950D82"/>
    <w:rsid w:val="00950DF2"/>
    <w:rsid w:val="00951E8D"/>
    <w:rsid w:val="009557D1"/>
    <w:rsid w:val="009559E1"/>
    <w:rsid w:val="0095693B"/>
    <w:rsid w:val="00957AB6"/>
    <w:rsid w:val="00957E92"/>
    <w:rsid w:val="00960154"/>
    <w:rsid w:val="0096051C"/>
    <w:rsid w:val="00961EB9"/>
    <w:rsid w:val="009632FC"/>
    <w:rsid w:val="009662CB"/>
    <w:rsid w:val="00966922"/>
    <w:rsid w:val="00972033"/>
    <w:rsid w:val="00977B52"/>
    <w:rsid w:val="00980DF3"/>
    <w:rsid w:val="00981403"/>
    <w:rsid w:val="00983910"/>
    <w:rsid w:val="00983AD4"/>
    <w:rsid w:val="00990BB1"/>
    <w:rsid w:val="00992C36"/>
    <w:rsid w:val="00992C3D"/>
    <w:rsid w:val="0099649E"/>
    <w:rsid w:val="009A0C4A"/>
    <w:rsid w:val="009A0ECC"/>
    <w:rsid w:val="009A1832"/>
    <w:rsid w:val="009B0108"/>
    <w:rsid w:val="009B6666"/>
    <w:rsid w:val="009C03C6"/>
    <w:rsid w:val="009C1F13"/>
    <w:rsid w:val="009C7712"/>
    <w:rsid w:val="009D0793"/>
    <w:rsid w:val="009D3EE9"/>
    <w:rsid w:val="009D4B80"/>
    <w:rsid w:val="009D4DE5"/>
    <w:rsid w:val="009F0550"/>
    <w:rsid w:val="009F0EB5"/>
    <w:rsid w:val="009F1891"/>
    <w:rsid w:val="009F2623"/>
    <w:rsid w:val="009F3A7D"/>
    <w:rsid w:val="009F70AC"/>
    <w:rsid w:val="00A00C8C"/>
    <w:rsid w:val="00A035F7"/>
    <w:rsid w:val="00A03EE0"/>
    <w:rsid w:val="00A06697"/>
    <w:rsid w:val="00A06F1B"/>
    <w:rsid w:val="00A1123A"/>
    <w:rsid w:val="00A12083"/>
    <w:rsid w:val="00A12713"/>
    <w:rsid w:val="00A13A86"/>
    <w:rsid w:val="00A1432B"/>
    <w:rsid w:val="00A16DCD"/>
    <w:rsid w:val="00A2058A"/>
    <w:rsid w:val="00A20F20"/>
    <w:rsid w:val="00A21BA3"/>
    <w:rsid w:val="00A2334F"/>
    <w:rsid w:val="00A23D41"/>
    <w:rsid w:val="00A27AA3"/>
    <w:rsid w:val="00A3047F"/>
    <w:rsid w:val="00A42BFF"/>
    <w:rsid w:val="00A45AE4"/>
    <w:rsid w:val="00A46DC6"/>
    <w:rsid w:val="00A4739F"/>
    <w:rsid w:val="00A556BF"/>
    <w:rsid w:val="00A56128"/>
    <w:rsid w:val="00A561C9"/>
    <w:rsid w:val="00A621D1"/>
    <w:rsid w:val="00A631F3"/>
    <w:rsid w:val="00A6595C"/>
    <w:rsid w:val="00A65DC1"/>
    <w:rsid w:val="00A66150"/>
    <w:rsid w:val="00A66332"/>
    <w:rsid w:val="00A66DB6"/>
    <w:rsid w:val="00A71B60"/>
    <w:rsid w:val="00A8119F"/>
    <w:rsid w:val="00A83229"/>
    <w:rsid w:val="00A84D74"/>
    <w:rsid w:val="00A84E1A"/>
    <w:rsid w:val="00A8649B"/>
    <w:rsid w:val="00A87461"/>
    <w:rsid w:val="00A92CF9"/>
    <w:rsid w:val="00A96F81"/>
    <w:rsid w:val="00AA148B"/>
    <w:rsid w:val="00AA1A9C"/>
    <w:rsid w:val="00AA1C2F"/>
    <w:rsid w:val="00AA526A"/>
    <w:rsid w:val="00AA64AB"/>
    <w:rsid w:val="00AA79CE"/>
    <w:rsid w:val="00AB2933"/>
    <w:rsid w:val="00AB6FB7"/>
    <w:rsid w:val="00AC1D78"/>
    <w:rsid w:val="00AC2B41"/>
    <w:rsid w:val="00AC423D"/>
    <w:rsid w:val="00AC4A12"/>
    <w:rsid w:val="00AC5D95"/>
    <w:rsid w:val="00AD5249"/>
    <w:rsid w:val="00AD683C"/>
    <w:rsid w:val="00AE491E"/>
    <w:rsid w:val="00AE52E2"/>
    <w:rsid w:val="00AF1036"/>
    <w:rsid w:val="00AF44D4"/>
    <w:rsid w:val="00AF4CF5"/>
    <w:rsid w:val="00B01091"/>
    <w:rsid w:val="00B03EFC"/>
    <w:rsid w:val="00B07566"/>
    <w:rsid w:val="00B11040"/>
    <w:rsid w:val="00B110C9"/>
    <w:rsid w:val="00B11483"/>
    <w:rsid w:val="00B13408"/>
    <w:rsid w:val="00B14705"/>
    <w:rsid w:val="00B17831"/>
    <w:rsid w:val="00B20236"/>
    <w:rsid w:val="00B214E9"/>
    <w:rsid w:val="00B22B62"/>
    <w:rsid w:val="00B23172"/>
    <w:rsid w:val="00B274F7"/>
    <w:rsid w:val="00B32559"/>
    <w:rsid w:val="00B340D0"/>
    <w:rsid w:val="00B34D63"/>
    <w:rsid w:val="00B35A30"/>
    <w:rsid w:val="00B366F6"/>
    <w:rsid w:val="00B430ED"/>
    <w:rsid w:val="00B448FE"/>
    <w:rsid w:val="00B457DD"/>
    <w:rsid w:val="00B50334"/>
    <w:rsid w:val="00B53398"/>
    <w:rsid w:val="00B53AC2"/>
    <w:rsid w:val="00B57AB0"/>
    <w:rsid w:val="00B617BF"/>
    <w:rsid w:val="00B67B4E"/>
    <w:rsid w:val="00B71A2F"/>
    <w:rsid w:val="00B7365B"/>
    <w:rsid w:val="00B75B3B"/>
    <w:rsid w:val="00B802B4"/>
    <w:rsid w:val="00B822A4"/>
    <w:rsid w:val="00B83DEE"/>
    <w:rsid w:val="00B83ED6"/>
    <w:rsid w:val="00B860AB"/>
    <w:rsid w:val="00B86270"/>
    <w:rsid w:val="00B8627E"/>
    <w:rsid w:val="00B907B5"/>
    <w:rsid w:val="00B911BE"/>
    <w:rsid w:val="00B92186"/>
    <w:rsid w:val="00BA2456"/>
    <w:rsid w:val="00BA407C"/>
    <w:rsid w:val="00BA478D"/>
    <w:rsid w:val="00BA4FCB"/>
    <w:rsid w:val="00BB1117"/>
    <w:rsid w:val="00BB2503"/>
    <w:rsid w:val="00BB27A9"/>
    <w:rsid w:val="00BB2931"/>
    <w:rsid w:val="00BB3675"/>
    <w:rsid w:val="00BB736B"/>
    <w:rsid w:val="00BB78D0"/>
    <w:rsid w:val="00BC0681"/>
    <w:rsid w:val="00BC1449"/>
    <w:rsid w:val="00BC1A8A"/>
    <w:rsid w:val="00BC3748"/>
    <w:rsid w:val="00BC38B7"/>
    <w:rsid w:val="00BC6F10"/>
    <w:rsid w:val="00BC7924"/>
    <w:rsid w:val="00BD1808"/>
    <w:rsid w:val="00BD6EF9"/>
    <w:rsid w:val="00BE2963"/>
    <w:rsid w:val="00BE5A4E"/>
    <w:rsid w:val="00BF735D"/>
    <w:rsid w:val="00C0259E"/>
    <w:rsid w:val="00C12867"/>
    <w:rsid w:val="00C12ECE"/>
    <w:rsid w:val="00C15619"/>
    <w:rsid w:val="00C15C92"/>
    <w:rsid w:val="00C15FBF"/>
    <w:rsid w:val="00C16F19"/>
    <w:rsid w:val="00C2092A"/>
    <w:rsid w:val="00C22AA3"/>
    <w:rsid w:val="00C252BD"/>
    <w:rsid w:val="00C344BF"/>
    <w:rsid w:val="00C352A6"/>
    <w:rsid w:val="00C35A56"/>
    <w:rsid w:val="00C37EBD"/>
    <w:rsid w:val="00C4028C"/>
    <w:rsid w:val="00C41003"/>
    <w:rsid w:val="00C41EC5"/>
    <w:rsid w:val="00C44E24"/>
    <w:rsid w:val="00C46E70"/>
    <w:rsid w:val="00C50C8E"/>
    <w:rsid w:val="00C5257A"/>
    <w:rsid w:val="00C64195"/>
    <w:rsid w:val="00C6422E"/>
    <w:rsid w:val="00C64A00"/>
    <w:rsid w:val="00C65411"/>
    <w:rsid w:val="00C655D3"/>
    <w:rsid w:val="00C65623"/>
    <w:rsid w:val="00C675B0"/>
    <w:rsid w:val="00C7096A"/>
    <w:rsid w:val="00C7154F"/>
    <w:rsid w:val="00C73FC3"/>
    <w:rsid w:val="00C74EA1"/>
    <w:rsid w:val="00C75874"/>
    <w:rsid w:val="00C763CC"/>
    <w:rsid w:val="00C772B7"/>
    <w:rsid w:val="00C77939"/>
    <w:rsid w:val="00C80A7E"/>
    <w:rsid w:val="00C82246"/>
    <w:rsid w:val="00C90CEC"/>
    <w:rsid w:val="00C9104E"/>
    <w:rsid w:val="00C93024"/>
    <w:rsid w:val="00C940DE"/>
    <w:rsid w:val="00CA0A87"/>
    <w:rsid w:val="00CA1019"/>
    <w:rsid w:val="00CA1C73"/>
    <w:rsid w:val="00CA1D67"/>
    <w:rsid w:val="00CA20B7"/>
    <w:rsid w:val="00CA4903"/>
    <w:rsid w:val="00CA5683"/>
    <w:rsid w:val="00CA5E4D"/>
    <w:rsid w:val="00CA64E8"/>
    <w:rsid w:val="00CB0B90"/>
    <w:rsid w:val="00CB2EEC"/>
    <w:rsid w:val="00CB604B"/>
    <w:rsid w:val="00CB627B"/>
    <w:rsid w:val="00CB6FDC"/>
    <w:rsid w:val="00CB791D"/>
    <w:rsid w:val="00CB7BD8"/>
    <w:rsid w:val="00CC12F1"/>
    <w:rsid w:val="00CC460D"/>
    <w:rsid w:val="00CC4EEF"/>
    <w:rsid w:val="00CC5ECD"/>
    <w:rsid w:val="00CD1A46"/>
    <w:rsid w:val="00CD1E4D"/>
    <w:rsid w:val="00CD294D"/>
    <w:rsid w:val="00CD3CDE"/>
    <w:rsid w:val="00CD4240"/>
    <w:rsid w:val="00CD4DDF"/>
    <w:rsid w:val="00CD77DA"/>
    <w:rsid w:val="00CE082D"/>
    <w:rsid w:val="00CE268A"/>
    <w:rsid w:val="00CE27B9"/>
    <w:rsid w:val="00CE3AB5"/>
    <w:rsid w:val="00CE4E0F"/>
    <w:rsid w:val="00CF16DB"/>
    <w:rsid w:val="00CF272E"/>
    <w:rsid w:val="00D00978"/>
    <w:rsid w:val="00D04562"/>
    <w:rsid w:val="00D0612D"/>
    <w:rsid w:val="00D07049"/>
    <w:rsid w:val="00D13B8C"/>
    <w:rsid w:val="00D14742"/>
    <w:rsid w:val="00D2396B"/>
    <w:rsid w:val="00D242D0"/>
    <w:rsid w:val="00D25228"/>
    <w:rsid w:val="00D30243"/>
    <w:rsid w:val="00D31C0A"/>
    <w:rsid w:val="00D31FF8"/>
    <w:rsid w:val="00D324D0"/>
    <w:rsid w:val="00D32A83"/>
    <w:rsid w:val="00D412D9"/>
    <w:rsid w:val="00D45F42"/>
    <w:rsid w:val="00D46AEC"/>
    <w:rsid w:val="00D46C49"/>
    <w:rsid w:val="00D47A6C"/>
    <w:rsid w:val="00D50523"/>
    <w:rsid w:val="00D50E91"/>
    <w:rsid w:val="00D5199F"/>
    <w:rsid w:val="00D51C55"/>
    <w:rsid w:val="00D51C5F"/>
    <w:rsid w:val="00D543EC"/>
    <w:rsid w:val="00D55C71"/>
    <w:rsid w:val="00D56673"/>
    <w:rsid w:val="00D60632"/>
    <w:rsid w:val="00D60A6D"/>
    <w:rsid w:val="00D61B2B"/>
    <w:rsid w:val="00D67D73"/>
    <w:rsid w:val="00D70BF5"/>
    <w:rsid w:val="00D714E4"/>
    <w:rsid w:val="00D72A08"/>
    <w:rsid w:val="00D72E5C"/>
    <w:rsid w:val="00D74E5D"/>
    <w:rsid w:val="00D77279"/>
    <w:rsid w:val="00D8091A"/>
    <w:rsid w:val="00D8441C"/>
    <w:rsid w:val="00D84C55"/>
    <w:rsid w:val="00D86D7B"/>
    <w:rsid w:val="00D96610"/>
    <w:rsid w:val="00D97A78"/>
    <w:rsid w:val="00D97C1F"/>
    <w:rsid w:val="00DA1A73"/>
    <w:rsid w:val="00DA3E04"/>
    <w:rsid w:val="00DA4205"/>
    <w:rsid w:val="00DA67A1"/>
    <w:rsid w:val="00DB01D7"/>
    <w:rsid w:val="00DB1955"/>
    <w:rsid w:val="00DB2313"/>
    <w:rsid w:val="00DB6081"/>
    <w:rsid w:val="00DC0B68"/>
    <w:rsid w:val="00DC1BA4"/>
    <w:rsid w:val="00DC1FAF"/>
    <w:rsid w:val="00DC2ADB"/>
    <w:rsid w:val="00DC3924"/>
    <w:rsid w:val="00DC3C6D"/>
    <w:rsid w:val="00DC60D8"/>
    <w:rsid w:val="00DC61C0"/>
    <w:rsid w:val="00DC75C4"/>
    <w:rsid w:val="00DD0C2C"/>
    <w:rsid w:val="00DD0C87"/>
    <w:rsid w:val="00DD23D3"/>
    <w:rsid w:val="00DD4901"/>
    <w:rsid w:val="00DE1F2D"/>
    <w:rsid w:val="00DE52EF"/>
    <w:rsid w:val="00DE538D"/>
    <w:rsid w:val="00DE56AB"/>
    <w:rsid w:val="00DF00BF"/>
    <w:rsid w:val="00DF18AC"/>
    <w:rsid w:val="00DF240F"/>
    <w:rsid w:val="00DF50CF"/>
    <w:rsid w:val="00DF544A"/>
    <w:rsid w:val="00E00D3E"/>
    <w:rsid w:val="00E012B4"/>
    <w:rsid w:val="00E032FA"/>
    <w:rsid w:val="00E03D6D"/>
    <w:rsid w:val="00E0693D"/>
    <w:rsid w:val="00E0715E"/>
    <w:rsid w:val="00E07E52"/>
    <w:rsid w:val="00E155AB"/>
    <w:rsid w:val="00E20FBF"/>
    <w:rsid w:val="00E21109"/>
    <w:rsid w:val="00E21342"/>
    <w:rsid w:val="00E23CA6"/>
    <w:rsid w:val="00E23F60"/>
    <w:rsid w:val="00E246D4"/>
    <w:rsid w:val="00E250E2"/>
    <w:rsid w:val="00E25F2C"/>
    <w:rsid w:val="00E26ADA"/>
    <w:rsid w:val="00E31364"/>
    <w:rsid w:val="00E36773"/>
    <w:rsid w:val="00E403E0"/>
    <w:rsid w:val="00E40455"/>
    <w:rsid w:val="00E416C8"/>
    <w:rsid w:val="00E4560B"/>
    <w:rsid w:val="00E50FF6"/>
    <w:rsid w:val="00E54043"/>
    <w:rsid w:val="00E54696"/>
    <w:rsid w:val="00E56E4B"/>
    <w:rsid w:val="00E5708B"/>
    <w:rsid w:val="00E57B74"/>
    <w:rsid w:val="00E6088C"/>
    <w:rsid w:val="00E614EB"/>
    <w:rsid w:val="00E6283F"/>
    <w:rsid w:val="00E63C5E"/>
    <w:rsid w:val="00E6510B"/>
    <w:rsid w:val="00E65DDB"/>
    <w:rsid w:val="00E67247"/>
    <w:rsid w:val="00E67A27"/>
    <w:rsid w:val="00E70D54"/>
    <w:rsid w:val="00E718A5"/>
    <w:rsid w:val="00E71BB9"/>
    <w:rsid w:val="00E71E4A"/>
    <w:rsid w:val="00E72289"/>
    <w:rsid w:val="00E77D1E"/>
    <w:rsid w:val="00E83C21"/>
    <w:rsid w:val="00E849A7"/>
    <w:rsid w:val="00E8629F"/>
    <w:rsid w:val="00E86ECA"/>
    <w:rsid w:val="00E9130D"/>
    <w:rsid w:val="00E931B8"/>
    <w:rsid w:val="00E9421A"/>
    <w:rsid w:val="00E95AD8"/>
    <w:rsid w:val="00E96523"/>
    <w:rsid w:val="00EA3C24"/>
    <w:rsid w:val="00EA7BDC"/>
    <w:rsid w:val="00EB1A47"/>
    <w:rsid w:val="00EB2898"/>
    <w:rsid w:val="00EB793D"/>
    <w:rsid w:val="00EC0619"/>
    <w:rsid w:val="00EC06BF"/>
    <w:rsid w:val="00EC39B1"/>
    <w:rsid w:val="00EC408B"/>
    <w:rsid w:val="00EC48AE"/>
    <w:rsid w:val="00ED2595"/>
    <w:rsid w:val="00ED57AA"/>
    <w:rsid w:val="00EE4A73"/>
    <w:rsid w:val="00EE5CBF"/>
    <w:rsid w:val="00EE6583"/>
    <w:rsid w:val="00EE79CC"/>
    <w:rsid w:val="00EF0D02"/>
    <w:rsid w:val="00EF1A3C"/>
    <w:rsid w:val="00EF39D1"/>
    <w:rsid w:val="00EF477F"/>
    <w:rsid w:val="00EF4A19"/>
    <w:rsid w:val="00EF5870"/>
    <w:rsid w:val="00EF59F2"/>
    <w:rsid w:val="00F0241C"/>
    <w:rsid w:val="00F049A7"/>
    <w:rsid w:val="00F114F1"/>
    <w:rsid w:val="00F1375E"/>
    <w:rsid w:val="00F13D4B"/>
    <w:rsid w:val="00F1458D"/>
    <w:rsid w:val="00F15832"/>
    <w:rsid w:val="00F15D6B"/>
    <w:rsid w:val="00F16A88"/>
    <w:rsid w:val="00F1745E"/>
    <w:rsid w:val="00F22726"/>
    <w:rsid w:val="00F2411B"/>
    <w:rsid w:val="00F26129"/>
    <w:rsid w:val="00F33072"/>
    <w:rsid w:val="00F3551D"/>
    <w:rsid w:val="00F36A5F"/>
    <w:rsid w:val="00F414EE"/>
    <w:rsid w:val="00F427BE"/>
    <w:rsid w:val="00F429D0"/>
    <w:rsid w:val="00F43946"/>
    <w:rsid w:val="00F474B8"/>
    <w:rsid w:val="00F47A3F"/>
    <w:rsid w:val="00F50678"/>
    <w:rsid w:val="00F507BD"/>
    <w:rsid w:val="00F50E1D"/>
    <w:rsid w:val="00F51C68"/>
    <w:rsid w:val="00F53355"/>
    <w:rsid w:val="00F53FEF"/>
    <w:rsid w:val="00F62C4A"/>
    <w:rsid w:val="00F62FEB"/>
    <w:rsid w:val="00F64F7F"/>
    <w:rsid w:val="00F65C90"/>
    <w:rsid w:val="00F66836"/>
    <w:rsid w:val="00F679A8"/>
    <w:rsid w:val="00F7051B"/>
    <w:rsid w:val="00F7138E"/>
    <w:rsid w:val="00F73C9B"/>
    <w:rsid w:val="00F73CBF"/>
    <w:rsid w:val="00F740DE"/>
    <w:rsid w:val="00F7452E"/>
    <w:rsid w:val="00F7677D"/>
    <w:rsid w:val="00F7745D"/>
    <w:rsid w:val="00F777B8"/>
    <w:rsid w:val="00F81A67"/>
    <w:rsid w:val="00F82400"/>
    <w:rsid w:val="00F830BA"/>
    <w:rsid w:val="00F90675"/>
    <w:rsid w:val="00F926A4"/>
    <w:rsid w:val="00F93901"/>
    <w:rsid w:val="00FA0C79"/>
    <w:rsid w:val="00FA27C1"/>
    <w:rsid w:val="00FA36C1"/>
    <w:rsid w:val="00FA3DCE"/>
    <w:rsid w:val="00FA4297"/>
    <w:rsid w:val="00FA748A"/>
    <w:rsid w:val="00FB21A2"/>
    <w:rsid w:val="00FB2B91"/>
    <w:rsid w:val="00FB3146"/>
    <w:rsid w:val="00FB5ACA"/>
    <w:rsid w:val="00FB6EAE"/>
    <w:rsid w:val="00FB7655"/>
    <w:rsid w:val="00FC1681"/>
    <w:rsid w:val="00FC1759"/>
    <w:rsid w:val="00FC3351"/>
    <w:rsid w:val="00FC5539"/>
    <w:rsid w:val="00FD64C1"/>
    <w:rsid w:val="00FD72F6"/>
    <w:rsid w:val="00FD7BD0"/>
    <w:rsid w:val="00FE050F"/>
    <w:rsid w:val="00FE339F"/>
    <w:rsid w:val="00FE5C3D"/>
    <w:rsid w:val="00FF01FD"/>
    <w:rsid w:val="00FF5CB0"/>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5B9C"/>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6F81"/>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A96F81"/>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96F81"/>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96F81"/>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A96F81"/>
    <w:rPr>
      <w:lang w:val="en-GB" w:eastAsia="en-US" w:bidi="ar-S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96F81"/>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3GPP Caption Table"/>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A96F81"/>
    <w:rPr>
      <w:i/>
      <w:color w:val="0000FF"/>
      <w:lang w:val="en-GB" w:eastAsia="en-US" w:bidi="ar-SA"/>
    </w:rPr>
  </w:style>
  <w:style w:type="paragraph" w:styleId="CommentText">
    <w:name w:val="annotation text"/>
    <w:basedOn w:val="Normal"/>
    <w:semiHidden/>
  </w:style>
  <w:style w:type="table" w:styleId="TableGrid">
    <w:name w:val="Table Grid"/>
    <w:basedOn w:val="TableNormal"/>
    <w:uiPriority w:val="59"/>
    <w:rsid w:val="00A96F81"/>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96F81"/>
  </w:style>
  <w:style w:type="paragraph" w:styleId="BalloonText">
    <w:name w:val="Balloon Text"/>
    <w:basedOn w:val="Normal"/>
    <w:semiHidden/>
    <w:rsid w:val="00CB627B"/>
    <w:rPr>
      <w:rFonts w:ascii="Tahoma" w:hAnsi="Tahoma" w:cs="Tahoma"/>
      <w:sz w:val="16"/>
      <w:szCs w:val="16"/>
    </w:rPr>
  </w:style>
  <w:style w:type="paragraph" w:styleId="CommentSubject">
    <w:name w:val="annotation subject"/>
    <w:basedOn w:val="CommentText"/>
    <w:next w:val="CommentText"/>
    <w:semiHidden/>
    <w:rsid w:val="006136D7"/>
    <w:rPr>
      <w:b/>
      <w:bCs/>
    </w:rPr>
  </w:style>
  <w:style w:type="character" w:customStyle="1" w:styleId="TALCar">
    <w:name w:val="TAL Car"/>
    <w:rsid w:val="002C79F8"/>
    <w:rPr>
      <w:rFonts w:ascii="Arial" w:hAnsi="Arial"/>
      <w:sz w:val="18"/>
      <w:lang w:val="en-GB" w:eastAsia="ja-JP" w:bidi="ar-SA"/>
    </w:rPr>
  </w:style>
  <w:style w:type="paragraph" w:customStyle="1" w:styleId="CRCoverPage">
    <w:name w:val="CR Cover Page"/>
    <w:rsid w:val="00E72289"/>
    <w:pPr>
      <w:spacing w:after="120"/>
    </w:pPr>
    <w:rPr>
      <w:rFonts w:ascii="Arial" w:hAnsi="Arial"/>
      <w:lang w:val="en-GB"/>
    </w:rPr>
  </w:style>
  <w:style w:type="character" w:customStyle="1" w:styleId="TAHCar">
    <w:name w:val="TAH Car"/>
    <w:link w:val="TAH"/>
    <w:rsid w:val="003A20F7"/>
    <w:rPr>
      <w:rFonts w:ascii="Arial" w:hAnsi="Arial"/>
      <w:b/>
      <w:sz w:val="18"/>
      <w:lang w:val="en-GB" w:eastAsia="en-US"/>
    </w:rPr>
  </w:style>
  <w:style w:type="character" w:customStyle="1" w:styleId="TANChar">
    <w:name w:val="TAN Char"/>
    <w:link w:val="TAN"/>
    <w:rsid w:val="003A20F7"/>
    <w:rPr>
      <w:rFonts w:ascii="Arial" w:hAnsi="Arial"/>
      <w:sz w:val="18"/>
      <w:lang w:val="en-GB" w:eastAsia="en-US"/>
    </w:rPr>
  </w:style>
  <w:style w:type="character" w:styleId="Strong">
    <w:name w:val="Strong"/>
    <w:qFormat/>
    <w:rsid w:val="00216825"/>
    <w:rPr>
      <w:b/>
      <w:bCs/>
    </w:rPr>
  </w:style>
  <w:style w:type="paragraph" w:customStyle="1" w:styleId="TdocHeader2">
    <w:name w:val="Tdoc_Header_2"/>
    <w:basedOn w:val="Normal"/>
    <w:rsid w:val="00DB6081"/>
    <w:pPr>
      <w:widowControl w:val="0"/>
      <w:tabs>
        <w:tab w:val="left" w:pos="1701"/>
        <w:tab w:val="right" w:pos="9072"/>
        <w:tab w:val="right" w:pos="10206"/>
      </w:tabs>
      <w:spacing w:after="0"/>
      <w:jc w:val="both"/>
    </w:pPr>
    <w:rPr>
      <w:rFonts w:ascii="Arial" w:eastAsia="Batang" w:hAnsi="Arial"/>
      <w:b/>
      <w:sz w:val="18"/>
    </w:rPr>
  </w:style>
  <w:style w:type="paragraph" w:customStyle="1" w:styleId="2">
    <w:name w:val="??? 2"/>
    <w:basedOn w:val="Normal"/>
    <w:next w:val="Normal"/>
    <w:rsid w:val="00C940DE"/>
    <w:pPr>
      <w:keepNext/>
      <w:widowControl w:val="0"/>
      <w:spacing w:after="0"/>
    </w:pPr>
    <w:rPr>
      <w:rFonts w:ascii="Arial" w:hAnsi="Arial"/>
      <w:b/>
      <w:sz w:val="24"/>
      <w:lang w:val="en-US"/>
    </w:rPr>
  </w:style>
  <w:style w:type="paragraph" w:styleId="ListParagraph">
    <w:name w:val="List Paragraph"/>
    <w:basedOn w:val="Normal"/>
    <w:uiPriority w:val="34"/>
    <w:qFormat/>
    <w:rsid w:val="0036612C"/>
    <w:pPr>
      <w:spacing w:after="200" w:line="276" w:lineRule="auto"/>
      <w:ind w:left="720"/>
      <w:contextualSpacing/>
    </w:pPr>
    <w:rPr>
      <w:rFonts w:ascii="Calibri" w:eastAsia="Calibri" w:hAnsi="Calibri"/>
      <w:sz w:val="22"/>
      <w:szCs w:val="22"/>
      <w:lang w:val="en-US"/>
    </w:rPr>
  </w:style>
  <w:style w:type="paragraph" w:styleId="Title">
    <w:name w:val="Title"/>
    <w:basedOn w:val="Normal"/>
    <w:next w:val="Normal"/>
    <w:link w:val="TitleChar"/>
    <w:qFormat/>
    <w:rsid w:val="004B0E52"/>
    <w:pPr>
      <w:spacing w:before="240" w:after="60"/>
      <w:jc w:val="center"/>
      <w:outlineLvl w:val="0"/>
    </w:pPr>
    <w:rPr>
      <w:rFonts w:ascii="Cambria" w:hAnsi="Cambria"/>
      <w:b/>
      <w:bCs/>
      <w:kern w:val="28"/>
      <w:sz w:val="32"/>
      <w:szCs w:val="32"/>
    </w:rPr>
  </w:style>
  <w:style w:type="character" w:customStyle="1" w:styleId="TitleChar">
    <w:name w:val="Title Char"/>
    <w:link w:val="Title"/>
    <w:rsid w:val="004B0E52"/>
    <w:rPr>
      <w:rFonts w:ascii="Cambria" w:eastAsia="Times New Roman" w:hAnsi="Cambria" w:cs="Times New Roman"/>
      <w:b/>
      <w:bCs/>
      <w:kern w:val="28"/>
      <w:sz w:val="32"/>
      <w:szCs w:val="32"/>
      <w:lang w:val="en-GB" w:eastAsia="en-US"/>
    </w:rPr>
  </w:style>
  <w:style w:type="paragraph" w:customStyle="1" w:styleId="Figure">
    <w:name w:val="Figure"/>
    <w:basedOn w:val="Normal"/>
    <w:next w:val="Caption"/>
    <w:rsid w:val="00352A2D"/>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CaptionChar">
    <w:name w:val="Caption Char"/>
    <w:aliases w:val="cap Char,3GPP Caption Table Char"/>
    <w:link w:val="Caption"/>
    <w:rsid w:val="00352A2D"/>
    <w:rPr>
      <w:b/>
      <w:lang w:val="en-GB" w:eastAsia="en-US"/>
    </w:rPr>
  </w:style>
  <w:style w:type="character" w:customStyle="1" w:styleId="PlainTextChar">
    <w:name w:val="Plain Text Char"/>
    <w:link w:val="PlainText"/>
    <w:uiPriority w:val="99"/>
    <w:rsid w:val="00836852"/>
    <w:rPr>
      <w:rFonts w:ascii="Courier New" w:hAnsi="Courier New"/>
      <w:lang w:val="nb-NO"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B3675"/>
    <w:rPr>
      <w:rFonts w:ascii="Arial" w:hAnsi="Arial"/>
      <w:b/>
      <w:noProof/>
      <w:sz w:val="18"/>
      <w:lang w:val="en-GB"/>
    </w:rPr>
  </w:style>
  <w:style w:type="character" w:customStyle="1" w:styleId="TFChar">
    <w:name w:val="TF Char"/>
    <w:link w:val="TF"/>
    <w:rsid w:val="00E4560B"/>
    <w:rPr>
      <w:rFonts w:ascii="Arial" w:hAnsi="Arial"/>
      <w:b/>
      <w:lang w:val="en-GB"/>
    </w:rPr>
  </w:style>
  <w:style w:type="character" w:customStyle="1" w:styleId="B2Char">
    <w:name w:val="B2 Char"/>
    <w:link w:val="B2"/>
    <w:rsid w:val="00E4560B"/>
    <w:rPr>
      <w:lang w:val="en-GB"/>
    </w:rPr>
  </w:style>
  <w:style w:type="character" w:customStyle="1" w:styleId="FooterChar">
    <w:name w:val="Footer Char"/>
    <w:aliases w:val="footer odd Char,footer Char,fo Char,pie de página Char"/>
    <w:link w:val="Footer"/>
    <w:uiPriority w:val="99"/>
    <w:rsid w:val="00D70BF5"/>
    <w:rPr>
      <w:rFonts w:ascii="Arial" w:hAnsi="Arial"/>
      <w:b/>
      <w:i/>
      <w:noProof/>
      <w:sz w:val="18"/>
      <w:lang w:val="en-GB"/>
    </w:rPr>
  </w:style>
  <w:style w:type="paragraph" w:customStyle="1" w:styleId="LGTdoc">
    <w:name w:val="LGTdoc_본문"/>
    <w:basedOn w:val="Normal"/>
    <w:rsid w:val="00D70BF5"/>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NormalWeb">
    <w:name w:val="Normal (Web)"/>
    <w:basedOn w:val="Normal"/>
    <w:uiPriority w:val="99"/>
    <w:unhideWhenUsed/>
    <w:rsid w:val="009F70AC"/>
    <w:pPr>
      <w:spacing w:before="100" w:beforeAutospacing="1" w:after="100" w:afterAutospacing="1"/>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5B9C"/>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6F81"/>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A96F81"/>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96F81"/>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96F81"/>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A96F81"/>
    <w:rPr>
      <w:lang w:val="en-GB" w:eastAsia="en-US" w:bidi="ar-S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96F81"/>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3GPP Caption Table"/>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A96F81"/>
    <w:rPr>
      <w:i/>
      <w:color w:val="0000FF"/>
      <w:lang w:val="en-GB" w:eastAsia="en-US" w:bidi="ar-SA"/>
    </w:rPr>
  </w:style>
  <w:style w:type="paragraph" w:styleId="CommentText">
    <w:name w:val="annotation text"/>
    <w:basedOn w:val="Normal"/>
    <w:semiHidden/>
  </w:style>
  <w:style w:type="table" w:styleId="TableGrid">
    <w:name w:val="Table Grid"/>
    <w:basedOn w:val="TableNormal"/>
    <w:uiPriority w:val="59"/>
    <w:rsid w:val="00A96F81"/>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96F81"/>
  </w:style>
  <w:style w:type="paragraph" w:styleId="BalloonText">
    <w:name w:val="Balloon Text"/>
    <w:basedOn w:val="Normal"/>
    <w:semiHidden/>
    <w:rsid w:val="00CB627B"/>
    <w:rPr>
      <w:rFonts w:ascii="Tahoma" w:hAnsi="Tahoma" w:cs="Tahoma"/>
      <w:sz w:val="16"/>
      <w:szCs w:val="16"/>
    </w:rPr>
  </w:style>
  <w:style w:type="paragraph" w:styleId="CommentSubject">
    <w:name w:val="annotation subject"/>
    <w:basedOn w:val="CommentText"/>
    <w:next w:val="CommentText"/>
    <w:semiHidden/>
    <w:rsid w:val="006136D7"/>
    <w:rPr>
      <w:b/>
      <w:bCs/>
    </w:rPr>
  </w:style>
  <w:style w:type="character" w:customStyle="1" w:styleId="TALCar">
    <w:name w:val="TAL Car"/>
    <w:rsid w:val="002C79F8"/>
    <w:rPr>
      <w:rFonts w:ascii="Arial" w:hAnsi="Arial"/>
      <w:sz w:val="18"/>
      <w:lang w:val="en-GB" w:eastAsia="ja-JP" w:bidi="ar-SA"/>
    </w:rPr>
  </w:style>
  <w:style w:type="paragraph" w:customStyle="1" w:styleId="CRCoverPage">
    <w:name w:val="CR Cover Page"/>
    <w:rsid w:val="00E72289"/>
    <w:pPr>
      <w:spacing w:after="120"/>
    </w:pPr>
    <w:rPr>
      <w:rFonts w:ascii="Arial" w:hAnsi="Arial"/>
      <w:lang w:val="en-GB"/>
    </w:rPr>
  </w:style>
  <w:style w:type="character" w:customStyle="1" w:styleId="TAHCar">
    <w:name w:val="TAH Car"/>
    <w:link w:val="TAH"/>
    <w:rsid w:val="003A20F7"/>
    <w:rPr>
      <w:rFonts w:ascii="Arial" w:hAnsi="Arial"/>
      <w:b/>
      <w:sz w:val="18"/>
      <w:lang w:val="en-GB" w:eastAsia="en-US"/>
    </w:rPr>
  </w:style>
  <w:style w:type="character" w:customStyle="1" w:styleId="TANChar">
    <w:name w:val="TAN Char"/>
    <w:link w:val="TAN"/>
    <w:rsid w:val="003A20F7"/>
    <w:rPr>
      <w:rFonts w:ascii="Arial" w:hAnsi="Arial"/>
      <w:sz w:val="18"/>
      <w:lang w:val="en-GB" w:eastAsia="en-US"/>
    </w:rPr>
  </w:style>
  <w:style w:type="character" w:styleId="Strong">
    <w:name w:val="Strong"/>
    <w:qFormat/>
    <w:rsid w:val="00216825"/>
    <w:rPr>
      <w:b/>
      <w:bCs/>
    </w:rPr>
  </w:style>
  <w:style w:type="paragraph" w:customStyle="1" w:styleId="TdocHeader2">
    <w:name w:val="Tdoc_Header_2"/>
    <w:basedOn w:val="Normal"/>
    <w:rsid w:val="00DB6081"/>
    <w:pPr>
      <w:widowControl w:val="0"/>
      <w:tabs>
        <w:tab w:val="left" w:pos="1701"/>
        <w:tab w:val="right" w:pos="9072"/>
        <w:tab w:val="right" w:pos="10206"/>
      </w:tabs>
      <w:spacing w:after="0"/>
      <w:jc w:val="both"/>
    </w:pPr>
    <w:rPr>
      <w:rFonts w:ascii="Arial" w:eastAsia="Batang" w:hAnsi="Arial"/>
      <w:b/>
      <w:sz w:val="18"/>
    </w:rPr>
  </w:style>
  <w:style w:type="paragraph" w:customStyle="1" w:styleId="2">
    <w:name w:val="??? 2"/>
    <w:basedOn w:val="Normal"/>
    <w:next w:val="Normal"/>
    <w:rsid w:val="00C940DE"/>
    <w:pPr>
      <w:keepNext/>
      <w:widowControl w:val="0"/>
      <w:spacing w:after="0"/>
    </w:pPr>
    <w:rPr>
      <w:rFonts w:ascii="Arial" w:hAnsi="Arial"/>
      <w:b/>
      <w:sz w:val="24"/>
      <w:lang w:val="en-US"/>
    </w:rPr>
  </w:style>
  <w:style w:type="paragraph" w:styleId="ListParagraph">
    <w:name w:val="List Paragraph"/>
    <w:basedOn w:val="Normal"/>
    <w:uiPriority w:val="34"/>
    <w:qFormat/>
    <w:rsid w:val="0036612C"/>
    <w:pPr>
      <w:spacing w:after="200" w:line="276" w:lineRule="auto"/>
      <w:ind w:left="720"/>
      <w:contextualSpacing/>
    </w:pPr>
    <w:rPr>
      <w:rFonts w:ascii="Calibri" w:eastAsia="Calibri" w:hAnsi="Calibri"/>
      <w:sz w:val="22"/>
      <w:szCs w:val="22"/>
      <w:lang w:val="en-US"/>
    </w:rPr>
  </w:style>
  <w:style w:type="paragraph" w:styleId="Title">
    <w:name w:val="Title"/>
    <w:basedOn w:val="Normal"/>
    <w:next w:val="Normal"/>
    <w:link w:val="TitleChar"/>
    <w:qFormat/>
    <w:rsid w:val="004B0E52"/>
    <w:pPr>
      <w:spacing w:before="240" w:after="60"/>
      <w:jc w:val="center"/>
      <w:outlineLvl w:val="0"/>
    </w:pPr>
    <w:rPr>
      <w:rFonts w:ascii="Cambria" w:hAnsi="Cambria"/>
      <w:b/>
      <w:bCs/>
      <w:kern w:val="28"/>
      <w:sz w:val="32"/>
      <w:szCs w:val="32"/>
    </w:rPr>
  </w:style>
  <w:style w:type="character" w:customStyle="1" w:styleId="TitleChar">
    <w:name w:val="Title Char"/>
    <w:link w:val="Title"/>
    <w:rsid w:val="004B0E52"/>
    <w:rPr>
      <w:rFonts w:ascii="Cambria" w:eastAsia="Times New Roman" w:hAnsi="Cambria" w:cs="Times New Roman"/>
      <w:b/>
      <w:bCs/>
      <w:kern w:val="28"/>
      <w:sz w:val="32"/>
      <w:szCs w:val="32"/>
      <w:lang w:val="en-GB" w:eastAsia="en-US"/>
    </w:rPr>
  </w:style>
  <w:style w:type="paragraph" w:customStyle="1" w:styleId="Figure">
    <w:name w:val="Figure"/>
    <w:basedOn w:val="Normal"/>
    <w:next w:val="Caption"/>
    <w:rsid w:val="00352A2D"/>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CaptionChar">
    <w:name w:val="Caption Char"/>
    <w:aliases w:val="cap Char,3GPP Caption Table Char"/>
    <w:link w:val="Caption"/>
    <w:rsid w:val="00352A2D"/>
    <w:rPr>
      <w:b/>
      <w:lang w:val="en-GB" w:eastAsia="en-US"/>
    </w:rPr>
  </w:style>
  <w:style w:type="character" w:customStyle="1" w:styleId="PlainTextChar">
    <w:name w:val="Plain Text Char"/>
    <w:link w:val="PlainText"/>
    <w:uiPriority w:val="99"/>
    <w:rsid w:val="00836852"/>
    <w:rPr>
      <w:rFonts w:ascii="Courier New" w:hAnsi="Courier New"/>
      <w:lang w:val="nb-NO"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B3675"/>
    <w:rPr>
      <w:rFonts w:ascii="Arial" w:hAnsi="Arial"/>
      <w:b/>
      <w:noProof/>
      <w:sz w:val="18"/>
      <w:lang w:val="en-GB"/>
    </w:rPr>
  </w:style>
  <w:style w:type="character" w:customStyle="1" w:styleId="TFChar">
    <w:name w:val="TF Char"/>
    <w:link w:val="TF"/>
    <w:rsid w:val="00E4560B"/>
    <w:rPr>
      <w:rFonts w:ascii="Arial" w:hAnsi="Arial"/>
      <w:b/>
      <w:lang w:val="en-GB"/>
    </w:rPr>
  </w:style>
  <w:style w:type="character" w:customStyle="1" w:styleId="B2Char">
    <w:name w:val="B2 Char"/>
    <w:link w:val="B2"/>
    <w:rsid w:val="00E4560B"/>
    <w:rPr>
      <w:lang w:val="en-GB"/>
    </w:rPr>
  </w:style>
  <w:style w:type="character" w:customStyle="1" w:styleId="FooterChar">
    <w:name w:val="Footer Char"/>
    <w:aliases w:val="footer odd Char,footer Char,fo Char,pie de página Char"/>
    <w:link w:val="Footer"/>
    <w:uiPriority w:val="99"/>
    <w:rsid w:val="00D70BF5"/>
    <w:rPr>
      <w:rFonts w:ascii="Arial" w:hAnsi="Arial"/>
      <w:b/>
      <w:i/>
      <w:noProof/>
      <w:sz w:val="18"/>
      <w:lang w:val="en-GB"/>
    </w:rPr>
  </w:style>
  <w:style w:type="paragraph" w:customStyle="1" w:styleId="LGTdoc">
    <w:name w:val="LGTdoc_본문"/>
    <w:basedOn w:val="Normal"/>
    <w:rsid w:val="00D70BF5"/>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NormalWeb">
    <w:name w:val="Normal (Web)"/>
    <w:basedOn w:val="Normal"/>
    <w:uiPriority w:val="99"/>
    <w:unhideWhenUsed/>
    <w:rsid w:val="009F70A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809539">
      <w:bodyDiv w:val="1"/>
      <w:marLeft w:val="0"/>
      <w:marRight w:val="0"/>
      <w:marTop w:val="0"/>
      <w:marBottom w:val="0"/>
      <w:divBdr>
        <w:top w:val="none" w:sz="0" w:space="0" w:color="auto"/>
        <w:left w:val="none" w:sz="0" w:space="0" w:color="auto"/>
        <w:bottom w:val="none" w:sz="0" w:space="0" w:color="auto"/>
        <w:right w:val="none" w:sz="0" w:space="0" w:color="auto"/>
      </w:divBdr>
      <w:divsChild>
        <w:div w:id="607859863">
          <w:marLeft w:val="0"/>
          <w:marRight w:val="0"/>
          <w:marTop w:val="0"/>
          <w:marBottom w:val="0"/>
          <w:divBdr>
            <w:top w:val="none" w:sz="0" w:space="0" w:color="auto"/>
            <w:left w:val="none" w:sz="0" w:space="0" w:color="auto"/>
            <w:bottom w:val="none" w:sz="0" w:space="0" w:color="auto"/>
            <w:right w:val="none" w:sz="0" w:space="0" w:color="auto"/>
          </w:divBdr>
        </w:div>
      </w:divsChild>
    </w:div>
    <w:div w:id="505823639">
      <w:bodyDiv w:val="1"/>
      <w:marLeft w:val="0"/>
      <w:marRight w:val="0"/>
      <w:marTop w:val="0"/>
      <w:marBottom w:val="0"/>
      <w:divBdr>
        <w:top w:val="none" w:sz="0" w:space="0" w:color="auto"/>
        <w:left w:val="none" w:sz="0" w:space="0" w:color="auto"/>
        <w:bottom w:val="none" w:sz="0" w:space="0" w:color="auto"/>
        <w:right w:val="none" w:sz="0" w:space="0" w:color="auto"/>
      </w:divBdr>
    </w:div>
    <w:div w:id="599796299">
      <w:bodyDiv w:val="1"/>
      <w:marLeft w:val="0"/>
      <w:marRight w:val="0"/>
      <w:marTop w:val="0"/>
      <w:marBottom w:val="0"/>
      <w:divBdr>
        <w:top w:val="none" w:sz="0" w:space="0" w:color="auto"/>
        <w:left w:val="none" w:sz="0" w:space="0" w:color="auto"/>
        <w:bottom w:val="none" w:sz="0" w:space="0" w:color="auto"/>
        <w:right w:val="none" w:sz="0" w:space="0" w:color="auto"/>
      </w:divBdr>
      <w:divsChild>
        <w:div w:id="75984146">
          <w:marLeft w:val="1166"/>
          <w:marRight w:val="0"/>
          <w:marTop w:val="82"/>
          <w:marBottom w:val="0"/>
          <w:divBdr>
            <w:top w:val="none" w:sz="0" w:space="0" w:color="auto"/>
            <w:left w:val="none" w:sz="0" w:space="0" w:color="auto"/>
            <w:bottom w:val="none" w:sz="0" w:space="0" w:color="auto"/>
            <w:right w:val="none" w:sz="0" w:space="0" w:color="auto"/>
          </w:divBdr>
        </w:div>
        <w:div w:id="274100632">
          <w:marLeft w:val="1166"/>
          <w:marRight w:val="0"/>
          <w:marTop w:val="82"/>
          <w:marBottom w:val="0"/>
          <w:divBdr>
            <w:top w:val="none" w:sz="0" w:space="0" w:color="auto"/>
            <w:left w:val="none" w:sz="0" w:space="0" w:color="auto"/>
            <w:bottom w:val="none" w:sz="0" w:space="0" w:color="auto"/>
            <w:right w:val="none" w:sz="0" w:space="0" w:color="auto"/>
          </w:divBdr>
        </w:div>
        <w:div w:id="791287990">
          <w:marLeft w:val="547"/>
          <w:marRight w:val="0"/>
          <w:marTop w:val="96"/>
          <w:marBottom w:val="0"/>
          <w:divBdr>
            <w:top w:val="none" w:sz="0" w:space="0" w:color="auto"/>
            <w:left w:val="none" w:sz="0" w:space="0" w:color="auto"/>
            <w:bottom w:val="none" w:sz="0" w:space="0" w:color="auto"/>
            <w:right w:val="none" w:sz="0" w:space="0" w:color="auto"/>
          </w:divBdr>
        </w:div>
        <w:div w:id="1160193403">
          <w:marLeft w:val="1166"/>
          <w:marRight w:val="0"/>
          <w:marTop w:val="82"/>
          <w:marBottom w:val="0"/>
          <w:divBdr>
            <w:top w:val="none" w:sz="0" w:space="0" w:color="auto"/>
            <w:left w:val="none" w:sz="0" w:space="0" w:color="auto"/>
            <w:bottom w:val="none" w:sz="0" w:space="0" w:color="auto"/>
            <w:right w:val="none" w:sz="0" w:space="0" w:color="auto"/>
          </w:divBdr>
        </w:div>
        <w:div w:id="1245139678">
          <w:marLeft w:val="1166"/>
          <w:marRight w:val="0"/>
          <w:marTop w:val="82"/>
          <w:marBottom w:val="0"/>
          <w:divBdr>
            <w:top w:val="none" w:sz="0" w:space="0" w:color="auto"/>
            <w:left w:val="none" w:sz="0" w:space="0" w:color="auto"/>
            <w:bottom w:val="none" w:sz="0" w:space="0" w:color="auto"/>
            <w:right w:val="none" w:sz="0" w:space="0" w:color="auto"/>
          </w:divBdr>
        </w:div>
        <w:div w:id="1473130566">
          <w:marLeft w:val="547"/>
          <w:marRight w:val="0"/>
          <w:marTop w:val="96"/>
          <w:marBottom w:val="0"/>
          <w:divBdr>
            <w:top w:val="none" w:sz="0" w:space="0" w:color="auto"/>
            <w:left w:val="none" w:sz="0" w:space="0" w:color="auto"/>
            <w:bottom w:val="none" w:sz="0" w:space="0" w:color="auto"/>
            <w:right w:val="none" w:sz="0" w:space="0" w:color="auto"/>
          </w:divBdr>
        </w:div>
        <w:div w:id="1771467739">
          <w:marLeft w:val="547"/>
          <w:marRight w:val="0"/>
          <w:marTop w:val="96"/>
          <w:marBottom w:val="0"/>
          <w:divBdr>
            <w:top w:val="none" w:sz="0" w:space="0" w:color="auto"/>
            <w:left w:val="none" w:sz="0" w:space="0" w:color="auto"/>
            <w:bottom w:val="none" w:sz="0" w:space="0" w:color="auto"/>
            <w:right w:val="none" w:sz="0" w:space="0" w:color="auto"/>
          </w:divBdr>
        </w:div>
        <w:div w:id="2027319358">
          <w:marLeft w:val="1166"/>
          <w:marRight w:val="0"/>
          <w:marTop w:val="82"/>
          <w:marBottom w:val="0"/>
          <w:divBdr>
            <w:top w:val="none" w:sz="0" w:space="0" w:color="auto"/>
            <w:left w:val="none" w:sz="0" w:space="0" w:color="auto"/>
            <w:bottom w:val="none" w:sz="0" w:space="0" w:color="auto"/>
            <w:right w:val="none" w:sz="0" w:space="0" w:color="auto"/>
          </w:divBdr>
        </w:div>
        <w:div w:id="2106031673">
          <w:marLeft w:val="547"/>
          <w:marRight w:val="0"/>
          <w:marTop w:val="96"/>
          <w:marBottom w:val="0"/>
          <w:divBdr>
            <w:top w:val="none" w:sz="0" w:space="0" w:color="auto"/>
            <w:left w:val="none" w:sz="0" w:space="0" w:color="auto"/>
            <w:bottom w:val="none" w:sz="0" w:space="0" w:color="auto"/>
            <w:right w:val="none" w:sz="0" w:space="0" w:color="auto"/>
          </w:divBdr>
        </w:div>
        <w:div w:id="2130389714">
          <w:marLeft w:val="1166"/>
          <w:marRight w:val="0"/>
          <w:marTop w:val="82"/>
          <w:marBottom w:val="0"/>
          <w:divBdr>
            <w:top w:val="none" w:sz="0" w:space="0" w:color="auto"/>
            <w:left w:val="none" w:sz="0" w:space="0" w:color="auto"/>
            <w:bottom w:val="none" w:sz="0" w:space="0" w:color="auto"/>
            <w:right w:val="none" w:sz="0" w:space="0" w:color="auto"/>
          </w:divBdr>
        </w:div>
      </w:divsChild>
    </w:div>
    <w:div w:id="658506445">
      <w:bodyDiv w:val="1"/>
      <w:marLeft w:val="0"/>
      <w:marRight w:val="0"/>
      <w:marTop w:val="0"/>
      <w:marBottom w:val="0"/>
      <w:divBdr>
        <w:top w:val="none" w:sz="0" w:space="0" w:color="auto"/>
        <w:left w:val="none" w:sz="0" w:space="0" w:color="auto"/>
        <w:bottom w:val="none" w:sz="0" w:space="0" w:color="auto"/>
        <w:right w:val="none" w:sz="0" w:space="0" w:color="auto"/>
      </w:divBdr>
    </w:div>
    <w:div w:id="662204229">
      <w:bodyDiv w:val="1"/>
      <w:marLeft w:val="0"/>
      <w:marRight w:val="0"/>
      <w:marTop w:val="0"/>
      <w:marBottom w:val="0"/>
      <w:divBdr>
        <w:top w:val="none" w:sz="0" w:space="0" w:color="auto"/>
        <w:left w:val="none" w:sz="0" w:space="0" w:color="auto"/>
        <w:bottom w:val="none" w:sz="0" w:space="0" w:color="auto"/>
        <w:right w:val="none" w:sz="0" w:space="0" w:color="auto"/>
      </w:divBdr>
      <w:divsChild>
        <w:div w:id="235476991">
          <w:marLeft w:val="547"/>
          <w:marRight w:val="0"/>
          <w:marTop w:val="96"/>
          <w:marBottom w:val="0"/>
          <w:divBdr>
            <w:top w:val="none" w:sz="0" w:space="0" w:color="auto"/>
            <w:left w:val="none" w:sz="0" w:space="0" w:color="auto"/>
            <w:bottom w:val="none" w:sz="0" w:space="0" w:color="auto"/>
            <w:right w:val="none" w:sz="0" w:space="0" w:color="auto"/>
          </w:divBdr>
        </w:div>
        <w:div w:id="385226217">
          <w:marLeft w:val="547"/>
          <w:marRight w:val="0"/>
          <w:marTop w:val="96"/>
          <w:marBottom w:val="0"/>
          <w:divBdr>
            <w:top w:val="none" w:sz="0" w:space="0" w:color="auto"/>
            <w:left w:val="none" w:sz="0" w:space="0" w:color="auto"/>
            <w:bottom w:val="none" w:sz="0" w:space="0" w:color="auto"/>
            <w:right w:val="none" w:sz="0" w:space="0" w:color="auto"/>
          </w:divBdr>
        </w:div>
        <w:div w:id="1010520829">
          <w:marLeft w:val="547"/>
          <w:marRight w:val="0"/>
          <w:marTop w:val="96"/>
          <w:marBottom w:val="0"/>
          <w:divBdr>
            <w:top w:val="none" w:sz="0" w:space="0" w:color="auto"/>
            <w:left w:val="none" w:sz="0" w:space="0" w:color="auto"/>
            <w:bottom w:val="none" w:sz="0" w:space="0" w:color="auto"/>
            <w:right w:val="none" w:sz="0" w:space="0" w:color="auto"/>
          </w:divBdr>
        </w:div>
        <w:div w:id="1255238299">
          <w:marLeft w:val="547"/>
          <w:marRight w:val="0"/>
          <w:marTop w:val="96"/>
          <w:marBottom w:val="0"/>
          <w:divBdr>
            <w:top w:val="none" w:sz="0" w:space="0" w:color="auto"/>
            <w:left w:val="none" w:sz="0" w:space="0" w:color="auto"/>
            <w:bottom w:val="none" w:sz="0" w:space="0" w:color="auto"/>
            <w:right w:val="none" w:sz="0" w:space="0" w:color="auto"/>
          </w:divBdr>
        </w:div>
        <w:div w:id="1396515923">
          <w:marLeft w:val="547"/>
          <w:marRight w:val="0"/>
          <w:marTop w:val="96"/>
          <w:marBottom w:val="0"/>
          <w:divBdr>
            <w:top w:val="none" w:sz="0" w:space="0" w:color="auto"/>
            <w:left w:val="none" w:sz="0" w:space="0" w:color="auto"/>
            <w:bottom w:val="none" w:sz="0" w:space="0" w:color="auto"/>
            <w:right w:val="none" w:sz="0" w:space="0" w:color="auto"/>
          </w:divBdr>
        </w:div>
        <w:div w:id="1970864173">
          <w:marLeft w:val="547"/>
          <w:marRight w:val="0"/>
          <w:marTop w:val="96"/>
          <w:marBottom w:val="0"/>
          <w:divBdr>
            <w:top w:val="none" w:sz="0" w:space="0" w:color="auto"/>
            <w:left w:val="none" w:sz="0" w:space="0" w:color="auto"/>
            <w:bottom w:val="none" w:sz="0" w:space="0" w:color="auto"/>
            <w:right w:val="none" w:sz="0" w:space="0" w:color="auto"/>
          </w:divBdr>
        </w:div>
      </w:divsChild>
    </w:div>
    <w:div w:id="666787072">
      <w:bodyDiv w:val="1"/>
      <w:marLeft w:val="0"/>
      <w:marRight w:val="0"/>
      <w:marTop w:val="0"/>
      <w:marBottom w:val="0"/>
      <w:divBdr>
        <w:top w:val="none" w:sz="0" w:space="0" w:color="auto"/>
        <w:left w:val="none" w:sz="0" w:space="0" w:color="auto"/>
        <w:bottom w:val="none" w:sz="0" w:space="0" w:color="auto"/>
        <w:right w:val="none" w:sz="0" w:space="0" w:color="auto"/>
      </w:divBdr>
      <w:divsChild>
        <w:div w:id="192546550">
          <w:marLeft w:val="274"/>
          <w:marRight w:val="0"/>
          <w:marTop w:val="77"/>
          <w:marBottom w:val="0"/>
          <w:divBdr>
            <w:top w:val="none" w:sz="0" w:space="0" w:color="auto"/>
            <w:left w:val="none" w:sz="0" w:space="0" w:color="auto"/>
            <w:bottom w:val="none" w:sz="0" w:space="0" w:color="auto"/>
            <w:right w:val="none" w:sz="0" w:space="0" w:color="auto"/>
          </w:divBdr>
        </w:div>
        <w:div w:id="416748418">
          <w:marLeft w:val="274"/>
          <w:marRight w:val="0"/>
          <w:marTop w:val="77"/>
          <w:marBottom w:val="0"/>
          <w:divBdr>
            <w:top w:val="none" w:sz="0" w:space="0" w:color="auto"/>
            <w:left w:val="none" w:sz="0" w:space="0" w:color="auto"/>
            <w:bottom w:val="none" w:sz="0" w:space="0" w:color="auto"/>
            <w:right w:val="none" w:sz="0" w:space="0" w:color="auto"/>
          </w:divBdr>
        </w:div>
        <w:div w:id="419646073">
          <w:marLeft w:val="274"/>
          <w:marRight w:val="0"/>
          <w:marTop w:val="77"/>
          <w:marBottom w:val="0"/>
          <w:divBdr>
            <w:top w:val="none" w:sz="0" w:space="0" w:color="auto"/>
            <w:left w:val="none" w:sz="0" w:space="0" w:color="auto"/>
            <w:bottom w:val="none" w:sz="0" w:space="0" w:color="auto"/>
            <w:right w:val="none" w:sz="0" w:space="0" w:color="auto"/>
          </w:divBdr>
        </w:div>
        <w:div w:id="505442811">
          <w:marLeft w:val="274"/>
          <w:marRight w:val="0"/>
          <w:marTop w:val="77"/>
          <w:marBottom w:val="0"/>
          <w:divBdr>
            <w:top w:val="none" w:sz="0" w:space="0" w:color="auto"/>
            <w:left w:val="none" w:sz="0" w:space="0" w:color="auto"/>
            <w:bottom w:val="none" w:sz="0" w:space="0" w:color="auto"/>
            <w:right w:val="none" w:sz="0" w:space="0" w:color="auto"/>
          </w:divBdr>
        </w:div>
        <w:div w:id="830675693">
          <w:marLeft w:val="274"/>
          <w:marRight w:val="0"/>
          <w:marTop w:val="77"/>
          <w:marBottom w:val="0"/>
          <w:divBdr>
            <w:top w:val="none" w:sz="0" w:space="0" w:color="auto"/>
            <w:left w:val="none" w:sz="0" w:space="0" w:color="auto"/>
            <w:bottom w:val="none" w:sz="0" w:space="0" w:color="auto"/>
            <w:right w:val="none" w:sz="0" w:space="0" w:color="auto"/>
          </w:divBdr>
        </w:div>
        <w:div w:id="969047142">
          <w:marLeft w:val="274"/>
          <w:marRight w:val="0"/>
          <w:marTop w:val="77"/>
          <w:marBottom w:val="0"/>
          <w:divBdr>
            <w:top w:val="none" w:sz="0" w:space="0" w:color="auto"/>
            <w:left w:val="none" w:sz="0" w:space="0" w:color="auto"/>
            <w:bottom w:val="none" w:sz="0" w:space="0" w:color="auto"/>
            <w:right w:val="none" w:sz="0" w:space="0" w:color="auto"/>
          </w:divBdr>
        </w:div>
        <w:div w:id="1055276082">
          <w:marLeft w:val="274"/>
          <w:marRight w:val="0"/>
          <w:marTop w:val="77"/>
          <w:marBottom w:val="0"/>
          <w:divBdr>
            <w:top w:val="none" w:sz="0" w:space="0" w:color="auto"/>
            <w:left w:val="none" w:sz="0" w:space="0" w:color="auto"/>
            <w:bottom w:val="none" w:sz="0" w:space="0" w:color="auto"/>
            <w:right w:val="none" w:sz="0" w:space="0" w:color="auto"/>
          </w:divBdr>
        </w:div>
        <w:div w:id="1118060110">
          <w:marLeft w:val="274"/>
          <w:marRight w:val="0"/>
          <w:marTop w:val="77"/>
          <w:marBottom w:val="0"/>
          <w:divBdr>
            <w:top w:val="none" w:sz="0" w:space="0" w:color="auto"/>
            <w:left w:val="none" w:sz="0" w:space="0" w:color="auto"/>
            <w:bottom w:val="none" w:sz="0" w:space="0" w:color="auto"/>
            <w:right w:val="none" w:sz="0" w:space="0" w:color="auto"/>
          </w:divBdr>
        </w:div>
        <w:div w:id="1240292419">
          <w:marLeft w:val="274"/>
          <w:marRight w:val="0"/>
          <w:marTop w:val="77"/>
          <w:marBottom w:val="0"/>
          <w:divBdr>
            <w:top w:val="none" w:sz="0" w:space="0" w:color="auto"/>
            <w:left w:val="none" w:sz="0" w:space="0" w:color="auto"/>
            <w:bottom w:val="none" w:sz="0" w:space="0" w:color="auto"/>
            <w:right w:val="none" w:sz="0" w:space="0" w:color="auto"/>
          </w:divBdr>
        </w:div>
        <w:div w:id="1407261612">
          <w:marLeft w:val="274"/>
          <w:marRight w:val="0"/>
          <w:marTop w:val="77"/>
          <w:marBottom w:val="0"/>
          <w:divBdr>
            <w:top w:val="none" w:sz="0" w:space="0" w:color="auto"/>
            <w:left w:val="none" w:sz="0" w:space="0" w:color="auto"/>
            <w:bottom w:val="none" w:sz="0" w:space="0" w:color="auto"/>
            <w:right w:val="none" w:sz="0" w:space="0" w:color="auto"/>
          </w:divBdr>
        </w:div>
        <w:div w:id="1426075019">
          <w:marLeft w:val="274"/>
          <w:marRight w:val="0"/>
          <w:marTop w:val="77"/>
          <w:marBottom w:val="0"/>
          <w:divBdr>
            <w:top w:val="none" w:sz="0" w:space="0" w:color="auto"/>
            <w:left w:val="none" w:sz="0" w:space="0" w:color="auto"/>
            <w:bottom w:val="none" w:sz="0" w:space="0" w:color="auto"/>
            <w:right w:val="none" w:sz="0" w:space="0" w:color="auto"/>
          </w:divBdr>
        </w:div>
        <w:div w:id="1906722116">
          <w:marLeft w:val="274"/>
          <w:marRight w:val="0"/>
          <w:marTop w:val="77"/>
          <w:marBottom w:val="0"/>
          <w:divBdr>
            <w:top w:val="none" w:sz="0" w:space="0" w:color="auto"/>
            <w:left w:val="none" w:sz="0" w:space="0" w:color="auto"/>
            <w:bottom w:val="none" w:sz="0" w:space="0" w:color="auto"/>
            <w:right w:val="none" w:sz="0" w:space="0" w:color="auto"/>
          </w:divBdr>
        </w:div>
      </w:divsChild>
    </w:div>
    <w:div w:id="819813471">
      <w:bodyDiv w:val="1"/>
      <w:marLeft w:val="0"/>
      <w:marRight w:val="0"/>
      <w:marTop w:val="0"/>
      <w:marBottom w:val="0"/>
      <w:divBdr>
        <w:top w:val="none" w:sz="0" w:space="0" w:color="auto"/>
        <w:left w:val="none" w:sz="0" w:space="0" w:color="auto"/>
        <w:bottom w:val="none" w:sz="0" w:space="0" w:color="auto"/>
        <w:right w:val="none" w:sz="0" w:space="0" w:color="auto"/>
      </w:divBdr>
    </w:div>
    <w:div w:id="905841457">
      <w:bodyDiv w:val="1"/>
      <w:marLeft w:val="0"/>
      <w:marRight w:val="0"/>
      <w:marTop w:val="0"/>
      <w:marBottom w:val="0"/>
      <w:divBdr>
        <w:top w:val="none" w:sz="0" w:space="0" w:color="auto"/>
        <w:left w:val="none" w:sz="0" w:space="0" w:color="auto"/>
        <w:bottom w:val="none" w:sz="0" w:space="0" w:color="auto"/>
        <w:right w:val="none" w:sz="0" w:space="0" w:color="auto"/>
      </w:divBdr>
    </w:div>
    <w:div w:id="964313860">
      <w:bodyDiv w:val="1"/>
      <w:marLeft w:val="0"/>
      <w:marRight w:val="0"/>
      <w:marTop w:val="0"/>
      <w:marBottom w:val="0"/>
      <w:divBdr>
        <w:top w:val="none" w:sz="0" w:space="0" w:color="auto"/>
        <w:left w:val="none" w:sz="0" w:space="0" w:color="auto"/>
        <w:bottom w:val="none" w:sz="0" w:space="0" w:color="auto"/>
        <w:right w:val="none" w:sz="0" w:space="0" w:color="auto"/>
      </w:divBdr>
      <w:divsChild>
        <w:div w:id="1230769935">
          <w:marLeft w:val="1267"/>
          <w:marRight w:val="0"/>
          <w:marTop w:val="86"/>
          <w:marBottom w:val="0"/>
          <w:divBdr>
            <w:top w:val="none" w:sz="0" w:space="0" w:color="auto"/>
            <w:left w:val="none" w:sz="0" w:space="0" w:color="auto"/>
            <w:bottom w:val="none" w:sz="0" w:space="0" w:color="auto"/>
            <w:right w:val="none" w:sz="0" w:space="0" w:color="auto"/>
          </w:divBdr>
        </w:div>
      </w:divsChild>
    </w:div>
    <w:div w:id="1183973646">
      <w:bodyDiv w:val="1"/>
      <w:marLeft w:val="0"/>
      <w:marRight w:val="0"/>
      <w:marTop w:val="0"/>
      <w:marBottom w:val="0"/>
      <w:divBdr>
        <w:top w:val="none" w:sz="0" w:space="0" w:color="auto"/>
        <w:left w:val="none" w:sz="0" w:space="0" w:color="auto"/>
        <w:bottom w:val="none" w:sz="0" w:space="0" w:color="auto"/>
        <w:right w:val="none" w:sz="0" w:space="0" w:color="auto"/>
      </w:divBdr>
    </w:div>
    <w:div w:id="1450783481">
      <w:bodyDiv w:val="1"/>
      <w:marLeft w:val="0"/>
      <w:marRight w:val="0"/>
      <w:marTop w:val="0"/>
      <w:marBottom w:val="0"/>
      <w:divBdr>
        <w:top w:val="none" w:sz="0" w:space="0" w:color="auto"/>
        <w:left w:val="none" w:sz="0" w:space="0" w:color="auto"/>
        <w:bottom w:val="none" w:sz="0" w:space="0" w:color="auto"/>
        <w:right w:val="none" w:sz="0" w:space="0" w:color="auto"/>
      </w:divBdr>
      <w:divsChild>
        <w:div w:id="833373930">
          <w:marLeft w:val="1267"/>
          <w:marRight w:val="0"/>
          <w:marTop w:val="86"/>
          <w:marBottom w:val="0"/>
          <w:divBdr>
            <w:top w:val="none" w:sz="0" w:space="0" w:color="auto"/>
            <w:left w:val="none" w:sz="0" w:space="0" w:color="auto"/>
            <w:bottom w:val="none" w:sz="0" w:space="0" w:color="auto"/>
            <w:right w:val="none" w:sz="0" w:space="0" w:color="auto"/>
          </w:divBdr>
        </w:div>
        <w:div w:id="1815027346">
          <w:marLeft w:val="1267"/>
          <w:marRight w:val="0"/>
          <w:marTop w:val="86"/>
          <w:marBottom w:val="0"/>
          <w:divBdr>
            <w:top w:val="none" w:sz="0" w:space="0" w:color="auto"/>
            <w:left w:val="none" w:sz="0" w:space="0" w:color="auto"/>
            <w:bottom w:val="none" w:sz="0" w:space="0" w:color="auto"/>
            <w:right w:val="none" w:sz="0" w:space="0" w:color="auto"/>
          </w:divBdr>
        </w:div>
      </w:divsChild>
    </w:div>
    <w:div w:id="1514418376">
      <w:bodyDiv w:val="1"/>
      <w:marLeft w:val="0"/>
      <w:marRight w:val="0"/>
      <w:marTop w:val="0"/>
      <w:marBottom w:val="0"/>
      <w:divBdr>
        <w:top w:val="none" w:sz="0" w:space="0" w:color="auto"/>
        <w:left w:val="none" w:sz="0" w:space="0" w:color="auto"/>
        <w:bottom w:val="none" w:sz="0" w:space="0" w:color="auto"/>
        <w:right w:val="none" w:sz="0" w:space="0" w:color="auto"/>
      </w:divBdr>
      <w:divsChild>
        <w:div w:id="31924562">
          <w:marLeft w:val="1166"/>
          <w:marRight w:val="0"/>
          <w:marTop w:val="86"/>
          <w:marBottom w:val="0"/>
          <w:divBdr>
            <w:top w:val="none" w:sz="0" w:space="0" w:color="auto"/>
            <w:left w:val="none" w:sz="0" w:space="0" w:color="auto"/>
            <w:bottom w:val="none" w:sz="0" w:space="0" w:color="auto"/>
            <w:right w:val="none" w:sz="0" w:space="0" w:color="auto"/>
          </w:divBdr>
        </w:div>
        <w:div w:id="59602788">
          <w:marLeft w:val="1166"/>
          <w:marRight w:val="0"/>
          <w:marTop w:val="86"/>
          <w:marBottom w:val="0"/>
          <w:divBdr>
            <w:top w:val="none" w:sz="0" w:space="0" w:color="auto"/>
            <w:left w:val="none" w:sz="0" w:space="0" w:color="auto"/>
            <w:bottom w:val="none" w:sz="0" w:space="0" w:color="auto"/>
            <w:right w:val="none" w:sz="0" w:space="0" w:color="auto"/>
          </w:divBdr>
        </w:div>
        <w:div w:id="319312568">
          <w:marLeft w:val="547"/>
          <w:marRight w:val="0"/>
          <w:marTop w:val="96"/>
          <w:marBottom w:val="0"/>
          <w:divBdr>
            <w:top w:val="none" w:sz="0" w:space="0" w:color="auto"/>
            <w:left w:val="none" w:sz="0" w:space="0" w:color="auto"/>
            <w:bottom w:val="none" w:sz="0" w:space="0" w:color="auto"/>
            <w:right w:val="none" w:sz="0" w:space="0" w:color="auto"/>
          </w:divBdr>
        </w:div>
        <w:div w:id="461575781">
          <w:marLeft w:val="547"/>
          <w:marRight w:val="0"/>
          <w:marTop w:val="96"/>
          <w:marBottom w:val="0"/>
          <w:divBdr>
            <w:top w:val="none" w:sz="0" w:space="0" w:color="auto"/>
            <w:left w:val="none" w:sz="0" w:space="0" w:color="auto"/>
            <w:bottom w:val="none" w:sz="0" w:space="0" w:color="auto"/>
            <w:right w:val="none" w:sz="0" w:space="0" w:color="auto"/>
          </w:divBdr>
        </w:div>
        <w:div w:id="1317763820">
          <w:marLeft w:val="547"/>
          <w:marRight w:val="0"/>
          <w:marTop w:val="96"/>
          <w:marBottom w:val="0"/>
          <w:divBdr>
            <w:top w:val="none" w:sz="0" w:space="0" w:color="auto"/>
            <w:left w:val="none" w:sz="0" w:space="0" w:color="auto"/>
            <w:bottom w:val="none" w:sz="0" w:space="0" w:color="auto"/>
            <w:right w:val="none" w:sz="0" w:space="0" w:color="auto"/>
          </w:divBdr>
        </w:div>
        <w:div w:id="1634478944">
          <w:marLeft w:val="1166"/>
          <w:marRight w:val="0"/>
          <w:marTop w:val="86"/>
          <w:marBottom w:val="0"/>
          <w:divBdr>
            <w:top w:val="none" w:sz="0" w:space="0" w:color="auto"/>
            <w:left w:val="none" w:sz="0" w:space="0" w:color="auto"/>
            <w:bottom w:val="none" w:sz="0" w:space="0" w:color="auto"/>
            <w:right w:val="none" w:sz="0" w:space="0" w:color="auto"/>
          </w:divBdr>
        </w:div>
      </w:divsChild>
    </w:div>
    <w:div w:id="1603563691">
      <w:bodyDiv w:val="1"/>
      <w:marLeft w:val="0"/>
      <w:marRight w:val="0"/>
      <w:marTop w:val="0"/>
      <w:marBottom w:val="0"/>
      <w:divBdr>
        <w:top w:val="none" w:sz="0" w:space="0" w:color="auto"/>
        <w:left w:val="none" w:sz="0" w:space="0" w:color="auto"/>
        <w:bottom w:val="none" w:sz="0" w:space="0" w:color="auto"/>
        <w:right w:val="none" w:sz="0" w:space="0" w:color="auto"/>
      </w:divBdr>
    </w:div>
    <w:div w:id="1689286218">
      <w:bodyDiv w:val="1"/>
      <w:marLeft w:val="0"/>
      <w:marRight w:val="0"/>
      <w:marTop w:val="0"/>
      <w:marBottom w:val="0"/>
      <w:divBdr>
        <w:top w:val="none" w:sz="0" w:space="0" w:color="auto"/>
        <w:left w:val="none" w:sz="0" w:space="0" w:color="auto"/>
        <w:bottom w:val="none" w:sz="0" w:space="0" w:color="auto"/>
        <w:right w:val="none" w:sz="0" w:space="0" w:color="auto"/>
      </w:divBdr>
      <w:divsChild>
        <w:div w:id="170024814">
          <w:marLeft w:val="1166"/>
          <w:marRight w:val="0"/>
          <w:marTop w:val="86"/>
          <w:marBottom w:val="0"/>
          <w:divBdr>
            <w:top w:val="none" w:sz="0" w:space="0" w:color="auto"/>
            <w:left w:val="none" w:sz="0" w:space="0" w:color="auto"/>
            <w:bottom w:val="none" w:sz="0" w:space="0" w:color="auto"/>
            <w:right w:val="none" w:sz="0" w:space="0" w:color="auto"/>
          </w:divBdr>
        </w:div>
        <w:div w:id="708184677">
          <w:marLeft w:val="1166"/>
          <w:marRight w:val="0"/>
          <w:marTop w:val="86"/>
          <w:marBottom w:val="0"/>
          <w:divBdr>
            <w:top w:val="none" w:sz="0" w:space="0" w:color="auto"/>
            <w:left w:val="none" w:sz="0" w:space="0" w:color="auto"/>
            <w:bottom w:val="none" w:sz="0" w:space="0" w:color="auto"/>
            <w:right w:val="none" w:sz="0" w:space="0" w:color="auto"/>
          </w:divBdr>
        </w:div>
        <w:div w:id="894389931">
          <w:marLeft w:val="1166"/>
          <w:marRight w:val="0"/>
          <w:marTop w:val="86"/>
          <w:marBottom w:val="0"/>
          <w:divBdr>
            <w:top w:val="none" w:sz="0" w:space="0" w:color="auto"/>
            <w:left w:val="none" w:sz="0" w:space="0" w:color="auto"/>
            <w:bottom w:val="none" w:sz="0" w:space="0" w:color="auto"/>
            <w:right w:val="none" w:sz="0" w:space="0" w:color="auto"/>
          </w:divBdr>
        </w:div>
        <w:div w:id="903178478">
          <w:marLeft w:val="547"/>
          <w:marRight w:val="0"/>
          <w:marTop w:val="96"/>
          <w:marBottom w:val="0"/>
          <w:divBdr>
            <w:top w:val="none" w:sz="0" w:space="0" w:color="auto"/>
            <w:left w:val="none" w:sz="0" w:space="0" w:color="auto"/>
            <w:bottom w:val="none" w:sz="0" w:space="0" w:color="auto"/>
            <w:right w:val="none" w:sz="0" w:space="0" w:color="auto"/>
          </w:divBdr>
        </w:div>
        <w:div w:id="927613683">
          <w:marLeft w:val="1166"/>
          <w:marRight w:val="0"/>
          <w:marTop w:val="86"/>
          <w:marBottom w:val="0"/>
          <w:divBdr>
            <w:top w:val="none" w:sz="0" w:space="0" w:color="auto"/>
            <w:left w:val="none" w:sz="0" w:space="0" w:color="auto"/>
            <w:bottom w:val="none" w:sz="0" w:space="0" w:color="auto"/>
            <w:right w:val="none" w:sz="0" w:space="0" w:color="auto"/>
          </w:divBdr>
        </w:div>
        <w:div w:id="1001352905">
          <w:marLeft w:val="547"/>
          <w:marRight w:val="0"/>
          <w:marTop w:val="96"/>
          <w:marBottom w:val="0"/>
          <w:divBdr>
            <w:top w:val="none" w:sz="0" w:space="0" w:color="auto"/>
            <w:left w:val="none" w:sz="0" w:space="0" w:color="auto"/>
            <w:bottom w:val="none" w:sz="0" w:space="0" w:color="auto"/>
            <w:right w:val="none" w:sz="0" w:space="0" w:color="auto"/>
          </w:divBdr>
        </w:div>
        <w:div w:id="1216551910">
          <w:marLeft w:val="1166"/>
          <w:marRight w:val="0"/>
          <w:marTop w:val="86"/>
          <w:marBottom w:val="0"/>
          <w:divBdr>
            <w:top w:val="none" w:sz="0" w:space="0" w:color="auto"/>
            <w:left w:val="none" w:sz="0" w:space="0" w:color="auto"/>
            <w:bottom w:val="none" w:sz="0" w:space="0" w:color="auto"/>
            <w:right w:val="none" w:sz="0" w:space="0" w:color="auto"/>
          </w:divBdr>
        </w:div>
        <w:div w:id="1334336937">
          <w:marLeft w:val="547"/>
          <w:marRight w:val="0"/>
          <w:marTop w:val="96"/>
          <w:marBottom w:val="0"/>
          <w:divBdr>
            <w:top w:val="none" w:sz="0" w:space="0" w:color="auto"/>
            <w:left w:val="none" w:sz="0" w:space="0" w:color="auto"/>
            <w:bottom w:val="none" w:sz="0" w:space="0" w:color="auto"/>
            <w:right w:val="none" w:sz="0" w:space="0" w:color="auto"/>
          </w:divBdr>
        </w:div>
        <w:div w:id="1735352122">
          <w:marLeft w:val="547"/>
          <w:marRight w:val="0"/>
          <w:marTop w:val="96"/>
          <w:marBottom w:val="0"/>
          <w:divBdr>
            <w:top w:val="none" w:sz="0" w:space="0" w:color="auto"/>
            <w:left w:val="none" w:sz="0" w:space="0" w:color="auto"/>
            <w:bottom w:val="none" w:sz="0" w:space="0" w:color="auto"/>
            <w:right w:val="none" w:sz="0" w:space="0" w:color="auto"/>
          </w:divBdr>
        </w:div>
        <w:div w:id="1890678778">
          <w:marLeft w:val="1166"/>
          <w:marRight w:val="0"/>
          <w:marTop w:val="86"/>
          <w:marBottom w:val="0"/>
          <w:divBdr>
            <w:top w:val="none" w:sz="0" w:space="0" w:color="auto"/>
            <w:left w:val="none" w:sz="0" w:space="0" w:color="auto"/>
            <w:bottom w:val="none" w:sz="0" w:space="0" w:color="auto"/>
            <w:right w:val="none" w:sz="0" w:space="0" w:color="auto"/>
          </w:divBdr>
        </w:div>
        <w:div w:id="1910188530">
          <w:marLeft w:val="547"/>
          <w:marRight w:val="0"/>
          <w:marTop w:val="96"/>
          <w:marBottom w:val="0"/>
          <w:divBdr>
            <w:top w:val="none" w:sz="0" w:space="0" w:color="auto"/>
            <w:left w:val="none" w:sz="0" w:space="0" w:color="auto"/>
            <w:bottom w:val="none" w:sz="0" w:space="0" w:color="auto"/>
            <w:right w:val="none" w:sz="0" w:space="0" w:color="auto"/>
          </w:divBdr>
        </w:div>
      </w:divsChild>
    </w:div>
    <w:div w:id="1771469019">
      <w:bodyDiv w:val="1"/>
      <w:marLeft w:val="0"/>
      <w:marRight w:val="0"/>
      <w:marTop w:val="0"/>
      <w:marBottom w:val="0"/>
      <w:divBdr>
        <w:top w:val="none" w:sz="0" w:space="0" w:color="auto"/>
        <w:left w:val="none" w:sz="0" w:space="0" w:color="auto"/>
        <w:bottom w:val="none" w:sz="0" w:space="0" w:color="auto"/>
        <w:right w:val="none" w:sz="0" w:space="0" w:color="auto"/>
      </w:divBdr>
      <w:divsChild>
        <w:div w:id="147093123">
          <w:marLeft w:val="547"/>
          <w:marRight w:val="0"/>
          <w:marTop w:val="86"/>
          <w:marBottom w:val="0"/>
          <w:divBdr>
            <w:top w:val="none" w:sz="0" w:space="0" w:color="auto"/>
            <w:left w:val="none" w:sz="0" w:space="0" w:color="auto"/>
            <w:bottom w:val="none" w:sz="0" w:space="0" w:color="auto"/>
            <w:right w:val="none" w:sz="0" w:space="0" w:color="auto"/>
          </w:divBdr>
        </w:div>
        <w:div w:id="430395233">
          <w:marLeft w:val="547"/>
          <w:marRight w:val="0"/>
          <w:marTop w:val="86"/>
          <w:marBottom w:val="0"/>
          <w:divBdr>
            <w:top w:val="none" w:sz="0" w:space="0" w:color="auto"/>
            <w:left w:val="none" w:sz="0" w:space="0" w:color="auto"/>
            <w:bottom w:val="none" w:sz="0" w:space="0" w:color="auto"/>
            <w:right w:val="none" w:sz="0" w:space="0" w:color="auto"/>
          </w:divBdr>
        </w:div>
        <w:div w:id="536092260">
          <w:marLeft w:val="547"/>
          <w:marRight w:val="0"/>
          <w:marTop w:val="86"/>
          <w:marBottom w:val="0"/>
          <w:divBdr>
            <w:top w:val="none" w:sz="0" w:space="0" w:color="auto"/>
            <w:left w:val="none" w:sz="0" w:space="0" w:color="auto"/>
            <w:bottom w:val="none" w:sz="0" w:space="0" w:color="auto"/>
            <w:right w:val="none" w:sz="0" w:space="0" w:color="auto"/>
          </w:divBdr>
        </w:div>
        <w:div w:id="930428286">
          <w:marLeft w:val="547"/>
          <w:marRight w:val="0"/>
          <w:marTop w:val="86"/>
          <w:marBottom w:val="0"/>
          <w:divBdr>
            <w:top w:val="none" w:sz="0" w:space="0" w:color="auto"/>
            <w:left w:val="none" w:sz="0" w:space="0" w:color="auto"/>
            <w:bottom w:val="none" w:sz="0" w:space="0" w:color="auto"/>
            <w:right w:val="none" w:sz="0" w:space="0" w:color="auto"/>
          </w:divBdr>
        </w:div>
        <w:div w:id="1332106083">
          <w:marLeft w:val="1166"/>
          <w:marRight w:val="0"/>
          <w:marTop w:val="77"/>
          <w:marBottom w:val="0"/>
          <w:divBdr>
            <w:top w:val="none" w:sz="0" w:space="0" w:color="auto"/>
            <w:left w:val="none" w:sz="0" w:space="0" w:color="auto"/>
            <w:bottom w:val="none" w:sz="0" w:space="0" w:color="auto"/>
            <w:right w:val="none" w:sz="0" w:space="0" w:color="auto"/>
          </w:divBdr>
        </w:div>
        <w:div w:id="1821773216">
          <w:marLeft w:val="547"/>
          <w:marRight w:val="0"/>
          <w:marTop w:val="86"/>
          <w:marBottom w:val="0"/>
          <w:divBdr>
            <w:top w:val="none" w:sz="0" w:space="0" w:color="auto"/>
            <w:left w:val="none" w:sz="0" w:space="0" w:color="auto"/>
            <w:bottom w:val="none" w:sz="0" w:space="0" w:color="auto"/>
            <w:right w:val="none" w:sz="0" w:space="0" w:color="auto"/>
          </w:divBdr>
        </w:div>
        <w:div w:id="1984844090">
          <w:marLeft w:val="1166"/>
          <w:marRight w:val="0"/>
          <w:marTop w:val="77"/>
          <w:marBottom w:val="0"/>
          <w:divBdr>
            <w:top w:val="none" w:sz="0" w:space="0" w:color="auto"/>
            <w:left w:val="none" w:sz="0" w:space="0" w:color="auto"/>
            <w:bottom w:val="none" w:sz="0" w:space="0" w:color="auto"/>
            <w:right w:val="none" w:sz="0" w:space="0" w:color="auto"/>
          </w:divBdr>
        </w:div>
      </w:divsChild>
    </w:div>
    <w:div w:id="1823765927">
      <w:bodyDiv w:val="1"/>
      <w:marLeft w:val="0"/>
      <w:marRight w:val="0"/>
      <w:marTop w:val="0"/>
      <w:marBottom w:val="0"/>
      <w:divBdr>
        <w:top w:val="none" w:sz="0" w:space="0" w:color="auto"/>
        <w:left w:val="none" w:sz="0" w:space="0" w:color="auto"/>
        <w:bottom w:val="none" w:sz="0" w:space="0" w:color="auto"/>
        <w:right w:val="none" w:sz="0" w:space="0" w:color="auto"/>
      </w:divBdr>
      <w:divsChild>
        <w:div w:id="733351473">
          <w:marLeft w:val="547"/>
          <w:marRight w:val="0"/>
          <w:marTop w:val="125"/>
          <w:marBottom w:val="0"/>
          <w:divBdr>
            <w:top w:val="none" w:sz="0" w:space="0" w:color="auto"/>
            <w:left w:val="none" w:sz="0" w:space="0" w:color="auto"/>
            <w:bottom w:val="none" w:sz="0" w:space="0" w:color="auto"/>
            <w:right w:val="none" w:sz="0" w:space="0" w:color="auto"/>
          </w:divBdr>
        </w:div>
        <w:div w:id="301732360">
          <w:marLeft w:val="547"/>
          <w:marRight w:val="0"/>
          <w:marTop w:val="125"/>
          <w:marBottom w:val="0"/>
          <w:divBdr>
            <w:top w:val="none" w:sz="0" w:space="0" w:color="auto"/>
            <w:left w:val="none" w:sz="0" w:space="0" w:color="auto"/>
            <w:bottom w:val="none" w:sz="0" w:space="0" w:color="auto"/>
            <w:right w:val="none" w:sz="0" w:space="0" w:color="auto"/>
          </w:divBdr>
        </w:div>
        <w:div w:id="1504784101">
          <w:marLeft w:val="1166"/>
          <w:marRight w:val="0"/>
          <w:marTop w:val="106"/>
          <w:marBottom w:val="0"/>
          <w:divBdr>
            <w:top w:val="none" w:sz="0" w:space="0" w:color="auto"/>
            <w:left w:val="none" w:sz="0" w:space="0" w:color="auto"/>
            <w:bottom w:val="none" w:sz="0" w:space="0" w:color="auto"/>
            <w:right w:val="none" w:sz="0" w:space="0" w:color="auto"/>
          </w:divBdr>
        </w:div>
        <w:div w:id="2066370769">
          <w:marLeft w:val="547"/>
          <w:marRight w:val="0"/>
          <w:marTop w:val="125"/>
          <w:marBottom w:val="0"/>
          <w:divBdr>
            <w:top w:val="none" w:sz="0" w:space="0" w:color="auto"/>
            <w:left w:val="none" w:sz="0" w:space="0" w:color="auto"/>
            <w:bottom w:val="none" w:sz="0" w:space="0" w:color="auto"/>
            <w:right w:val="none" w:sz="0" w:space="0" w:color="auto"/>
          </w:divBdr>
        </w:div>
        <w:div w:id="1983466033">
          <w:marLeft w:val="1166"/>
          <w:marRight w:val="0"/>
          <w:marTop w:val="106"/>
          <w:marBottom w:val="0"/>
          <w:divBdr>
            <w:top w:val="none" w:sz="0" w:space="0" w:color="auto"/>
            <w:left w:val="none" w:sz="0" w:space="0" w:color="auto"/>
            <w:bottom w:val="none" w:sz="0" w:space="0" w:color="auto"/>
            <w:right w:val="none" w:sz="0" w:space="0" w:color="auto"/>
          </w:divBdr>
        </w:div>
        <w:div w:id="315650125">
          <w:marLeft w:val="1166"/>
          <w:marRight w:val="0"/>
          <w:marTop w:val="106"/>
          <w:marBottom w:val="0"/>
          <w:divBdr>
            <w:top w:val="none" w:sz="0" w:space="0" w:color="auto"/>
            <w:left w:val="none" w:sz="0" w:space="0" w:color="auto"/>
            <w:bottom w:val="none" w:sz="0" w:space="0" w:color="auto"/>
            <w:right w:val="none" w:sz="0" w:space="0" w:color="auto"/>
          </w:divBdr>
        </w:div>
        <w:div w:id="1030882938">
          <w:marLeft w:val="1166"/>
          <w:marRight w:val="0"/>
          <w:marTop w:val="106"/>
          <w:marBottom w:val="0"/>
          <w:divBdr>
            <w:top w:val="none" w:sz="0" w:space="0" w:color="auto"/>
            <w:left w:val="none" w:sz="0" w:space="0" w:color="auto"/>
            <w:bottom w:val="none" w:sz="0" w:space="0" w:color="auto"/>
            <w:right w:val="none" w:sz="0" w:space="0" w:color="auto"/>
          </w:divBdr>
        </w:div>
        <w:div w:id="321543399">
          <w:marLeft w:val="1166"/>
          <w:marRight w:val="0"/>
          <w:marTop w:val="106"/>
          <w:marBottom w:val="0"/>
          <w:divBdr>
            <w:top w:val="none" w:sz="0" w:space="0" w:color="auto"/>
            <w:left w:val="none" w:sz="0" w:space="0" w:color="auto"/>
            <w:bottom w:val="none" w:sz="0" w:space="0" w:color="auto"/>
            <w:right w:val="none" w:sz="0" w:space="0" w:color="auto"/>
          </w:divBdr>
        </w:div>
        <w:div w:id="1497065679">
          <w:marLeft w:val="1166"/>
          <w:marRight w:val="0"/>
          <w:marTop w:val="106"/>
          <w:marBottom w:val="0"/>
          <w:divBdr>
            <w:top w:val="none" w:sz="0" w:space="0" w:color="auto"/>
            <w:left w:val="none" w:sz="0" w:space="0" w:color="auto"/>
            <w:bottom w:val="none" w:sz="0" w:space="0" w:color="auto"/>
            <w:right w:val="none" w:sz="0" w:space="0" w:color="auto"/>
          </w:divBdr>
        </w:div>
        <w:div w:id="1019159563">
          <w:marLeft w:val="1166"/>
          <w:marRight w:val="0"/>
          <w:marTop w:val="106"/>
          <w:marBottom w:val="0"/>
          <w:divBdr>
            <w:top w:val="none" w:sz="0" w:space="0" w:color="auto"/>
            <w:left w:val="none" w:sz="0" w:space="0" w:color="auto"/>
            <w:bottom w:val="none" w:sz="0" w:space="0" w:color="auto"/>
            <w:right w:val="none" w:sz="0" w:space="0" w:color="auto"/>
          </w:divBdr>
        </w:div>
        <w:div w:id="121384415">
          <w:marLeft w:val="1166"/>
          <w:marRight w:val="0"/>
          <w:marTop w:val="106"/>
          <w:marBottom w:val="0"/>
          <w:divBdr>
            <w:top w:val="none" w:sz="0" w:space="0" w:color="auto"/>
            <w:left w:val="none" w:sz="0" w:space="0" w:color="auto"/>
            <w:bottom w:val="none" w:sz="0" w:space="0" w:color="auto"/>
            <w:right w:val="none" w:sz="0" w:space="0" w:color="auto"/>
          </w:divBdr>
        </w:div>
      </w:divsChild>
    </w:div>
    <w:div w:id="2097021396">
      <w:bodyDiv w:val="1"/>
      <w:marLeft w:val="0"/>
      <w:marRight w:val="0"/>
      <w:marTop w:val="0"/>
      <w:marBottom w:val="0"/>
      <w:divBdr>
        <w:top w:val="none" w:sz="0" w:space="0" w:color="auto"/>
        <w:left w:val="none" w:sz="0" w:space="0" w:color="auto"/>
        <w:bottom w:val="none" w:sz="0" w:space="0" w:color="auto"/>
        <w:right w:val="none" w:sz="0" w:space="0" w:color="auto"/>
      </w:divBdr>
      <w:divsChild>
        <w:div w:id="1976794564">
          <w:marLeft w:val="0"/>
          <w:marRight w:val="0"/>
          <w:marTop w:val="0"/>
          <w:marBottom w:val="0"/>
          <w:divBdr>
            <w:top w:val="none" w:sz="0" w:space="0" w:color="auto"/>
            <w:left w:val="none" w:sz="0" w:space="0" w:color="auto"/>
            <w:bottom w:val="none" w:sz="0" w:space="0" w:color="auto"/>
            <w:right w:val="none" w:sz="0" w:space="0" w:color="auto"/>
          </w:divBdr>
          <w:divsChild>
            <w:div w:id="243534765">
              <w:marLeft w:val="0"/>
              <w:marRight w:val="0"/>
              <w:marTop w:val="0"/>
              <w:marBottom w:val="0"/>
              <w:divBdr>
                <w:top w:val="none" w:sz="0" w:space="0" w:color="auto"/>
                <w:left w:val="none" w:sz="0" w:space="0" w:color="auto"/>
                <w:bottom w:val="none" w:sz="0" w:space="0" w:color="auto"/>
                <w:right w:val="none" w:sz="0" w:space="0" w:color="auto"/>
              </w:divBdr>
            </w:div>
            <w:div w:id="376588846">
              <w:marLeft w:val="0"/>
              <w:marRight w:val="0"/>
              <w:marTop w:val="0"/>
              <w:marBottom w:val="0"/>
              <w:divBdr>
                <w:top w:val="none" w:sz="0" w:space="0" w:color="auto"/>
                <w:left w:val="none" w:sz="0" w:space="0" w:color="auto"/>
                <w:bottom w:val="none" w:sz="0" w:space="0" w:color="auto"/>
                <w:right w:val="none" w:sz="0" w:space="0" w:color="auto"/>
              </w:divBdr>
            </w:div>
            <w:div w:id="526867802">
              <w:marLeft w:val="0"/>
              <w:marRight w:val="0"/>
              <w:marTop w:val="0"/>
              <w:marBottom w:val="0"/>
              <w:divBdr>
                <w:top w:val="none" w:sz="0" w:space="0" w:color="auto"/>
                <w:left w:val="none" w:sz="0" w:space="0" w:color="auto"/>
                <w:bottom w:val="none" w:sz="0" w:space="0" w:color="auto"/>
                <w:right w:val="none" w:sz="0" w:space="0" w:color="auto"/>
              </w:divBdr>
            </w:div>
            <w:div w:id="1216357842">
              <w:marLeft w:val="0"/>
              <w:marRight w:val="0"/>
              <w:marTop w:val="0"/>
              <w:marBottom w:val="0"/>
              <w:divBdr>
                <w:top w:val="none" w:sz="0" w:space="0" w:color="auto"/>
                <w:left w:val="none" w:sz="0" w:space="0" w:color="auto"/>
                <w:bottom w:val="none" w:sz="0" w:space="0" w:color="auto"/>
                <w:right w:val="none" w:sz="0" w:space="0" w:color="auto"/>
              </w:divBdr>
            </w:div>
            <w:div w:id="1346903216">
              <w:marLeft w:val="0"/>
              <w:marRight w:val="0"/>
              <w:marTop w:val="0"/>
              <w:marBottom w:val="0"/>
              <w:divBdr>
                <w:top w:val="none" w:sz="0" w:space="0" w:color="auto"/>
                <w:left w:val="none" w:sz="0" w:space="0" w:color="auto"/>
                <w:bottom w:val="none" w:sz="0" w:space="0" w:color="auto"/>
                <w:right w:val="none" w:sz="0" w:space="0" w:color="auto"/>
              </w:divBdr>
            </w:div>
            <w:div w:id="1370569326">
              <w:marLeft w:val="0"/>
              <w:marRight w:val="0"/>
              <w:marTop w:val="0"/>
              <w:marBottom w:val="0"/>
              <w:divBdr>
                <w:top w:val="none" w:sz="0" w:space="0" w:color="auto"/>
                <w:left w:val="none" w:sz="0" w:space="0" w:color="auto"/>
                <w:bottom w:val="none" w:sz="0" w:space="0" w:color="auto"/>
                <w:right w:val="none" w:sz="0" w:space="0" w:color="auto"/>
              </w:divBdr>
            </w:div>
            <w:div w:id="1604917343">
              <w:marLeft w:val="0"/>
              <w:marRight w:val="0"/>
              <w:marTop w:val="0"/>
              <w:marBottom w:val="0"/>
              <w:divBdr>
                <w:top w:val="none" w:sz="0" w:space="0" w:color="auto"/>
                <w:left w:val="none" w:sz="0" w:space="0" w:color="auto"/>
                <w:bottom w:val="none" w:sz="0" w:space="0" w:color="auto"/>
                <w:right w:val="none" w:sz="0" w:space="0" w:color="auto"/>
              </w:divBdr>
            </w:div>
            <w:div w:id="1961716992">
              <w:marLeft w:val="0"/>
              <w:marRight w:val="0"/>
              <w:marTop w:val="0"/>
              <w:marBottom w:val="0"/>
              <w:divBdr>
                <w:top w:val="none" w:sz="0" w:space="0" w:color="auto"/>
                <w:left w:val="none" w:sz="0" w:space="0" w:color="auto"/>
                <w:bottom w:val="none" w:sz="0" w:space="0" w:color="auto"/>
                <w:right w:val="none" w:sz="0" w:space="0" w:color="auto"/>
              </w:divBdr>
            </w:div>
            <w:div w:id="21274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42BD3-D7E1-4D15-9A21-AA330F50E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1454</Words>
  <Characters>8290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9725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Gary Boudreau</cp:lastModifiedBy>
  <cp:revision>2</cp:revision>
  <cp:lastPrinted>2011-11-07T16:11:00Z</cp:lastPrinted>
  <dcterms:created xsi:type="dcterms:W3CDTF">2016-04-01T14:06:00Z</dcterms:created>
  <dcterms:modified xsi:type="dcterms:W3CDTF">2016-04-01T14:06:00Z</dcterms:modified>
</cp:coreProperties>
</file>