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704" w:rsidRPr="00C53197" w:rsidRDefault="003D7704" w:rsidP="003D7704">
      <w:pPr>
        <w:pStyle w:val="Header"/>
        <w:rPr>
          <w:bCs/>
          <w:color w:val="000000"/>
          <w:sz w:val="28"/>
          <w:szCs w:val="28"/>
        </w:rPr>
      </w:pPr>
      <w:bookmarkStart w:id="0" w:name="OLE_LINK3"/>
      <w:bookmarkStart w:id="1" w:name="OLE_LINK1"/>
      <w:bookmarkStart w:id="2" w:name="OLE_LINK11"/>
      <w:r>
        <w:rPr>
          <w:bCs/>
          <w:color w:val="000000"/>
          <w:sz w:val="28"/>
          <w:szCs w:val="28"/>
        </w:rPr>
        <w:t>3GPP TSG RAN WG4 Meeting #66</w:t>
      </w:r>
      <w:r w:rsidR="00523C0B">
        <w:rPr>
          <w:bCs/>
          <w:color w:val="000000"/>
          <w:sz w:val="28"/>
          <w:szCs w:val="28"/>
        </w:rPr>
        <w:t>bis</w:t>
      </w:r>
      <w:r w:rsidRPr="00C53197">
        <w:rPr>
          <w:rFonts w:hint="eastAsia"/>
          <w:bCs/>
          <w:color w:val="000000"/>
          <w:sz w:val="28"/>
          <w:szCs w:val="28"/>
        </w:rPr>
        <w:t xml:space="preserve">                                      </w:t>
      </w:r>
      <w:r w:rsidRPr="00C53197">
        <w:rPr>
          <w:bCs/>
          <w:color w:val="000000"/>
          <w:sz w:val="28"/>
          <w:szCs w:val="28"/>
        </w:rPr>
        <w:tab/>
      </w:r>
      <w:r>
        <w:rPr>
          <w:bCs/>
          <w:color w:val="000000"/>
          <w:sz w:val="28"/>
          <w:szCs w:val="28"/>
        </w:rPr>
        <w:t xml:space="preserve">      R4-13</w:t>
      </w:r>
      <w:r w:rsidR="00523C0B">
        <w:rPr>
          <w:bCs/>
          <w:color w:val="000000"/>
          <w:sz w:val="28"/>
          <w:szCs w:val="28"/>
        </w:rPr>
        <w:t>1788</w:t>
      </w:r>
    </w:p>
    <w:p w:rsidR="00E9706D" w:rsidRDefault="00523C0B" w:rsidP="003D7704">
      <w:pPr>
        <w:pStyle w:val="Header"/>
        <w:rPr>
          <w:bCs/>
          <w:color w:val="000000"/>
          <w:sz w:val="28"/>
          <w:szCs w:val="28"/>
          <w:lang w:val="en-US"/>
        </w:rPr>
      </w:pPr>
      <w:r>
        <w:rPr>
          <w:bCs/>
          <w:color w:val="000000"/>
          <w:sz w:val="28"/>
          <w:szCs w:val="28"/>
          <w:lang w:val="en-US"/>
        </w:rPr>
        <w:t>Chicago, U.S.A.</w:t>
      </w:r>
    </w:p>
    <w:p w:rsidR="003D7704" w:rsidRPr="009E154B" w:rsidRDefault="00523C0B" w:rsidP="003D7704">
      <w:pPr>
        <w:pStyle w:val="Header"/>
        <w:rPr>
          <w:bCs/>
          <w:color w:val="000000"/>
          <w:sz w:val="28"/>
          <w:szCs w:val="28"/>
        </w:rPr>
      </w:pPr>
      <w:r>
        <w:rPr>
          <w:bCs/>
          <w:color w:val="000000"/>
          <w:sz w:val="28"/>
          <w:szCs w:val="28"/>
        </w:rPr>
        <w:t>April 15</w:t>
      </w:r>
      <w:r w:rsidRPr="00523C0B">
        <w:rPr>
          <w:bCs/>
          <w:color w:val="000000"/>
          <w:sz w:val="28"/>
          <w:szCs w:val="28"/>
          <w:vertAlign w:val="superscript"/>
        </w:rPr>
        <w:t>th</w:t>
      </w:r>
      <w:r>
        <w:rPr>
          <w:bCs/>
          <w:color w:val="000000"/>
          <w:sz w:val="28"/>
          <w:szCs w:val="28"/>
        </w:rPr>
        <w:t>-19</w:t>
      </w:r>
      <w:r w:rsidRPr="00523C0B">
        <w:rPr>
          <w:bCs/>
          <w:color w:val="000000"/>
          <w:sz w:val="28"/>
          <w:szCs w:val="28"/>
          <w:vertAlign w:val="superscript"/>
        </w:rPr>
        <w:t>th</w:t>
      </w:r>
      <w:r w:rsidR="003D7704">
        <w:rPr>
          <w:bCs/>
          <w:color w:val="000000"/>
          <w:sz w:val="28"/>
          <w:szCs w:val="28"/>
        </w:rPr>
        <w:t>, 2013</w:t>
      </w:r>
    </w:p>
    <w:p w:rsidR="003D7704" w:rsidRPr="00C53197" w:rsidRDefault="003D7704" w:rsidP="003D7704">
      <w:pPr>
        <w:pStyle w:val="Header"/>
        <w:rPr>
          <w:noProof w:val="0"/>
          <w:color w:val="000000"/>
          <w:sz w:val="28"/>
          <w:szCs w:val="28"/>
          <w:lang w:val="en-US"/>
        </w:rPr>
      </w:pPr>
    </w:p>
    <w:p w:rsidR="003D7704" w:rsidRPr="00F7130D" w:rsidRDefault="003D7704" w:rsidP="003D7704">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523C0B">
        <w:rPr>
          <w:rFonts w:ascii="Arial" w:hAnsi="Arial" w:cs="Arial"/>
          <w:b/>
          <w:szCs w:val="24"/>
        </w:rPr>
        <w:t>8.1.2</w:t>
      </w:r>
    </w:p>
    <w:p w:rsidR="003D7704" w:rsidRDefault="003D7704" w:rsidP="003D7704">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 Mobility</w:t>
      </w:r>
    </w:p>
    <w:p w:rsidR="003D7704" w:rsidRPr="00D73EA6" w:rsidRDefault="003D7704" w:rsidP="003D7704">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523C0B" w:rsidRPr="00523C0B">
        <w:rPr>
          <w:bCs/>
          <w:sz w:val="24"/>
          <w:szCs w:val="24"/>
        </w:rPr>
        <w:t>A-MPR Evaluation for the WCS Band</w:t>
      </w:r>
    </w:p>
    <w:p w:rsidR="003D7704" w:rsidRPr="003D1980" w:rsidRDefault="003D7704" w:rsidP="003D7704">
      <w:pPr>
        <w:pBdr>
          <w:bottom w:val="single" w:sz="6" w:space="1" w:color="auto"/>
        </w:pBdr>
        <w:rPr>
          <w:rFonts w:ascii="Arial" w:hAnsi="Arial"/>
          <w:b/>
          <w:color w:val="000000"/>
        </w:rPr>
      </w:pPr>
      <w:r w:rsidRPr="003D1980">
        <w:rPr>
          <w:rFonts w:ascii="Arial" w:hAnsi="Arial"/>
          <w:b/>
          <w:color w:val="000000"/>
        </w:rPr>
        <w:t>Doc</w:t>
      </w:r>
      <w:r>
        <w:rPr>
          <w:rFonts w:ascii="Arial" w:hAnsi="Arial"/>
          <w:b/>
          <w:color w:val="000000"/>
        </w:rPr>
        <w:t>ument for:   Discussion</w:t>
      </w:r>
    </w:p>
    <w:bookmarkEnd w:id="0"/>
    <w:bookmarkEnd w:id="1"/>
    <w:bookmarkEnd w:id="2"/>
    <w:p w:rsidR="003D7704" w:rsidRDefault="003D7704" w:rsidP="003D7704">
      <w:pPr>
        <w:pStyle w:val="Heading1"/>
        <w:spacing w:after="120"/>
        <w:jc w:val="both"/>
        <w:rPr>
          <w:b/>
          <w:color w:val="000000"/>
        </w:rPr>
      </w:pPr>
      <w:r w:rsidRPr="003D1980">
        <w:rPr>
          <w:b/>
          <w:color w:val="000000"/>
        </w:rPr>
        <w:t>Introduction</w:t>
      </w:r>
    </w:p>
    <w:p w:rsidR="003D7704" w:rsidRDefault="003D7704" w:rsidP="003D7704">
      <w:pPr>
        <w:rPr>
          <w:sz w:val="22"/>
          <w:szCs w:val="22"/>
        </w:rPr>
      </w:pPr>
      <w:r>
        <w:rPr>
          <w:sz w:val="22"/>
          <w:szCs w:val="22"/>
        </w:rPr>
        <w:t>The e</w:t>
      </w:r>
      <w:r w:rsidR="009F4591">
        <w:rPr>
          <w:sz w:val="22"/>
          <w:szCs w:val="22"/>
        </w:rPr>
        <w:t xml:space="preserve">missions requirements for the WCS band are specified in </w:t>
      </w:r>
      <w:r>
        <w:rPr>
          <w:sz w:val="22"/>
          <w:szCs w:val="22"/>
        </w:rPr>
        <w:t xml:space="preserve">FCC order </w:t>
      </w:r>
      <w:r w:rsidR="009F4591">
        <w:rPr>
          <w:sz w:val="22"/>
          <w:szCs w:val="22"/>
        </w:rPr>
        <w:t>12-130 [1]</w:t>
      </w:r>
      <w:r>
        <w:rPr>
          <w:sz w:val="22"/>
          <w:szCs w:val="22"/>
        </w:rPr>
        <w:t>.  In this contribution, simulation results are provided indi</w:t>
      </w:r>
      <w:r w:rsidR="009F4591">
        <w:rPr>
          <w:sz w:val="22"/>
          <w:szCs w:val="22"/>
        </w:rPr>
        <w:t>cating the A-MPR necessary for 5 and 10 MHz LTE carriers in the WCS band to meet the</w:t>
      </w:r>
      <w:r w:rsidR="00A02968">
        <w:rPr>
          <w:sz w:val="22"/>
          <w:szCs w:val="22"/>
        </w:rPr>
        <w:t>se</w:t>
      </w:r>
      <w:r w:rsidR="009F4591">
        <w:rPr>
          <w:sz w:val="22"/>
          <w:szCs w:val="22"/>
        </w:rPr>
        <w:t xml:space="preserve"> emissions requirements</w:t>
      </w:r>
      <w:r>
        <w:rPr>
          <w:sz w:val="22"/>
          <w:szCs w:val="22"/>
        </w:rPr>
        <w:t>.</w:t>
      </w:r>
    </w:p>
    <w:p w:rsidR="003D7704" w:rsidRPr="00D12902" w:rsidRDefault="003D7704" w:rsidP="003D7704">
      <w:pPr>
        <w:pStyle w:val="Heading1"/>
        <w:spacing w:after="120"/>
        <w:jc w:val="both"/>
        <w:rPr>
          <w:b/>
          <w:color w:val="000000"/>
        </w:rPr>
      </w:pPr>
      <w:r>
        <w:rPr>
          <w:b/>
          <w:color w:val="000000"/>
        </w:rPr>
        <w:t>New emissions requirements</w:t>
      </w:r>
    </w:p>
    <w:p w:rsidR="003D7704" w:rsidRDefault="009F4591" w:rsidP="003D7704">
      <w:pPr>
        <w:rPr>
          <w:sz w:val="22"/>
        </w:rPr>
      </w:pPr>
      <w:bookmarkStart w:id="3" w:name="OLE_LINK2"/>
      <w:bookmarkStart w:id="4" w:name="OLE_LINK7"/>
      <w:r>
        <w:rPr>
          <w:sz w:val="22"/>
        </w:rPr>
        <w:t xml:space="preserve">The </w:t>
      </w:r>
      <w:r w:rsidR="003D7704">
        <w:rPr>
          <w:sz w:val="22"/>
        </w:rPr>
        <w:t xml:space="preserve">FCC </w:t>
      </w:r>
      <w:r>
        <w:rPr>
          <w:sz w:val="22"/>
        </w:rPr>
        <w:t xml:space="preserve">order [1] includes the following requirements </w:t>
      </w:r>
      <w:r w:rsidR="00AC146F">
        <w:rPr>
          <w:sz w:val="22"/>
        </w:rPr>
        <w:t xml:space="preserve">for mobile and portable devices </w:t>
      </w:r>
      <w:r>
        <w:rPr>
          <w:sz w:val="22"/>
        </w:rPr>
        <w:t>in Sections 24 and 25:</w:t>
      </w:r>
    </w:p>
    <w:p w:rsidR="009F4591" w:rsidRDefault="009F4591" w:rsidP="003D7704">
      <w:pPr>
        <w:rPr>
          <w:sz w:val="22"/>
        </w:rPr>
      </w:pPr>
    </w:p>
    <w:p w:rsidR="009F4591" w:rsidRPr="009F4591" w:rsidRDefault="009F4591" w:rsidP="009F4591">
      <w:pPr>
        <w:ind w:left="720"/>
        <w:rPr>
          <w:sz w:val="22"/>
          <w:lang w:val="en-US"/>
        </w:rPr>
      </w:pPr>
      <w:r w:rsidRPr="009F4591">
        <w:rPr>
          <w:sz w:val="22"/>
          <w:lang w:val="en-US"/>
        </w:rPr>
        <w:t>24. WCS mobile and portable devices operating in the WCS A and B Blocks and fixed WCS</w:t>
      </w:r>
    </w:p>
    <w:p w:rsidR="009F4591" w:rsidRPr="009F4591" w:rsidRDefault="009F4591" w:rsidP="009F4591">
      <w:pPr>
        <w:ind w:left="720"/>
        <w:rPr>
          <w:sz w:val="22"/>
          <w:lang w:val="en-US"/>
        </w:rPr>
      </w:pPr>
      <w:r w:rsidRPr="009F4591">
        <w:rPr>
          <w:sz w:val="22"/>
          <w:lang w:val="en-US"/>
        </w:rPr>
        <w:t>CPE transmitting with an average EIRP of 2 Watts or less must attenuate their OOBE below the</w:t>
      </w:r>
    </w:p>
    <w:p w:rsidR="009F4591" w:rsidRPr="009F4591" w:rsidRDefault="009F4591" w:rsidP="009F4591">
      <w:pPr>
        <w:ind w:left="720"/>
        <w:rPr>
          <w:sz w:val="22"/>
          <w:lang w:val="en-US"/>
        </w:rPr>
      </w:pPr>
      <w:proofErr w:type="gramStart"/>
      <w:r w:rsidRPr="009F4591">
        <w:rPr>
          <w:sz w:val="22"/>
          <w:lang w:val="en-US"/>
        </w:rPr>
        <w:t>transmitter</w:t>
      </w:r>
      <w:proofErr w:type="gramEnd"/>
      <w:r w:rsidRPr="009F4591">
        <w:rPr>
          <w:sz w:val="22"/>
          <w:lang w:val="en-US"/>
        </w:rPr>
        <w:t xml:space="preserve"> power P as measured over a 1 megahertz bandwidth, by a factor of not less than</w:t>
      </w:r>
    </w:p>
    <w:p w:rsidR="009F4591" w:rsidRPr="009F4591" w:rsidRDefault="009F4591" w:rsidP="009F4591">
      <w:pPr>
        <w:ind w:left="720"/>
        <w:rPr>
          <w:sz w:val="22"/>
          <w:lang w:val="en-US"/>
        </w:rPr>
      </w:pPr>
      <w:r w:rsidRPr="009F4591">
        <w:rPr>
          <w:sz w:val="22"/>
          <w:lang w:val="en-US"/>
        </w:rPr>
        <w:t>43 + 10 log (P) dB on all frequencies between 2305-2320 MHz and between 2345-2360 MHz</w:t>
      </w:r>
    </w:p>
    <w:p w:rsidR="009F4591" w:rsidRPr="009F4591" w:rsidRDefault="009F4591" w:rsidP="009F4591">
      <w:pPr>
        <w:ind w:left="720"/>
        <w:rPr>
          <w:sz w:val="22"/>
          <w:lang w:val="en-US"/>
        </w:rPr>
      </w:pPr>
      <w:r w:rsidRPr="009F4591">
        <w:rPr>
          <w:sz w:val="22"/>
          <w:lang w:val="en-US"/>
        </w:rPr>
        <w:t>that are outside the licensed band(s) of operation, not less than 55 + 10 log (P) dB in the</w:t>
      </w:r>
    </w:p>
    <w:p w:rsidR="009F4591" w:rsidRPr="009F4591" w:rsidRDefault="009F4591" w:rsidP="009F4591">
      <w:pPr>
        <w:ind w:left="720"/>
        <w:rPr>
          <w:sz w:val="22"/>
          <w:lang w:val="en-US"/>
        </w:rPr>
      </w:pPr>
      <w:r w:rsidRPr="009F4591">
        <w:rPr>
          <w:sz w:val="22"/>
          <w:lang w:val="en-US"/>
        </w:rPr>
        <w:t>2320-2324/2341-2345 MHz bands, not less than 61 + 10 log (P) dB in the</w:t>
      </w:r>
    </w:p>
    <w:p w:rsidR="009F4591" w:rsidRPr="009F4591" w:rsidRDefault="009F4591" w:rsidP="009F4591">
      <w:pPr>
        <w:ind w:left="720"/>
        <w:rPr>
          <w:sz w:val="22"/>
          <w:lang w:val="en-US"/>
        </w:rPr>
      </w:pPr>
      <w:r w:rsidRPr="009F4591">
        <w:rPr>
          <w:sz w:val="22"/>
          <w:lang w:val="en-US"/>
        </w:rPr>
        <w:t xml:space="preserve">2324-2328/2337-2341 MHz </w:t>
      </w:r>
      <w:proofErr w:type="gramStart"/>
      <w:r w:rsidRPr="009F4591">
        <w:rPr>
          <w:sz w:val="22"/>
          <w:lang w:val="en-US"/>
        </w:rPr>
        <w:t>bands,</w:t>
      </w:r>
      <w:proofErr w:type="gramEnd"/>
      <w:r w:rsidRPr="009F4591">
        <w:rPr>
          <w:sz w:val="22"/>
          <w:lang w:val="en-US"/>
        </w:rPr>
        <w:t xml:space="preserve"> and not less than 67 + 10 log (P) dB in the 2328-2337 MHz</w:t>
      </w:r>
    </w:p>
    <w:p w:rsidR="009F4591" w:rsidRPr="009F4591" w:rsidRDefault="009F4591" w:rsidP="009F4591">
      <w:pPr>
        <w:ind w:left="720"/>
        <w:rPr>
          <w:sz w:val="22"/>
          <w:lang w:val="en-US"/>
        </w:rPr>
      </w:pPr>
      <w:proofErr w:type="gramStart"/>
      <w:r w:rsidRPr="009F4591">
        <w:rPr>
          <w:sz w:val="22"/>
          <w:lang w:val="en-US"/>
        </w:rPr>
        <w:t>band</w:t>
      </w:r>
      <w:proofErr w:type="gramEnd"/>
      <w:r w:rsidRPr="009F4591">
        <w:rPr>
          <w:sz w:val="22"/>
          <w:lang w:val="en-US"/>
        </w:rPr>
        <w:t>. In addition, WCS mobile and portable devices must attenuate their OOBE below the</w:t>
      </w:r>
    </w:p>
    <w:p w:rsidR="009F4591" w:rsidRPr="009F4591" w:rsidRDefault="009F4591" w:rsidP="009F4591">
      <w:pPr>
        <w:ind w:left="720"/>
        <w:rPr>
          <w:sz w:val="22"/>
          <w:lang w:val="en-US"/>
        </w:rPr>
      </w:pPr>
      <w:r w:rsidRPr="009F4591">
        <w:rPr>
          <w:sz w:val="22"/>
          <w:lang w:val="en-US"/>
        </w:rPr>
        <w:t>transmitter power P by a factor of not less than 43 + 10 log (P) dB in the 2300-2305 and</w:t>
      </w:r>
    </w:p>
    <w:p w:rsidR="009F4591" w:rsidRPr="009F4591" w:rsidRDefault="009F4591" w:rsidP="009F4591">
      <w:pPr>
        <w:ind w:left="720"/>
        <w:rPr>
          <w:sz w:val="22"/>
          <w:lang w:val="en-US"/>
        </w:rPr>
      </w:pPr>
      <w:r w:rsidRPr="009F4591">
        <w:rPr>
          <w:sz w:val="22"/>
          <w:lang w:val="en-US"/>
        </w:rPr>
        <w:t>2360-2365 MHz bands, not less than 55 + 10 log (P) dB in the 2296-2300 MHz band, not less</w:t>
      </w:r>
    </w:p>
    <w:p w:rsidR="009F4591" w:rsidRPr="009F4591" w:rsidRDefault="009F4591" w:rsidP="009F4591">
      <w:pPr>
        <w:ind w:left="720"/>
        <w:rPr>
          <w:sz w:val="22"/>
          <w:lang w:val="en-US"/>
        </w:rPr>
      </w:pPr>
      <w:r w:rsidRPr="009F4591">
        <w:rPr>
          <w:sz w:val="22"/>
          <w:lang w:val="en-US"/>
        </w:rPr>
        <w:t>than 61 + 10 log (P) dB in the 2292-2296 MHz band, not less than 67 + 10 log (P) dB in the</w:t>
      </w:r>
    </w:p>
    <w:p w:rsidR="009F4591" w:rsidRPr="009F4591" w:rsidRDefault="009F4591" w:rsidP="009F4591">
      <w:pPr>
        <w:ind w:left="720"/>
        <w:rPr>
          <w:sz w:val="22"/>
          <w:lang w:val="en-US"/>
        </w:rPr>
      </w:pPr>
      <w:r w:rsidRPr="009F4591">
        <w:rPr>
          <w:sz w:val="22"/>
          <w:lang w:val="en-US"/>
        </w:rPr>
        <w:t xml:space="preserve">2288-2292 MHz </w:t>
      </w:r>
      <w:proofErr w:type="gramStart"/>
      <w:r w:rsidRPr="009F4591">
        <w:rPr>
          <w:sz w:val="22"/>
          <w:lang w:val="en-US"/>
        </w:rPr>
        <w:t>band,</w:t>
      </w:r>
      <w:proofErr w:type="gramEnd"/>
      <w:r w:rsidRPr="009F4591">
        <w:rPr>
          <w:sz w:val="22"/>
          <w:lang w:val="en-US"/>
        </w:rPr>
        <w:t xml:space="preserve"> and not less than 70 + 10 log (P) dB below 2288 MHz and above</w:t>
      </w:r>
    </w:p>
    <w:p w:rsidR="009F4591" w:rsidRDefault="009F4591" w:rsidP="009F4591">
      <w:pPr>
        <w:ind w:left="720"/>
        <w:rPr>
          <w:sz w:val="22"/>
          <w:lang w:val="en-US"/>
        </w:rPr>
      </w:pPr>
      <w:r w:rsidRPr="009F4591">
        <w:rPr>
          <w:sz w:val="22"/>
          <w:lang w:val="en-US"/>
        </w:rPr>
        <w:t xml:space="preserve">2365 </w:t>
      </w:r>
      <w:proofErr w:type="spellStart"/>
      <w:r w:rsidRPr="009F4591">
        <w:rPr>
          <w:sz w:val="22"/>
          <w:lang w:val="en-US"/>
        </w:rPr>
        <w:t>MHz.</w:t>
      </w:r>
      <w:proofErr w:type="spellEnd"/>
    </w:p>
    <w:p w:rsidR="009F4591" w:rsidRPr="009F4591" w:rsidRDefault="009F4591" w:rsidP="009F4591">
      <w:pPr>
        <w:ind w:left="720"/>
        <w:rPr>
          <w:sz w:val="22"/>
          <w:lang w:val="en-US"/>
        </w:rPr>
      </w:pPr>
    </w:p>
    <w:p w:rsidR="009F4591" w:rsidRPr="009F4591" w:rsidRDefault="009F4591" w:rsidP="009F4591">
      <w:pPr>
        <w:ind w:left="720"/>
        <w:rPr>
          <w:sz w:val="22"/>
          <w:lang w:val="en-US"/>
        </w:rPr>
      </w:pPr>
      <w:r w:rsidRPr="009F4591">
        <w:rPr>
          <w:sz w:val="22"/>
          <w:lang w:val="en-US"/>
        </w:rPr>
        <w:t xml:space="preserve">25. Measurement Procedures. The Order on Reconsideration clarified </w:t>
      </w:r>
      <w:proofErr w:type="gramStart"/>
      <w:r w:rsidRPr="009F4591">
        <w:rPr>
          <w:sz w:val="22"/>
          <w:lang w:val="en-US"/>
        </w:rPr>
        <w:t>that measurements</w:t>
      </w:r>
      <w:proofErr w:type="gramEnd"/>
      <w:r w:rsidRPr="009F4591">
        <w:rPr>
          <w:sz w:val="22"/>
          <w:lang w:val="en-US"/>
        </w:rPr>
        <w:t xml:space="preserve"> of</w:t>
      </w:r>
    </w:p>
    <w:p w:rsidR="009F4591" w:rsidRPr="009F4591" w:rsidRDefault="009F4591" w:rsidP="009F4591">
      <w:pPr>
        <w:ind w:left="720"/>
        <w:rPr>
          <w:sz w:val="22"/>
          <w:lang w:val="en-US"/>
        </w:rPr>
      </w:pPr>
      <w:proofErr w:type="gramStart"/>
      <w:r w:rsidRPr="009F4591">
        <w:rPr>
          <w:sz w:val="22"/>
          <w:lang w:val="en-US"/>
        </w:rPr>
        <w:t>the</w:t>
      </w:r>
      <w:proofErr w:type="gramEnd"/>
      <w:r w:rsidRPr="009F4591">
        <w:rPr>
          <w:sz w:val="22"/>
          <w:lang w:val="en-US"/>
        </w:rPr>
        <w:t xml:space="preserve"> OOBE from WCS base, fixed, and fixed CPE stations and WCS mobile and portable devices</w:t>
      </w:r>
    </w:p>
    <w:p w:rsidR="009F4591" w:rsidRPr="009F4591" w:rsidRDefault="009F4591" w:rsidP="009F4591">
      <w:pPr>
        <w:ind w:left="720"/>
        <w:rPr>
          <w:sz w:val="22"/>
          <w:lang w:val="en-US"/>
        </w:rPr>
      </w:pPr>
      <w:proofErr w:type="gramStart"/>
      <w:r w:rsidRPr="009F4591">
        <w:rPr>
          <w:sz w:val="22"/>
          <w:lang w:val="en-US"/>
        </w:rPr>
        <w:t>made</w:t>
      </w:r>
      <w:proofErr w:type="gramEnd"/>
      <w:r w:rsidRPr="009F4591">
        <w:rPr>
          <w:sz w:val="22"/>
          <w:lang w:val="en-US"/>
        </w:rPr>
        <w:t xml:space="preserve"> over a narrower resolution bandwidth than 1 megahertz (e.g., 1 percent of the emission</w:t>
      </w:r>
    </w:p>
    <w:p w:rsidR="009F4591" w:rsidRPr="009F4591" w:rsidRDefault="009F4591" w:rsidP="009F4591">
      <w:pPr>
        <w:ind w:left="720"/>
        <w:rPr>
          <w:sz w:val="22"/>
          <w:lang w:val="en-US"/>
        </w:rPr>
      </w:pPr>
      <w:proofErr w:type="gramStart"/>
      <w:r w:rsidRPr="009F4591">
        <w:rPr>
          <w:sz w:val="22"/>
          <w:lang w:val="en-US"/>
        </w:rPr>
        <w:t>bandwidth</w:t>
      </w:r>
      <w:proofErr w:type="gramEnd"/>
      <w:r w:rsidRPr="009F4591">
        <w:rPr>
          <w:sz w:val="22"/>
          <w:lang w:val="en-US"/>
        </w:rPr>
        <w:t>) must be integrated over the full measurement bandwidth of 1 megahertz to determine</w:t>
      </w:r>
    </w:p>
    <w:p w:rsidR="009F4591" w:rsidRPr="009F4591" w:rsidRDefault="009F4591" w:rsidP="009F4591">
      <w:pPr>
        <w:ind w:left="720"/>
        <w:rPr>
          <w:sz w:val="22"/>
          <w:lang w:val="en-US"/>
        </w:rPr>
      </w:pPr>
      <w:proofErr w:type="gramStart"/>
      <w:r w:rsidRPr="009F4591">
        <w:rPr>
          <w:sz w:val="22"/>
          <w:lang w:val="en-US"/>
        </w:rPr>
        <w:t>compliance</w:t>
      </w:r>
      <w:proofErr w:type="gramEnd"/>
      <w:r w:rsidRPr="009F4591">
        <w:rPr>
          <w:sz w:val="22"/>
          <w:lang w:val="en-US"/>
        </w:rPr>
        <w:t xml:space="preserve"> with the relevant out-of-band emissions limits. Specifically, compliance with the</w:t>
      </w:r>
    </w:p>
    <w:p w:rsidR="009F4591" w:rsidRPr="009F4591" w:rsidRDefault="009F4591" w:rsidP="009F4591">
      <w:pPr>
        <w:ind w:left="720"/>
        <w:rPr>
          <w:sz w:val="22"/>
          <w:lang w:val="en-US"/>
        </w:rPr>
      </w:pPr>
      <w:proofErr w:type="gramStart"/>
      <w:r w:rsidRPr="009F4591">
        <w:rPr>
          <w:sz w:val="22"/>
          <w:lang w:val="en-US"/>
        </w:rPr>
        <w:t>part</w:t>
      </w:r>
      <w:proofErr w:type="gramEnd"/>
      <w:r w:rsidRPr="009F4591">
        <w:rPr>
          <w:sz w:val="22"/>
          <w:lang w:val="en-US"/>
        </w:rPr>
        <w:t xml:space="preserve"> 27 WCS emissions limits rules is based on the use of measurement instrumentation</w:t>
      </w:r>
    </w:p>
    <w:p w:rsidR="009F4591" w:rsidRPr="00AC146F" w:rsidRDefault="009F4591" w:rsidP="009F4591">
      <w:pPr>
        <w:ind w:left="720"/>
        <w:rPr>
          <w:sz w:val="22"/>
          <w:lang w:val="en-US"/>
        </w:rPr>
      </w:pPr>
      <w:proofErr w:type="gramStart"/>
      <w:r w:rsidRPr="009F4591">
        <w:rPr>
          <w:sz w:val="22"/>
          <w:lang w:val="en-US"/>
        </w:rPr>
        <w:t>employing</w:t>
      </w:r>
      <w:proofErr w:type="gramEnd"/>
      <w:r w:rsidRPr="009F4591">
        <w:rPr>
          <w:sz w:val="22"/>
          <w:lang w:val="en-US"/>
        </w:rPr>
        <w:t xml:space="preserve"> a resolution bandwidth of 1 MHz or greater. </w:t>
      </w:r>
      <w:r w:rsidRPr="00AC146F">
        <w:rPr>
          <w:sz w:val="22"/>
          <w:lang w:val="en-US"/>
        </w:rPr>
        <w:t>However, in the 1 MHz bands</w:t>
      </w:r>
    </w:p>
    <w:p w:rsidR="009F4591" w:rsidRPr="00AC146F" w:rsidRDefault="009F4591" w:rsidP="009F4591">
      <w:pPr>
        <w:ind w:left="720"/>
        <w:rPr>
          <w:sz w:val="22"/>
          <w:lang w:val="en-US"/>
        </w:rPr>
      </w:pPr>
      <w:proofErr w:type="gramStart"/>
      <w:r w:rsidRPr="00AC146F">
        <w:rPr>
          <w:sz w:val="22"/>
          <w:lang w:val="en-US"/>
        </w:rPr>
        <w:t>immediately</w:t>
      </w:r>
      <w:proofErr w:type="gramEnd"/>
      <w:r w:rsidRPr="00AC146F">
        <w:rPr>
          <w:sz w:val="22"/>
          <w:lang w:val="en-US"/>
        </w:rPr>
        <w:t xml:space="preserve"> outside and adjacent to the channel blocks at 2305, 2310, 2315, 2320, 2345, 2350,</w:t>
      </w:r>
    </w:p>
    <w:p w:rsidR="009F4591" w:rsidRPr="00AC146F" w:rsidRDefault="009F4591" w:rsidP="009F4591">
      <w:pPr>
        <w:ind w:left="720"/>
        <w:rPr>
          <w:sz w:val="22"/>
          <w:lang w:val="en-US"/>
        </w:rPr>
      </w:pPr>
      <w:r w:rsidRPr="00AC146F">
        <w:rPr>
          <w:sz w:val="22"/>
          <w:lang w:val="en-US"/>
        </w:rPr>
        <w:t>2355, and 2360 MHz, a resolution bandwidth of at least 1 percent of the emission bandwidth of</w:t>
      </w:r>
    </w:p>
    <w:p w:rsidR="009F4591" w:rsidRPr="009F4591" w:rsidRDefault="009F4591" w:rsidP="009F4591">
      <w:pPr>
        <w:ind w:left="720"/>
        <w:rPr>
          <w:sz w:val="22"/>
          <w:lang w:val="en-US"/>
        </w:rPr>
      </w:pPr>
      <w:proofErr w:type="gramStart"/>
      <w:r w:rsidRPr="00AC146F">
        <w:rPr>
          <w:sz w:val="22"/>
          <w:lang w:val="en-US"/>
        </w:rPr>
        <w:t>the</w:t>
      </w:r>
      <w:proofErr w:type="gramEnd"/>
      <w:r w:rsidRPr="00AC146F">
        <w:rPr>
          <w:sz w:val="22"/>
          <w:lang w:val="en-US"/>
        </w:rPr>
        <w:t xml:space="preserve"> fundamental emission of the transmitter may be employed.</w:t>
      </w:r>
      <w:r w:rsidRPr="009F4591">
        <w:rPr>
          <w:sz w:val="22"/>
          <w:lang w:val="en-US"/>
        </w:rPr>
        <w:t xml:space="preserve"> A narrower resolution bandwidth</w:t>
      </w:r>
    </w:p>
    <w:p w:rsidR="009F4591" w:rsidRPr="009F4591" w:rsidRDefault="009F4591" w:rsidP="009F4591">
      <w:pPr>
        <w:ind w:left="720"/>
        <w:rPr>
          <w:sz w:val="22"/>
          <w:lang w:val="en-US"/>
        </w:rPr>
      </w:pPr>
      <w:proofErr w:type="gramStart"/>
      <w:r w:rsidRPr="009F4591">
        <w:rPr>
          <w:sz w:val="22"/>
          <w:lang w:val="en-US"/>
        </w:rPr>
        <w:t>is</w:t>
      </w:r>
      <w:proofErr w:type="gramEnd"/>
      <w:r w:rsidRPr="009F4591">
        <w:rPr>
          <w:sz w:val="22"/>
          <w:lang w:val="en-US"/>
        </w:rPr>
        <w:t xml:space="preserve"> permitted in all cases to improve measurement accuracy provided the measured power is</w:t>
      </w:r>
    </w:p>
    <w:p w:rsidR="009F4591" w:rsidRPr="009F4591" w:rsidRDefault="009F4591" w:rsidP="009F4591">
      <w:pPr>
        <w:ind w:left="720"/>
        <w:rPr>
          <w:sz w:val="22"/>
          <w:lang w:val="en-US"/>
        </w:rPr>
      </w:pPr>
      <w:proofErr w:type="gramStart"/>
      <w:r w:rsidRPr="009F4591">
        <w:rPr>
          <w:sz w:val="22"/>
          <w:lang w:val="en-US"/>
        </w:rPr>
        <w:t>integrated</w:t>
      </w:r>
      <w:proofErr w:type="gramEnd"/>
      <w:r w:rsidRPr="009F4591">
        <w:rPr>
          <w:sz w:val="22"/>
          <w:lang w:val="en-US"/>
        </w:rPr>
        <w:t xml:space="preserve"> over the full required measurement bandwidth (i.e., 1 MHz). The emission bandwidth</w:t>
      </w:r>
    </w:p>
    <w:p w:rsidR="009F4591" w:rsidRPr="009F4591" w:rsidRDefault="009F4591" w:rsidP="009F4591">
      <w:pPr>
        <w:ind w:left="720"/>
        <w:rPr>
          <w:sz w:val="22"/>
          <w:lang w:val="en-US"/>
        </w:rPr>
      </w:pPr>
      <w:proofErr w:type="gramStart"/>
      <w:r w:rsidRPr="009F4591">
        <w:rPr>
          <w:sz w:val="22"/>
          <w:lang w:val="en-US"/>
        </w:rPr>
        <w:t>is</w:t>
      </w:r>
      <w:proofErr w:type="gramEnd"/>
      <w:r w:rsidRPr="009F4591">
        <w:rPr>
          <w:sz w:val="22"/>
          <w:lang w:val="en-US"/>
        </w:rPr>
        <w:t xml:space="preserve"> defined as the width of the signal between two points, one below the carrier center frequency</w:t>
      </w:r>
    </w:p>
    <w:p w:rsidR="009F4591" w:rsidRPr="009F4591" w:rsidRDefault="009F4591" w:rsidP="009F4591">
      <w:pPr>
        <w:ind w:left="720"/>
        <w:rPr>
          <w:sz w:val="22"/>
          <w:lang w:val="en-US"/>
        </w:rPr>
      </w:pPr>
      <w:proofErr w:type="gramStart"/>
      <w:r w:rsidRPr="009F4591">
        <w:rPr>
          <w:sz w:val="22"/>
          <w:lang w:val="en-US"/>
        </w:rPr>
        <w:t>and</w:t>
      </w:r>
      <w:proofErr w:type="gramEnd"/>
      <w:r w:rsidRPr="009F4591">
        <w:rPr>
          <w:sz w:val="22"/>
          <w:lang w:val="en-US"/>
        </w:rPr>
        <w:t xml:space="preserve"> one above the carrier center frequency, outside of which all emissions are attenuated at least</w:t>
      </w:r>
    </w:p>
    <w:p w:rsidR="009F4591" w:rsidRDefault="009F4591" w:rsidP="009F4591">
      <w:pPr>
        <w:ind w:left="720"/>
        <w:rPr>
          <w:sz w:val="22"/>
          <w:lang w:val="en-US"/>
        </w:rPr>
      </w:pPr>
      <w:proofErr w:type="gramStart"/>
      <w:r w:rsidRPr="009F4591">
        <w:rPr>
          <w:sz w:val="22"/>
          <w:lang w:val="en-US"/>
        </w:rPr>
        <w:t>26 dB below the transmitter power</w:t>
      </w:r>
      <w:r w:rsidR="006F586C">
        <w:rPr>
          <w:sz w:val="22"/>
          <w:lang w:val="en-US"/>
        </w:rPr>
        <w:t>.</w:t>
      </w:r>
      <w:proofErr w:type="gramEnd"/>
    </w:p>
    <w:p w:rsidR="006F586C" w:rsidRDefault="006F586C" w:rsidP="00D81485">
      <w:pPr>
        <w:rPr>
          <w:sz w:val="22"/>
          <w:lang w:val="en-US"/>
        </w:rPr>
      </w:pPr>
    </w:p>
    <w:p w:rsidR="00D81485" w:rsidRDefault="00D81485" w:rsidP="00D81485">
      <w:pPr>
        <w:rPr>
          <w:sz w:val="22"/>
          <w:lang w:val="en-US"/>
        </w:rPr>
      </w:pPr>
      <w:r>
        <w:rPr>
          <w:sz w:val="22"/>
          <w:lang w:val="en-US"/>
        </w:rPr>
        <w:t>The above requirements have been summarized in [2] and [3], and are given below</w:t>
      </w:r>
      <w:r w:rsidR="003C27C9">
        <w:rPr>
          <w:sz w:val="22"/>
          <w:lang w:val="en-US"/>
        </w:rPr>
        <w:t>:</w:t>
      </w:r>
    </w:p>
    <w:p w:rsidR="003C27C9" w:rsidRDefault="003C27C9" w:rsidP="00D81485">
      <w:pPr>
        <w:rPr>
          <w:sz w:val="22"/>
          <w:lang w:val="en-US"/>
        </w:rPr>
      </w:pPr>
    </w:p>
    <w:p w:rsidR="003C27C9" w:rsidRDefault="003C27C9" w:rsidP="00D81485">
      <w:pPr>
        <w:rPr>
          <w:sz w:val="22"/>
          <w:lang w:val="en-US"/>
        </w:rPr>
      </w:pPr>
    </w:p>
    <w:p w:rsidR="00D81485" w:rsidRDefault="00D81485" w:rsidP="00D81485">
      <w:pPr>
        <w:rPr>
          <w:sz w:val="22"/>
          <w:lang w:val="en-US"/>
        </w:rPr>
      </w:pPr>
    </w:p>
    <w:p w:rsidR="00D81485" w:rsidRPr="00D81485" w:rsidRDefault="003C27C9" w:rsidP="003C27C9">
      <w:pPr>
        <w:numPr>
          <w:ilvl w:val="0"/>
          <w:numId w:val="35"/>
        </w:numPr>
        <w:spacing w:after="80"/>
        <w:rPr>
          <w:sz w:val="22"/>
        </w:rPr>
      </w:pPr>
      <w:r>
        <w:rPr>
          <w:sz w:val="22"/>
        </w:rPr>
        <w:lastRenderedPageBreak/>
        <w:t xml:space="preserve">–13 </w:t>
      </w:r>
      <w:proofErr w:type="spellStart"/>
      <w:r>
        <w:rPr>
          <w:sz w:val="22"/>
        </w:rPr>
        <w:t>dBm</w:t>
      </w:r>
      <w:proofErr w:type="spellEnd"/>
      <w:r>
        <w:rPr>
          <w:sz w:val="22"/>
        </w:rPr>
        <w:t xml:space="preserve">/(CBW*0.01) within </w:t>
      </w:r>
      <w:r w:rsidR="00D81485" w:rsidRPr="00D81485">
        <w:rPr>
          <w:sz w:val="22"/>
        </w:rPr>
        <w:t xml:space="preserve">+/-1 MHz from </w:t>
      </w:r>
      <w:r>
        <w:rPr>
          <w:sz w:val="22"/>
        </w:rPr>
        <w:t xml:space="preserve">the </w:t>
      </w:r>
      <w:r w:rsidR="00D81485" w:rsidRPr="00D81485">
        <w:rPr>
          <w:sz w:val="22"/>
        </w:rPr>
        <w:t>channel edge</w:t>
      </w:r>
    </w:p>
    <w:p w:rsidR="00D81485" w:rsidRPr="00D81485" w:rsidRDefault="00D81485" w:rsidP="003C27C9">
      <w:pPr>
        <w:numPr>
          <w:ilvl w:val="0"/>
          <w:numId w:val="35"/>
        </w:numPr>
        <w:spacing w:after="80"/>
        <w:rPr>
          <w:sz w:val="22"/>
        </w:rPr>
      </w:pPr>
      <w:r w:rsidRPr="00D81485">
        <w:rPr>
          <w:sz w:val="22"/>
        </w:rPr>
        <w:t xml:space="preserve">–13 </w:t>
      </w:r>
      <w:proofErr w:type="spellStart"/>
      <w:r w:rsidRPr="00D81485">
        <w:rPr>
          <w:sz w:val="22"/>
        </w:rPr>
        <w:t>dBm</w:t>
      </w:r>
      <w:proofErr w:type="spellEnd"/>
      <w:r w:rsidRPr="00D81485">
        <w:rPr>
          <w:sz w:val="22"/>
        </w:rPr>
        <w:t xml:space="preserve">/MHz over frequency range 2300-2320 MHz outside </w:t>
      </w:r>
      <w:r w:rsidR="003C27C9">
        <w:rPr>
          <w:sz w:val="22"/>
        </w:rPr>
        <w:t xml:space="preserve"> of </w:t>
      </w:r>
      <w:r w:rsidRPr="00D81485">
        <w:rPr>
          <w:sz w:val="22"/>
        </w:rPr>
        <w:t xml:space="preserve">+/-1 MHz from </w:t>
      </w:r>
      <w:r w:rsidR="003C27C9">
        <w:rPr>
          <w:sz w:val="22"/>
        </w:rPr>
        <w:t xml:space="preserve">the </w:t>
      </w:r>
      <w:r w:rsidRPr="00D81485">
        <w:rPr>
          <w:sz w:val="22"/>
        </w:rPr>
        <w:t>channel edge</w:t>
      </w:r>
    </w:p>
    <w:p w:rsidR="003C27C9" w:rsidRPr="003C27C9" w:rsidRDefault="00D81485" w:rsidP="003C27C9">
      <w:pPr>
        <w:numPr>
          <w:ilvl w:val="0"/>
          <w:numId w:val="35"/>
        </w:numPr>
        <w:spacing w:after="80"/>
        <w:rPr>
          <w:sz w:val="22"/>
        </w:rPr>
      </w:pPr>
      <w:r w:rsidRPr="00D81485">
        <w:rPr>
          <w:sz w:val="22"/>
        </w:rPr>
        <w:t xml:space="preserve">–25 </w:t>
      </w:r>
      <w:proofErr w:type="spellStart"/>
      <w:r w:rsidRPr="00D81485">
        <w:rPr>
          <w:sz w:val="22"/>
        </w:rPr>
        <w:t>dBm</w:t>
      </w:r>
      <w:proofErr w:type="spellEnd"/>
      <w:r w:rsidRPr="00D81485">
        <w:rPr>
          <w:sz w:val="22"/>
        </w:rPr>
        <w:t xml:space="preserve">/MHz </w:t>
      </w:r>
      <w:r w:rsidR="003C27C9">
        <w:rPr>
          <w:sz w:val="22"/>
        </w:rPr>
        <w:t>in the frequency range</w:t>
      </w:r>
      <w:r w:rsidRPr="00D81485">
        <w:rPr>
          <w:sz w:val="22"/>
        </w:rPr>
        <w:t xml:space="preserve"> 2296-2300 MHz and 2320-2324 MHz</w:t>
      </w:r>
    </w:p>
    <w:p w:rsidR="003C27C9" w:rsidRPr="003C27C9" w:rsidRDefault="00D81485" w:rsidP="003C27C9">
      <w:pPr>
        <w:numPr>
          <w:ilvl w:val="0"/>
          <w:numId w:val="35"/>
        </w:numPr>
        <w:spacing w:after="80"/>
        <w:rPr>
          <w:sz w:val="22"/>
        </w:rPr>
      </w:pPr>
      <w:r w:rsidRPr="00D81485">
        <w:rPr>
          <w:sz w:val="22"/>
        </w:rPr>
        <w:t xml:space="preserve">–31 </w:t>
      </w:r>
      <w:proofErr w:type="spellStart"/>
      <w:r w:rsidRPr="00D81485">
        <w:rPr>
          <w:sz w:val="22"/>
        </w:rPr>
        <w:t>dBm</w:t>
      </w:r>
      <w:proofErr w:type="spellEnd"/>
      <w:r w:rsidRPr="00D81485">
        <w:rPr>
          <w:sz w:val="22"/>
        </w:rPr>
        <w:t xml:space="preserve">/MHz </w:t>
      </w:r>
      <w:r w:rsidR="003C27C9">
        <w:rPr>
          <w:sz w:val="22"/>
        </w:rPr>
        <w:t>in the frequency range</w:t>
      </w:r>
      <w:r w:rsidRPr="00D81485">
        <w:rPr>
          <w:sz w:val="22"/>
        </w:rPr>
        <w:t xml:space="preserve"> 2292-2296 MHz and 2324-2328 MHz</w:t>
      </w:r>
    </w:p>
    <w:p w:rsidR="00D81485" w:rsidRPr="00D81485" w:rsidRDefault="00D81485" w:rsidP="003C27C9">
      <w:pPr>
        <w:numPr>
          <w:ilvl w:val="0"/>
          <w:numId w:val="35"/>
        </w:numPr>
        <w:spacing w:after="80"/>
        <w:rPr>
          <w:sz w:val="22"/>
        </w:rPr>
      </w:pPr>
      <w:r w:rsidRPr="00D81485">
        <w:rPr>
          <w:sz w:val="22"/>
        </w:rPr>
        <w:t xml:space="preserve">–37 </w:t>
      </w:r>
      <w:proofErr w:type="spellStart"/>
      <w:r w:rsidRPr="00D81485">
        <w:rPr>
          <w:sz w:val="22"/>
        </w:rPr>
        <w:t>dBm</w:t>
      </w:r>
      <w:proofErr w:type="spellEnd"/>
      <w:r w:rsidRPr="00D81485">
        <w:rPr>
          <w:sz w:val="22"/>
        </w:rPr>
        <w:t xml:space="preserve">/MHz </w:t>
      </w:r>
      <w:r w:rsidR="003C27C9">
        <w:rPr>
          <w:sz w:val="22"/>
        </w:rPr>
        <w:t>in the frequency range</w:t>
      </w:r>
      <w:r w:rsidRPr="00D81485">
        <w:rPr>
          <w:sz w:val="22"/>
        </w:rPr>
        <w:t xml:space="preserve"> 2288-2292 MHz and 2328-2336 MHz</w:t>
      </w:r>
    </w:p>
    <w:p w:rsidR="00D81485" w:rsidRDefault="00D81485" w:rsidP="003C27C9">
      <w:pPr>
        <w:numPr>
          <w:ilvl w:val="0"/>
          <w:numId w:val="35"/>
        </w:numPr>
        <w:spacing w:after="80"/>
        <w:rPr>
          <w:sz w:val="22"/>
        </w:rPr>
      </w:pPr>
      <w:r w:rsidRPr="00D81485">
        <w:rPr>
          <w:sz w:val="22"/>
        </w:rPr>
        <w:t xml:space="preserve">–40 </w:t>
      </w:r>
      <w:proofErr w:type="spellStart"/>
      <w:r w:rsidRPr="00D81485">
        <w:rPr>
          <w:sz w:val="22"/>
        </w:rPr>
        <w:t>dBm</w:t>
      </w:r>
      <w:proofErr w:type="spellEnd"/>
      <w:r w:rsidRPr="00D81485">
        <w:rPr>
          <w:sz w:val="22"/>
        </w:rPr>
        <w:t xml:space="preserve">/MHz </w:t>
      </w:r>
      <w:r w:rsidR="003C27C9">
        <w:rPr>
          <w:sz w:val="22"/>
        </w:rPr>
        <w:t>for frequencies below</w:t>
      </w:r>
      <w:r w:rsidRPr="00D81485">
        <w:rPr>
          <w:sz w:val="22"/>
        </w:rPr>
        <w:t xml:space="preserve"> 2288 MHz</w:t>
      </w:r>
    </w:p>
    <w:p w:rsidR="003C27C9" w:rsidRDefault="003C27C9" w:rsidP="003C27C9">
      <w:pPr>
        <w:rPr>
          <w:sz w:val="22"/>
        </w:rPr>
      </w:pPr>
    </w:p>
    <w:p w:rsidR="003C27C9" w:rsidRDefault="003C27C9" w:rsidP="003C27C9">
      <w:pPr>
        <w:rPr>
          <w:sz w:val="22"/>
        </w:rPr>
      </w:pPr>
      <w:r>
        <w:rPr>
          <w:sz w:val="22"/>
        </w:rPr>
        <w:t xml:space="preserve">As in [2], an additional constraint </w:t>
      </w:r>
      <w:proofErr w:type="gramStart"/>
      <w:r>
        <w:rPr>
          <w:sz w:val="22"/>
        </w:rPr>
        <w:t xml:space="preserve">of -40 </w:t>
      </w:r>
      <w:proofErr w:type="spellStart"/>
      <w:r>
        <w:rPr>
          <w:sz w:val="22"/>
        </w:rPr>
        <w:t>dBm</w:t>
      </w:r>
      <w:proofErr w:type="spellEnd"/>
      <w:r>
        <w:rPr>
          <w:sz w:val="22"/>
        </w:rPr>
        <w:t>/MHz</w:t>
      </w:r>
      <w:proofErr w:type="gramEnd"/>
      <w:r>
        <w:rPr>
          <w:sz w:val="22"/>
        </w:rPr>
        <w:t xml:space="preserve"> is imposed</w:t>
      </w:r>
      <w:r w:rsidR="00A02968">
        <w:rPr>
          <w:sz w:val="22"/>
        </w:rPr>
        <w:t xml:space="preserve"> for frequencies above 2332 MHz even though the -40 </w:t>
      </w:r>
      <w:proofErr w:type="spellStart"/>
      <w:r w:rsidR="00A02968">
        <w:rPr>
          <w:sz w:val="22"/>
        </w:rPr>
        <w:t>dBm</w:t>
      </w:r>
      <w:proofErr w:type="spellEnd"/>
      <w:r w:rsidR="00A02968">
        <w:rPr>
          <w:sz w:val="22"/>
        </w:rPr>
        <w:t>/MHz requirement is only imposed above 2365 MHz in [1].</w:t>
      </w:r>
    </w:p>
    <w:p w:rsidR="003D7704" w:rsidRDefault="003D7704" w:rsidP="003D7704">
      <w:pPr>
        <w:rPr>
          <w:sz w:val="22"/>
        </w:rPr>
      </w:pPr>
    </w:p>
    <w:p w:rsidR="003D7704" w:rsidRDefault="003D7704" w:rsidP="003D7704">
      <w:pPr>
        <w:rPr>
          <w:sz w:val="22"/>
        </w:rPr>
      </w:pPr>
      <w:r>
        <w:rPr>
          <w:sz w:val="22"/>
        </w:rPr>
        <w:t>In addition to the new requirements, the following existing emissions requirements also apply:</w:t>
      </w:r>
    </w:p>
    <w:p w:rsidR="003D7704" w:rsidRPr="00F9345A" w:rsidRDefault="003D7704" w:rsidP="003D7704">
      <w:pPr>
        <w:rPr>
          <w:sz w:val="22"/>
        </w:rPr>
      </w:pPr>
    </w:p>
    <w:p w:rsidR="003D7704" w:rsidRPr="00F9345A" w:rsidRDefault="003D7704" w:rsidP="003C27C9">
      <w:pPr>
        <w:numPr>
          <w:ilvl w:val="0"/>
          <w:numId w:val="36"/>
        </w:numPr>
        <w:spacing w:after="80"/>
        <w:rPr>
          <w:sz w:val="22"/>
        </w:rPr>
      </w:pPr>
      <w:r w:rsidRPr="00F9345A">
        <w:rPr>
          <w:sz w:val="22"/>
        </w:rPr>
        <w:t>UTRA</w:t>
      </w:r>
      <w:r w:rsidRPr="00F9345A">
        <w:rPr>
          <w:sz w:val="22"/>
          <w:vertAlign w:val="subscript"/>
        </w:rPr>
        <w:t>ACLR1</w:t>
      </w:r>
      <w:r w:rsidRPr="00F9345A">
        <w:rPr>
          <w:sz w:val="22"/>
        </w:rPr>
        <w:t xml:space="preserve"> = 33 dB</w:t>
      </w:r>
    </w:p>
    <w:p w:rsidR="003D7704" w:rsidRPr="00F9345A" w:rsidRDefault="003D7704" w:rsidP="003C27C9">
      <w:pPr>
        <w:numPr>
          <w:ilvl w:val="0"/>
          <w:numId w:val="36"/>
        </w:numPr>
        <w:spacing w:after="80"/>
        <w:rPr>
          <w:sz w:val="22"/>
        </w:rPr>
      </w:pPr>
      <w:r w:rsidRPr="00F9345A">
        <w:rPr>
          <w:sz w:val="22"/>
        </w:rPr>
        <w:t>UTRA</w:t>
      </w:r>
      <w:r w:rsidRPr="00F9345A">
        <w:rPr>
          <w:sz w:val="22"/>
          <w:vertAlign w:val="subscript"/>
        </w:rPr>
        <w:t>ACLR2</w:t>
      </w:r>
      <w:r w:rsidRPr="00F9345A">
        <w:rPr>
          <w:sz w:val="22"/>
        </w:rPr>
        <w:t xml:space="preserve"> = 36 dB</w:t>
      </w:r>
    </w:p>
    <w:p w:rsidR="003D7704" w:rsidRDefault="003D7704" w:rsidP="003C27C9">
      <w:pPr>
        <w:numPr>
          <w:ilvl w:val="0"/>
          <w:numId w:val="36"/>
        </w:numPr>
        <w:spacing w:after="80"/>
        <w:rPr>
          <w:sz w:val="22"/>
        </w:rPr>
      </w:pPr>
      <w:r w:rsidRPr="00F9345A">
        <w:rPr>
          <w:sz w:val="22"/>
        </w:rPr>
        <w:t>E-UTRA</w:t>
      </w:r>
      <w:r w:rsidRPr="00F9345A">
        <w:rPr>
          <w:sz w:val="22"/>
          <w:vertAlign w:val="subscript"/>
        </w:rPr>
        <w:t>ACLR</w:t>
      </w:r>
      <w:r w:rsidRPr="00F9345A">
        <w:rPr>
          <w:sz w:val="22"/>
        </w:rPr>
        <w:t xml:space="preserve"> = 30 dB</w:t>
      </w:r>
    </w:p>
    <w:p w:rsidR="003D7704" w:rsidRDefault="003D7704" w:rsidP="003C27C9">
      <w:pPr>
        <w:numPr>
          <w:ilvl w:val="0"/>
          <w:numId w:val="36"/>
        </w:numPr>
        <w:spacing w:after="80"/>
        <w:rPr>
          <w:sz w:val="22"/>
        </w:rPr>
      </w:pPr>
      <w:r>
        <w:rPr>
          <w:sz w:val="22"/>
        </w:rPr>
        <w:t xml:space="preserve">The spurious emissions requirement above 1 GHz </w:t>
      </w:r>
      <w:proofErr w:type="gramStart"/>
      <w:r>
        <w:rPr>
          <w:sz w:val="22"/>
        </w:rPr>
        <w:t xml:space="preserve">of -30 </w:t>
      </w:r>
      <w:proofErr w:type="spellStart"/>
      <w:r>
        <w:rPr>
          <w:sz w:val="22"/>
        </w:rPr>
        <w:t>dBm</w:t>
      </w:r>
      <w:proofErr w:type="spellEnd"/>
      <w:r>
        <w:rPr>
          <w:sz w:val="22"/>
        </w:rPr>
        <w:t xml:space="preserve">/MHz from Table </w:t>
      </w:r>
      <w:r w:rsidRPr="00FD6C5B">
        <w:rPr>
          <w:sz w:val="22"/>
        </w:rPr>
        <w:t>6.6.3.1-2</w:t>
      </w:r>
      <w:r>
        <w:rPr>
          <w:sz w:val="22"/>
        </w:rPr>
        <w:t xml:space="preserve"> of [1]</w:t>
      </w:r>
      <w:proofErr w:type="gramEnd"/>
      <w:r>
        <w:rPr>
          <w:sz w:val="22"/>
        </w:rPr>
        <w:t>.</w:t>
      </w:r>
    </w:p>
    <w:p w:rsidR="003D7704" w:rsidRPr="00F9345A" w:rsidRDefault="003D7704" w:rsidP="003C27C9">
      <w:pPr>
        <w:numPr>
          <w:ilvl w:val="0"/>
          <w:numId w:val="36"/>
        </w:numPr>
        <w:spacing w:after="80"/>
        <w:rPr>
          <w:sz w:val="22"/>
        </w:rPr>
      </w:pPr>
      <w:r>
        <w:rPr>
          <w:sz w:val="22"/>
        </w:rPr>
        <w:t>The general spectrum emissions requirements in Table 6.6.2.1.1-1 of [1]</w:t>
      </w:r>
    </w:p>
    <w:bookmarkEnd w:id="3"/>
    <w:bookmarkEnd w:id="4"/>
    <w:p w:rsidR="003D7704" w:rsidRDefault="003D7704" w:rsidP="003D7704">
      <w:pPr>
        <w:rPr>
          <w:sz w:val="22"/>
        </w:rPr>
      </w:pPr>
      <w:r>
        <w:rPr>
          <w:sz w:val="22"/>
        </w:rPr>
        <w:t xml:space="preserve"> </w:t>
      </w:r>
    </w:p>
    <w:p w:rsidR="003D7704" w:rsidRPr="006F586C" w:rsidRDefault="006F586C" w:rsidP="003D7704">
      <w:pPr>
        <w:pStyle w:val="Heading1"/>
        <w:spacing w:after="120"/>
        <w:jc w:val="both"/>
        <w:rPr>
          <w:b/>
          <w:color w:val="000000"/>
        </w:rPr>
      </w:pPr>
      <w:r>
        <w:rPr>
          <w:b/>
          <w:color w:val="000000"/>
        </w:rPr>
        <w:t>A-MPR Simulation Results</w:t>
      </w:r>
    </w:p>
    <w:p w:rsidR="003D7704" w:rsidRDefault="003D7704" w:rsidP="003D7704">
      <w:pPr>
        <w:rPr>
          <w:sz w:val="22"/>
        </w:rPr>
      </w:pPr>
      <w:bookmarkStart w:id="5" w:name="OLE_LINK8"/>
      <w:r>
        <w:rPr>
          <w:sz w:val="22"/>
        </w:rPr>
        <w:t xml:space="preserve">Simulations were run for the following LTE carrier bandwidths and </w:t>
      </w:r>
      <w:proofErr w:type="spellStart"/>
      <w:r>
        <w:rPr>
          <w:sz w:val="22"/>
        </w:rPr>
        <w:t>center</w:t>
      </w:r>
      <w:proofErr w:type="spellEnd"/>
      <w:r>
        <w:rPr>
          <w:sz w:val="22"/>
        </w:rPr>
        <w:t xml:space="preserve"> frequencies:</w:t>
      </w:r>
    </w:p>
    <w:p w:rsidR="003D7704" w:rsidRDefault="003D7704" w:rsidP="003D7704">
      <w:pPr>
        <w:rPr>
          <w:sz w:val="22"/>
        </w:rPr>
      </w:pPr>
    </w:p>
    <w:p w:rsidR="003D7704" w:rsidRPr="00923176" w:rsidRDefault="003D7704" w:rsidP="003C27C9">
      <w:pPr>
        <w:numPr>
          <w:ilvl w:val="0"/>
          <w:numId w:val="38"/>
        </w:numPr>
        <w:spacing w:after="80"/>
        <w:rPr>
          <w:sz w:val="22"/>
        </w:rPr>
      </w:pPr>
      <w:r>
        <w:rPr>
          <w:sz w:val="22"/>
        </w:rPr>
        <w:t>5 MHz</w:t>
      </w:r>
      <w:r>
        <w:rPr>
          <w:sz w:val="22"/>
        </w:rPr>
        <w:tab/>
      </w:r>
      <w:r w:rsidR="003C27C9">
        <w:rPr>
          <w:sz w:val="22"/>
        </w:rPr>
        <w:t xml:space="preserve">  </w:t>
      </w:r>
      <w:r>
        <w:rPr>
          <w:sz w:val="22"/>
        </w:rPr>
        <w:t>F</w:t>
      </w:r>
      <w:r w:rsidRPr="00BA32BC">
        <w:rPr>
          <w:sz w:val="22"/>
          <w:vertAlign w:val="subscript"/>
        </w:rPr>
        <w:t>C</w:t>
      </w:r>
      <w:r>
        <w:rPr>
          <w:sz w:val="22"/>
        </w:rPr>
        <w:t xml:space="preserve"> = </w:t>
      </w:r>
      <w:r w:rsidR="006F586C">
        <w:rPr>
          <w:sz w:val="22"/>
        </w:rPr>
        <w:t>2307</w:t>
      </w:r>
      <w:r>
        <w:rPr>
          <w:sz w:val="22"/>
        </w:rPr>
        <w:t>.5</w:t>
      </w:r>
      <w:r w:rsidR="006F586C">
        <w:rPr>
          <w:sz w:val="22"/>
        </w:rPr>
        <w:t xml:space="preserve"> MHz</w:t>
      </w:r>
      <w:r>
        <w:rPr>
          <w:sz w:val="22"/>
        </w:rPr>
        <w:t xml:space="preserve">, </w:t>
      </w:r>
      <w:r w:rsidR="006F586C">
        <w:rPr>
          <w:sz w:val="22"/>
        </w:rPr>
        <w:t>2312.5 MHz</w:t>
      </w:r>
    </w:p>
    <w:p w:rsidR="003D7704" w:rsidRPr="00923176" w:rsidRDefault="003C27C9" w:rsidP="003C27C9">
      <w:pPr>
        <w:numPr>
          <w:ilvl w:val="0"/>
          <w:numId w:val="38"/>
        </w:numPr>
        <w:spacing w:after="80"/>
        <w:rPr>
          <w:sz w:val="22"/>
        </w:rPr>
      </w:pPr>
      <w:r>
        <w:rPr>
          <w:sz w:val="22"/>
        </w:rPr>
        <w:t xml:space="preserve">10 MHz  </w:t>
      </w:r>
      <w:r w:rsidR="003D7704">
        <w:rPr>
          <w:sz w:val="22"/>
        </w:rPr>
        <w:t>F</w:t>
      </w:r>
      <w:r w:rsidR="003D7704" w:rsidRPr="00BA32BC">
        <w:rPr>
          <w:sz w:val="22"/>
          <w:vertAlign w:val="subscript"/>
        </w:rPr>
        <w:t>C</w:t>
      </w:r>
      <w:r w:rsidR="003D7704">
        <w:rPr>
          <w:sz w:val="22"/>
        </w:rPr>
        <w:t xml:space="preserve"> = </w:t>
      </w:r>
      <w:r w:rsidR="006F586C">
        <w:rPr>
          <w:sz w:val="22"/>
        </w:rPr>
        <w:t>2010 MHz</w:t>
      </w:r>
    </w:p>
    <w:p w:rsidR="006F586C" w:rsidRDefault="006F586C" w:rsidP="003D7704">
      <w:pPr>
        <w:rPr>
          <w:sz w:val="22"/>
        </w:rPr>
      </w:pPr>
      <w:bookmarkStart w:id="6" w:name="OLE_LINK4"/>
      <w:bookmarkStart w:id="7" w:name="OLE_LINK9"/>
    </w:p>
    <w:p w:rsidR="003D7704" w:rsidRPr="00F9345A" w:rsidRDefault="003D7704" w:rsidP="003D7704">
      <w:pPr>
        <w:rPr>
          <w:sz w:val="22"/>
        </w:rPr>
      </w:pPr>
      <w:r w:rsidRPr="00F9345A">
        <w:rPr>
          <w:sz w:val="22"/>
        </w:rPr>
        <w:t xml:space="preserve">The impairments used </w:t>
      </w:r>
      <w:r>
        <w:rPr>
          <w:sz w:val="22"/>
        </w:rPr>
        <w:t>in</w:t>
      </w:r>
      <w:r w:rsidRPr="00F9345A">
        <w:rPr>
          <w:sz w:val="22"/>
        </w:rPr>
        <w:t xml:space="preserve"> the simulations were the following:</w:t>
      </w:r>
    </w:p>
    <w:p w:rsidR="003D7704" w:rsidRPr="00F9345A" w:rsidRDefault="003D7704" w:rsidP="003D7704">
      <w:pPr>
        <w:rPr>
          <w:sz w:val="22"/>
        </w:rPr>
      </w:pPr>
    </w:p>
    <w:p w:rsidR="003D7704" w:rsidRPr="00F9345A" w:rsidRDefault="003D7704" w:rsidP="003C27C9">
      <w:pPr>
        <w:numPr>
          <w:ilvl w:val="0"/>
          <w:numId w:val="37"/>
        </w:numPr>
        <w:spacing w:after="80" w:line="276" w:lineRule="auto"/>
        <w:rPr>
          <w:rFonts w:cs="v5.0.0"/>
          <w:sz w:val="22"/>
        </w:rPr>
      </w:pPr>
      <w:r>
        <w:rPr>
          <w:rFonts w:cs="v5.0.0"/>
          <w:sz w:val="22"/>
        </w:rPr>
        <w:t>Modulator IQ</w:t>
      </w:r>
      <w:r w:rsidRPr="00F9345A">
        <w:rPr>
          <w:rFonts w:cs="v5.0.0"/>
          <w:sz w:val="22"/>
        </w:rPr>
        <w:t xml:space="preserve"> image = -2</w:t>
      </w:r>
      <w:r>
        <w:rPr>
          <w:rFonts w:cs="v5.0.0"/>
          <w:sz w:val="22"/>
        </w:rPr>
        <w:t>5</w:t>
      </w:r>
      <w:r w:rsidRPr="00F9345A">
        <w:rPr>
          <w:rFonts w:cs="v5.0.0"/>
          <w:sz w:val="22"/>
        </w:rPr>
        <w:t xml:space="preserve"> dB</w:t>
      </w:r>
    </w:p>
    <w:p w:rsidR="003D7704" w:rsidRPr="00F9345A" w:rsidRDefault="003D7704" w:rsidP="003C27C9">
      <w:pPr>
        <w:numPr>
          <w:ilvl w:val="0"/>
          <w:numId w:val="37"/>
        </w:numPr>
        <w:spacing w:after="80" w:line="276" w:lineRule="auto"/>
        <w:rPr>
          <w:rFonts w:cs="v5.0.0"/>
          <w:sz w:val="22"/>
        </w:rPr>
      </w:pPr>
      <w:r w:rsidRPr="00F9345A">
        <w:rPr>
          <w:rFonts w:cs="v5.0.0"/>
          <w:sz w:val="22"/>
        </w:rPr>
        <w:t>Modulator carrier leakage = -2</w:t>
      </w:r>
      <w:r>
        <w:rPr>
          <w:rFonts w:cs="v5.0.0"/>
          <w:sz w:val="22"/>
        </w:rPr>
        <w:t>5</w:t>
      </w:r>
      <w:r w:rsidRPr="00F9345A">
        <w:rPr>
          <w:rFonts w:cs="v5.0.0"/>
          <w:sz w:val="22"/>
        </w:rPr>
        <w:t xml:space="preserve"> </w:t>
      </w:r>
      <w:proofErr w:type="spellStart"/>
      <w:r w:rsidRPr="00F9345A">
        <w:rPr>
          <w:rFonts w:cs="v5.0.0"/>
          <w:sz w:val="22"/>
        </w:rPr>
        <w:t>dBc</w:t>
      </w:r>
      <w:proofErr w:type="spellEnd"/>
    </w:p>
    <w:p w:rsidR="003D7704" w:rsidRPr="00F9345A" w:rsidRDefault="003D7704" w:rsidP="003C27C9">
      <w:pPr>
        <w:numPr>
          <w:ilvl w:val="0"/>
          <w:numId w:val="37"/>
        </w:numPr>
        <w:spacing w:after="80" w:line="276" w:lineRule="auto"/>
        <w:rPr>
          <w:rFonts w:cs="v5.0.0"/>
          <w:sz w:val="22"/>
        </w:rPr>
      </w:pPr>
      <w:r>
        <w:rPr>
          <w:rFonts w:cs="v5.0.0"/>
          <w:sz w:val="22"/>
        </w:rPr>
        <w:t>Modulator C</w:t>
      </w:r>
      <w:r w:rsidRPr="00F9345A">
        <w:rPr>
          <w:rFonts w:cs="v5.0.0"/>
          <w:sz w:val="22"/>
        </w:rPr>
        <w:t>IM3 = -60</w:t>
      </w:r>
      <w:r w:rsidR="006F586C">
        <w:rPr>
          <w:rFonts w:cs="v5.0.0"/>
          <w:sz w:val="22"/>
        </w:rPr>
        <w:t xml:space="preserve"> </w:t>
      </w:r>
      <w:proofErr w:type="spellStart"/>
      <w:r w:rsidRPr="00F9345A">
        <w:rPr>
          <w:rFonts w:cs="v5.0.0"/>
          <w:sz w:val="22"/>
        </w:rPr>
        <w:t>dBc</w:t>
      </w:r>
      <w:proofErr w:type="spellEnd"/>
    </w:p>
    <w:p w:rsidR="00015C30" w:rsidRDefault="003D7704" w:rsidP="00015C30">
      <w:pPr>
        <w:rPr>
          <w:sz w:val="22"/>
        </w:rPr>
      </w:pPr>
      <w:r>
        <w:rPr>
          <w:sz w:val="22"/>
        </w:rPr>
        <w:t xml:space="preserve">The operating point of the PA was </w:t>
      </w:r>
      <w:r w:rsidR="006F586C">
        <w:rPr>
          <w:sz w:val="22"/>
        </w:rPr>
        <w:t>set such that the UTRA</w:t>
      </w:r>
      <w:r w:rsidR="006F586C" w:rsidRPr="00D42F74">
        <w:rPr>
          <w:sz w:val="22"/>
          <w:vertAlign w:val="subscript"/>
        </w:rPr>
        <w:t>ACLR</w:t>
      </w:r>
      <w:r w:rsidR="006F586C">
        <w:rPr>
          <w:sz w:val="22"/>
          <w:vertAlign w:val="subscript"/>
        </w:rPr>
        <w:t>1</w:t>
      </w:r>
      <w:r w:rsidR="006F586C">
        <w:rPr>
          <w:sz w:val="22"/>
        </w:rPr>
        <w:t>, UTRA</w:t>
      </w:r>
      <w:r w:rsidR="006F586C" w:rsidRPr="00D42F74">
        <w:rPr>
          <w:sz w:val="22"/>
          <w:vertAlign w:val="subscript"/>
        </w:rPr>
        <w:t>ACLR</w:t>
      </w:r>
      <w:r w:rsidR="006F586C">
        <w:rPr>
          <w:sz w:val="22"/>
          <w:vertAlign w:val="subscript"/>
        </w:rPr>
        <w:t>2</w:t>
      </w:r>
      <w:r w:rsidR="006F586C">
        <w:rPr>
          <w:sz w:val="22"/>
        </w:rPr>
        <w:t>, and E-UTRA</w:t>
      </w:r>
      <w:r w:rsidR="006F586C" w:rsidRPr="00D42F74">
        <w:rPr>
          <w:sz w:val="22"/>
          <w:vertAlign w:val="subscript"/>
        </w:rPr>
        <w:t>ACLR</w:t>
      </w:r>
      <w:r w:rsidR="006F586C">
        <w:rPr>
          <w:sz w:val="22"/>
        </w:rPr>
        <w:t xml:space="preserve"> requirements were just met with QPSK modulation and a full RB allocation for the given LTE carrier bandwidth.  </w:t>
      </w:r>
      <w:r w:rsidR="00015C30">
        <w:rPr>
          <w:sz w:val="22"/>
        </w:rPr>
        <w:t>In all cases, the operat</w:t>
      </w:r>
      <w:r w:rsidR="00D81485">
        <w:rPr>
          <w:sz w:val="22"/>
        </w:rPr>
        <w:t xml:space="preserve">ing point was determined by </w:t>
      </w:r>
      <w:r w:rsidR="00015C30">
        <w:rPr>
          <w:sz w:val="22"/>
        </w:rPr>
        <w:t>the UTRA</w:t>
      </w:r>
      <w:r w:rsidR="00015C30" w:rsidRPr="00D42F74">
        <w:rPr>
          <w:sz w:val="22"/>
          <w:vertAlign w:val="subscript"/>
        </w:rPr>
        <w:t>ACLR</w:t>
      </w:r>
      <w:r w:rsidR="00015C30">
        <w:rPr>
          <w:sz w:val="22"/>
          <w:vertAlign w:val="subscript"/>
        </w:rPr>
        <w:t>1</w:t>
      </w:r>
      <w:r w:rsidR="00015C30">
        <w:rPr>
          <w:sz w:val="22"/>
        </w:rPr>
        <w:t xml:space="preserve"> requirement</w:t>
      </w:r>
      <w:r w:rsidR="00D81485">
        <w:rPr>
          <w:sz w:val="22"/>
        </w:rPr>
        <w:t xml:space="preserve"> of 33 dB</w:t>
      </w:r>
      <w:r w:rsidR="00015C30">
        <w:rPr>
          <w:sz w:val="22"/>
        </w:rPr>
        <w:t>.  No duplexer attenuation of emissions was assumed in the simulations.</w:t>
      </w:r>
    </w:p>
    <w:bookmarkEnd w:id="5"/>
    <w:bookmarkEnd w:id="6"/>
    <w:bookmarkEnd w:id="7"/>
    <w:p w:rsidR="00015C30" w:rsidRDefault="00015C30" w:rsidP="003D7704">
      <w:pPr>
        <w:rPr>
          <w:sz w:val="22"/>
        </w:rPr>
      </w:pPr>
    </w:p>
    <w:p w:rsidR="003D7704" w:rsidRPr="00E770D1" w:rsidRDefault="00015C30" w:rsidP="003D7704">
      <w:pPr>
        <w:rPr>
          <w:sz w:val="22"/>
        </w:rPr>
      </w:pPr>
      <w:r>
        <w:rPr>
          <w:sz w:val="22"/>
        </w:rPr>
        <w:t xml:space="preserve">No A-MPR was required for the 5 MHz LTE carriers with </w:t>
      </w:r>
      <w:proofErr w:type="spellStart"/>
      <w:r>
        <w:rPr>
          <w:sz w:val="22"/>
        </w:rPr>
        <w:t>center</w:t>
      </w:r>
      <w:proofErr w:type="spellEnd"/>
      <w:r>
        <w:rPr>
          <w:sz w:val="22"/>
        </w:rPr>
        <w:t xml:space="preserve"> frequencies F</w:t>
      </w:r>
      <w:r w:rsidRPr="00BA32BC">
        <w:rPr>
          <w:sz w:val="22"/>
          <w:vertAlign w:val="subscript"/>
        </w:rPr>
        <w:t>C</w:t>
      </w:r>
      <w:r>
        <w:rPr>
          <w:sz w:val="22"/>
        </w:rPr>
        <w:t xml:space="preserve"> of 2307.5 MHz and 2312.5 MHz, respectively.  A maximum A-MPR of 3 dB was required for </w:t>
      </w:r>
      <w:r w:rsidR="00A02968">
        <w:rPr>
          <w:sz w:val="22"/>
        </w:rPr>
        <w:t>the 10 MHz LTE carrier</w:t>
      </w:r>
      <w:r w:rsidR="00D81485">
        <w:rPr>
          <w:sz w:val="22"/>
        </w:rPr>
        <w:t xml:space="preserve"> with a </w:t>
      </w:r>
      <w:proofErr w:type="spellStart"/>
      <w:r w:rsidR="00D81485">
        <w:rPr>
          <w:sz w:val="22"/>
        </w:rPr>
        <w:t>center</w:t>
      </w:r>
      <w:proofErr w:type="spellEnd"/>
      <w:r w:rsidR="00D81485">
        <w:rPr>
          <w:sz w:val="22"/>
        </w:rPr>
        <w:t xml:space="preserve"> frequency of 2310 </w:t>
      </w:r>
      <w:proofErr w:type="spellStart"/>
      <w:r w:rsidR="00D81485">
        <w:rPr>
          <w:sz w:val="22"/>
        </w:rPr>
        <w:t>MHz.</w:t>
      </w:r>
      <w:proofErr w:type="spellEnd"/>
      <w:r w:rsidR="00AC146F">
        <w:rPr>
          <w:sz w:val="22"/>
        </w:rPr>
        <w:t xml:space="preserve">  The A-MPR needed for the 10 MHz LTE carrier </w:t>
      </w:r>
      <w:proofErr w:type="spellStart"/>
      <w:r w:rsidR="00AC146F">
        <w:rPr>
          <w:sz w:val="22"/>
        </w:rPr>
        <w:t>centered</w:t>
      </w:r>
      <w:proofErr w:type="spellEnd"/>
      <w:r w:rsidR="00AC146F">
        <w:rPr>
          <w:sz w:val="22"/>
        </w:rPr>
        <w:t xml:space="preserve"> at 2010 MHz can be found in Figure 1.</w:t>
      </w:r>
    </w:p>
    <w:p w:rsidR="003D7704" w:rsidRPr="00CB7A85" w:rsidRDefault="003D7704" w:rsidP="003D7704">
      <w:pPr>
        <w:pStyle w:val="Heading1"/>
        <w:spacing w:after="120"/>
        <w:jc w:val="both"/>
        <w:rPr>
          <w:b/>
          <w:color w:val="000000"/>
        </w:rPr>
      </w:pPr>
      <w:r>
        <w:rPr>
          <w:b/>
          <w:color w:val="000000"/>
        </w:rPr>
        <w:t>Conclusion</w:t>
      </w:r>
    </w:p>
    <w:p w:rsidR="003D7704" w:rsidRDefault="003D7704" w:rsidP="003D7704">
      <w:pPr>
        <w:pStyle w:val="Heading1"/>
        <w:numPr>
          <w:ilvl w:val="0"/>
          <w:numId w:val="0"/>
        </w:numPr>
        <w:spacing w:before="0" w:after="120"/>
        <w:jc w:val="both"/>
        <w:rPr>
          <w:rFonts w:ascii="Times New Roman" w:hAnsi="Times New Roman"/>
          <w:sz w:val="22"/>
          <w:szCs w:val="22"/>
        </w:rPr>
      </w:pPr>
      <w:r w:rsidRPr="00B01938">
        <w:rPr>
          <w:rFonts w:ascii="Times New Roman" w:hAnsi="Times New Roman"/>
          <w:sz w:val="22"/>
          <w:szCs w:val="22"/>
        </w:rPr>
        <w:t xml:space="preserve">Simulation </w:t>
      </w:r>
      <w:r>
        <w:rPr>
          <w:rFonts w:ascii="Times New Roman" w:hAnsi="Times New Roman"/>
          <w:sz w:val="22"/>
          <w:szCs w:val="22"/>
        </w:rPr>
        <w:t xml:space="preserve">results have been presented indicating the A-MPR needed to meet the emissions requirements </w:t>
      </w:r>
      <w:r w:rsidR="00D81485">
        <w:rPr>
          <w:rFonts w:ascii="Times New Roman" w:hAnsi="Times New Roman"/>
          <w:sz w:val="22"/>
          <w:szCs w:val="22"/>
        </w:rPr>
        <w:t>specified in [1].</w:t>
      </w:r>
      <w:r>
        <w:rPr>
          <w:rFonts w:ascii="Times New Roman" w:hAnsi="Times New Roman"/>
          <w:sz w:val="22"/>
          <w:szCs w:val="22"/>
        </w:rPr>
        <w:t xml:space="preserve"> It is proposed that these simulation results be included when defining the A-MPR tables for </w:t>
      </w:r>
      <w:r w:rsidR="00D81485">
        <w:rPr>
          <w:rFonts w:ascii="Times New Roman" w:hAnsi="Times New Roman"/>
          <w:sz w:val="22"/>
          <w:szCs w:val="22"/>
        </w:rPr>
        <w:t>the WCS band.</w:t>
      </w:r>
    </w:p>
    <w:p w:rsidR="00AC146F" w:rsidRPr="00AC146F" w:rsidRDefault="00AC146F" w:rsidP="00AC146F"/>
    <w:p w:rsidR="003D7704" w:rsidRPr="00FD6C5B" w:rsidRDefault="003D7704" w:rsidP="003D7704"/>
    <w:p w:rsidR="003D7704" w:rsidRPr="003D1980" w:rsidRDefault="003D7704" w:rsidP="003D7704">
      <w:pPr>
        <w:pStyle w:val="Heading1"/>
        <w:numPr>
          <w:ilvl w:val="0"/>
          <w:numId w:val="0"/>
        </w:numPr>
        <w:spacing w:before="0" w:after="120"/>
        <w:jc w:val="both"/>
        <w:rPr>
          <w:b/>
          <w:color w:val="000000"/>
        </w:rPr>
      </w:pPr>
      <w:bookmarkStart w:id="8" w:name="OLE_LINK6"/>
      <w:bookmarkStart w:id="9" w:name="OLE_LINK10"/>
      <w:bookmarkStart w:id="10" w:name="OLE_LINK5"/>
      <w:r w:rsidRPr="003D1980">
        <w:rPr>
          <w:b/>
          <w:color w:val="000000"/>
        </w:rPr>
        <w:lastRenderedPageBreak/>
        <w:t>References</w:t>
      </w:r>
    </w:p>
    <w:p w:rsidR="003D7704" w:rsidRDefault="003D7704" w:rsidP="003D7704">
      <w:pPr>
        <w:rPr>
          <w:rFonts w:eastAsia="Times New Roman"/>
          <w:bCs/>
          <w:sz w:val="20"/>
          <w:lang w:val="en-US" w:eastAsia="en-US"/>
        </w:rPr>
      </w:pPr>
    </w:p>
    <w:p w:rsidR="003D7704" w:rsidRDefault="003D7704" w:rsidP="003D7704">
      <w:pPr>
        <w:rPr>
          <w:rFonts w:eastAsia="Times New Roman"/>
          <w:bCs/>
          <w:sz w:val="20"/>
          <w:lang w:val="en-US" w:eastAsia="en-US"/>
        </w:rPr>
      </w:pPr>
      <w:r w:rsidRPr="00447F50">
        <w:rPr>
          <w:rFonts w:eastAsia="Times New Roman"/>
          <w:bCs/>
          <w:sz w:val="20"/>
          <w:lang w:val="en-US" w:eastAsia="en-US"/>
        </w:rPr>
        <w:t>[</w:t>
      </w:r>
      <w:r w:rsidR="00D81485">
        <w:rPr>
          <w:rFonts w:eastAsia="Times New Roman"/>
          <w:bCs/>
          <w:sz w:val="20"/>
          <w:lang w:val="en-US" w:eastAsia="en-US"/>
        </w:rPr>
        <w:t>1</w:t>
      </w:r>
      <w:r w:rsidRPr="00447F50">
        <w:rPr>
          <w:rFonts w:eastAsia="Times New Roman"/>
          <w:bCs/>
          <w:sz w:val="20"/>
          <w:lang w:val="en-US" w:eastAsia="en-US"/>
        </w:rPr>
        <w:t>]</w:t>
      </w:r>
      <w:r w:rsidRPr="00447F50">
        <w:rPr>
          <w:rFonts w:eastAsia="Times New Roman"/>
          <w:bCs/>
          <w:sz w:val="20"/>
          <w:lang w:val="en-US" w:eastAsia="en-US"/>
        </w:rPr>
        <w:tab/>
        <w:t xml:space="preserve">FCC </w:t>
      </w:r>
      <w:r w:rsidR="009F4591">
        <w:rPr>
          <w:rFonts w:eastAsia="Times New Roman"/>
          <w:bCs/>
          <w:sz w:val="20"/>
          <w:lang w:val="en-US" w:eastAsia="en-US"/>
        </w:rPr>
        <w:t>12-130</w:t>
      </w:r>
      <w:r w:rsidRPr="00447F50">
        <w:rPr>
          <w:rFonts w:eastAsia="Times New Roman"/>
          <w:bCs/>
          <w:sz w:val="20"/>
          <w:lang w:val="en-US" w:eastAsia="en-US"/>
        </w:rPr>
        <w:t xml:space="preserve">, </w:t>
      </w:r>
      <w:r w:rsidR="009F4591">
        <w:rPr>
          <w:rFonts w:eastAsia="Times New Roman"/>
          <w:bCs/>
          <w:sz w:val="20"/>
          <w:lang w:val="en-US" w:eastAsia="en-US"/>
        </w:rPr>
        <w:t xml:space="preserve">February 11, 2013, </w:t>
      </w:r>
      <w:hyperlink r:id="rId7" w:history="1">
        <w:r w:rsidR="00D81485" w:rsidRPr="00C867E0">
          <w:rPr>
            <w:rStyle w:val="Hyperlink"/>
            <w:rFonts w:eastAsia="MS Gothic"/>
            <w:bCs/>
            <w:kern w:val="0"/>
            <w:sz w:val="20"/>
            <w:lang w:val="en-US" w:eastAsia="en-US"/>
          </w:rPr>
          <w:t>https://federalregister.gov/a/2013-02907</w:t>
        </w:r>
      </w:hyperlink>
    </w:p>
    <w:p w:rsidR="00D81485" w:rsidRDefault="00D81485" w:rsidP="003D7704">
      <w:pPr>
        <w:rPr>
          <w:rFonts w:eastAsia="Times New Roman"/>
          <w:bCs/>
          <w:sz w:val="20"/>
          <w:lang w:val="en-US" w:eastAsia="en-US"/>
        </w:rPr>
      </w:pPr>
    </w:p>
    <w:p w:rsidR="00D81485" w:rsidRPr="00447F50" w:rsidRDefault="00D81485" w:rsidP="00D81485">
      <w:pPr>
        <w:rPr>
          <w:rFonts w:eastAsia="Times New Roman"/>
          <w:bCs/>
          <w:sz w:val="20"/>
          <w:lang w:val="en-US" w:eastAsia="en-US"/>
        </w:rPr>
      </w:pPr>
      <w:r w:rsidRPr="00447F50">
        <w:rPr>
          <w:rFonts w:eastAsia="Times New Roman"/>
          <w:bCs/>
          <w:sz w:val="20"/>
          <w:lang w:val="en-US" w:eastAsia="en-US"/>
        </w:rPr>
        <w:t>[</w:t>
      </w:r>
      <w:r>
        <w:rPr>
          <w:rFonts w:eastAsia="Times New Roman"/>
          <w:bCs/>
          <w:sz w:val="20"/>
          <w:lang w:val="en-US" w:eastAsia="en-US"/>
        </w:rPr>
        <w:t>2</w:t>
      </w:r>
      <w:r w:rsidRPr="00447F50">
        <w:rPr>
          <w:rFonts w:eastAsia="Times New Roman"/>
          <w:bCs/>
          <w:sz w:val="20"/>
          <w:lang w:val="en-US" w:eastAsia="en-US"/>
        </w:rPr>
        <w:t>]</w:t>
      </w:r>
      <w:r w:rsidRPr="00447F50">
        <w:rPr>
          <w:rFonts w:eastAsia="Times New Roman"/>
          <w:bCs/>
          <w:sz w:val="20"/>
          <w:lang w:val="en-US" w:eastAsia="en-US"/>
        </w:rPr>
        <w:tab/>
      </w:r>
      <w:r>
        <w:rPr>
          <w:rFonts w:eastAsia="Times New Roman"/>
          <w:bCs/>
          <w:sz w:val="20"/>
          <w:lang w:val="en-US" w:eastAsia="en-US"/>
        </w:rPr>
        <w:t xml:space="preserve">R4-130518, </w:t>
      </w:r>
      <w:r w:rsidRPr="00D81485">
        <w:rPr>
          <w:rFonts w:eastAsia="Times New Roman"/>
          <w:bCs/>
          <w:sz w:val="20"/>
          <w:lang w:val="en-US" w:eastAsia="en-US"/>
        </w:rPr>
        <w:t xml:space="preserve">A-MPR </w:t>
      </w:r>
      <w:proofErr w:type="gramStart"/>
      <w:r w:rsidRPr="00D81485">
        <w:rPr>
          <w:rFonts w:eastAsia="Times New Roman"/>
          <w:bCs/>
          <w:sz w:val="20"/>
          <w:lang w:val="en-US" w:eastAsia="en-US"/>
        </w:rPr>
        <w:t>study</w:t>
      </w:r>
      <w:proofErr w:type="gramEnd"/>
      <w:r w:rsidRPr="00D81485">
        <w:rPr>
          <w:rFonts w:eastAsia="Times New Roman"/>
          <w:bCs/>
          <w:sz w:val="20"/>
          <w:lang w:val="en-US" w:eastAsia="en-US"/>
        </w:rPr>
        <w:t xml:space="preserve"> for WCS Band</w:t>
      </w:r>
      <w:r>
        <w:rPr>
          <w:rFonts w:eastAsia="Times New Roman"/>
          <w:bCs/>
          <w:sz w:val="20"/>
          <w:lang w:val="en-US" w:eastAsia="en-US"/>
        </w:rPr>
        <w:t>, Nokia, RAN4#66, January 2013.</w:t>
      </w:r>
    </w:p>
    <w:p w:rsidR="00D81485" w:rsidRDefault="00D81485" w:rsidP="003D7704">
      <w:pPr>
        <w:rPr>
          <w:rFonts w:eastAsia="Times New Roman"/>
          <w:bCs/>
          <w:sz w:val="20"/>
          <w:lang w:val="en-US" w:eastAsia="en-US"/>
        </w:rPr>
      </w:pPr>
    </w:p>
    <w:p w:rsidR="00D81485" w:rsidRPr="00447F50" w:rsidRDefault="00D81485" w:rsidP="00D81485">
      <w:pPr>
        <w:ind w:left="720" w:hanging="720"/>
        <w:rPr>
          <w:rFonts w:eastAsia="Times New Roman"/>
          <w:bCs/>
          <w:sz w:val="20"/>
          <w:lang w:val="en-US" w:eastAsia="en-US"/>
        </w:rPr>
      </w:pPr>
      <w:r w:rsidRPr="00447F50">
        <w:rPr>
          <w:rFonts w:eastAsia="Times New Roman"/>
          <w:bCs/>
          <w:sz w:val="20"/>
          <w:lang w:val="en-US" w:eastAsia="en-US"/>
        </w:rPr>
        <w:t>[</w:t>
      </w:r>
      <w:r>
        <w:rPr>
          <w:rFonts w:eastAsia="Times New Roman"/>
          <w:bCs/>
          <w:sz w:val="20"/>
          <w:lang w:val="en-US" w:eastAsia="en-US"/>
        </w:rPr>
        <w:t>3</w:t>
      </w:r>
      <w:r w:rsidRPr="00447F50">
        <w:rPr>
          <w:rFonts w:eastAsia="Times New Roman"/>
          <w:bCs/>
          <w:sz w:val="20"/>
          <w:lang w:val="en-US" w:eastAsia="en-US"/>
        </w:rPr>
        <w:t>]</w:t>
      </w:r>
      <w:r w:rsidRPr="00447F50">
        <w:rPr>
          <w:rFonts w:eastAsia="Times New Roman"/>
          <w:bCs/>
          <w:sz w:val="20"/>
          <w:lang w:val="en-US" w:eastAsia="en-US"/>
        </w:rPr>
        <w:tab/>
      </w:r>
      <w:r>
        <w:rPr>
          <w:rFonts w:eastAsia="Times New Roman"/>
          <w:bCs/>
          <w:sz w:val="20"/>
          <w:lang w:val="en-US" w:eastAsia="en-US"/>
        </w:rPr>
        <w:t xml:space="preserve">R4-130737, </w:t>
      </w:r>
      <w:r w:rsidRPr="00D81485">
        <w:rPr>
          <w:rFonts w:eastAsia="Times New Roman"/>
          <w:bCs/>
          <w:sz w:val="20"/>
          <w:lang w:val="en-US" w:eastAsia="en-US"/>
        </w:rPr>
        <w:t>Regulatory requirements on output power and emissions mask for the WCS band</w:t>
      </w:r>
      <w:r>
        <w:rPr>
          <w:rFonts w:eastAsia="Times New Roman"/>
          <w:bCs/>
          <w:sz w:val="20"/>
          <w:lang w:val="en-US" w:eastAsia="en-US"/>
        </w:rPr>
        <w:t>, Qualcomm, RAN4#66, January 2013</w:t>
      </w:r>
    </w:p>
    <w:p w:rsidR="00D81485" w:rsidRPr="00447F50" w:rsidRDefault="00D81485" w:rsidP="003D7704">
      <w:pPr>
        <w:rPr>
          <w:rFonts w:eastAsia="Times New Roman"/>
          <w:bCs/>
          <w:sz w:val="20"/>
          <w:lang w:val="en-US" w:eastAsia="en-US"/>
        </w:rPr>
      </w:pPr>
    </w:p>
    <w:bookmarkEnd w:id="8"/>
    <w:bookmarkEnd w:id="9"/>
    <w:p w:rsidR="003D7704" w:rsidRPr="0083013B" w:rsidRDefault="003D7704" w:rsidP="003D7704"/>
    <w:bookmarkEnd w:id="10"/>
    <w:p w:rsidR="003D7704" w:rsidRDefault="00A02968" w:rsidP="003D7704">
      <w:pPr>
        <w:spacing w:after="12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3pt;height:284.1pt">
            <v:imagedata r:id="rId8" o:title=""/>
          </v:shape>
        </w:pict>
      </w:r>
    </w:p>
    <w:p w:rsidR="001A4C90" w:rsidRPr="00B10ECF" w:rsidRDefault="001A4C90" w:rsidP="001A4C90">
      <w:pPr>
        <w:pStyle w:val="Caption"/>
        <w:jc w:val="center"/>
        <w:rPr>
          <w:sz w:val="22"/>
        </w:rPr>
      </w:pPr>
      <w:r w:rsidRPr="00B10ECF">
        <w:rPr>
          <w:sz w:val="22"/>
        </w:rPr>
        <w:t xml:space="preserve">Figure 1: </w:t>
      </w:r>
      <w:r>
        <w:rPr>
          <w:sz w:val="22"/>
        </w:rPr>
        <w:t>A-</w:t>
      </w:r>
      <w:r w:rsidRPr="00B10ECF">
        <w:rPr>
          <w:sz w:val="22"/>
        </w:rPr>
        <w:t xml:space="preserve">MPR </w:t>
      </w:r>
      <w:r>
        <w:rPr>
          <w:sz w:val="22"/>
        </w:rPr>
        <w:t xml:space="preserve">vs. resource allocation for a 10 MHz LTE carrier </w:t>
      </w:r>
      <w:proofErr w:type="spellStart"/>
      <w:r>
        <w:rPr>
          <w:sz w:val="22"/>
        </w:rPr>
        <w:t>centered</w:t>
      </w:r>
      <w:proofErr w:type="spellEnd"/>
      <w:r>
        <w:rPr>
          <w:sz w:val="22"/>
        </w:rPr>
        <w:t xml:space="preserve"> at 2310 </w:t>
      </w:r>
      <w:proofErr w:type="spellStart"/>
      <w:r>
        <w:rPr>
          <w:sz w:val="22"/>
        </w:rPr>
        <w:t>MHz.</w:t>
      </w:r>
      <w:proofErr w:type="spellEnd"/>
    </w:p>
    <w:p w:rsidR="001A4C90" w:rsidRPr="00F30A87" w:rsidRDefault="001A4C90" w:rsidP="003D7704">
      <w:pPr>
        <w:spacing w:after="120"/>
        <w:jc w:val="center"/>
        <w:rPr>
          <w:bCs/>
          <w:sz w:val="20"/>
        </w:rPr>
      </w:pPr>
    </w:p>
    <w:sectPr w:rsidR="001A4C90" w:rsidRPr="00F30A87" w:rsidSect="003D7704">
      <w:footerReference w:type="default" r:id="rId9"/>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2A2" w:rsidRDefault="004F32A2">
      <w:r>
        <w:separator/>
      </w:r>
    </w:p>
  </w:endnote>
  <w:endnote w:type="continuationSeparator" w:id="0">
    <w:p w:rsidR="004F32A2" w:rsidRDefault="004F32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DF3" w:rsidRDefault="00580DF3">
    <w:pPr>
      <w:pStyle w:val="Footer"/>
      <w:jc w:val="center"/>
    </w:pPr>
    <w:r>
      <w:rPr>
        <w:rStyle w:val="PageNumber"/>
        <w:rFonts w:eastAsia="MS Gothic"/>
      </w:rPr>
      <w:t xml:space="preserve">- </w:t>
    </w:r>
    <w:r w:rsidR="0090379E">
      <w:rPr>
        <w:rStyle w:val="PageNumber"/>
        <w:rFonts w:eastAsia="MS Gothic"/>
      </w:rPr>
      <w:fldChar w:fldCharType="begin"/>
    </w:r>
    <w:r>
      <w:rPr>
        <w:rStyle w:val="PageNumber"/>
        <w:rFonts w:eastAsia="MS Gothic"/>
      </w:rPr>
      <w:instrText xml:space="preserve"> PAGE </w:instrText>
    </w:r>
    <w:r w:rsidR="0090379E">
      <w:rPr>
        <w:rStyle w:val="PageNumber"/>
        <w:rFonts w:eastAsia="MS Gothic"/>
      </w:rPr>
      <w:fldChar w:fldCharType="separate"/>
    </w:r>
    <w:r w:rsidR="00A02968">
      <w:rPr>
        <w:rStyle w:val="PageNumber"/>
        <w:rFonts w:eastAsia="MS Gothic"/>
        <w:noProof/>
      </w:rPr>
      <w:t>1</w:t>
    </w:r>
    <w:r w:rsidR="0090379E">
      <w:rPr>
        <w:rStyle w:val="PageNumber"/>
        <w:rFonts w:eastAsia="MS Gothic"/>
      </w:rPr>
      <w:fldChar w:fldCharType="end"/>
    </w:r>
    <w:r>
      <w:rPr>
        <w:rStyle w:val="PageNumber"/>
        <w:rFonts w:eastAsia="MS Gothic"/>
      </w:rPr>
      <w:t>/</w:t>
    </w:r>
    <w:r w:rsidR="0090379E">
      <w:rPr>
        <w:rStyle w:val="PageNumber"/>
        <w:rFonts w:eastAsia="MS Gothic"/>
      </w:rPr>
      <w:fldChar w:fldCharType="begin"/>
    </w:r>
    <w:r>
      <w:rPr>
        <w:rStyle w:val="PageNumber"/>
        <w:rFonts w:eastAsia="MS Gothic"/>
      </w:rPr>
      <w:instrText xml:space="preserve"> NUMPAGES </w:instrText>
    </w:r>
    <w:r w:rsidR="0090379E">
      <w:rPr>
        <w:rStyle w:val="PageNumber"/>
        <w:rFonts w:eastAsia="MS Gothic"/>
      </w:rPr>
      <w:fldChar w:fldCharType="separate"/>
    </w:r>
    <w:r w:rsidR="00A02968">
      <w:rPr>
        <w:rStyle w:val="PageNumber"/>
        <w:rFonts w:eastAsia="MS Gothic"/>
        <w:noProof/>
      </w:rPr>
      <w:t>3</w:t>
    </w:r>
    <w:r w:rsidR="0090379E">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2A2" w:rsidRDefault="004F32A2">
      <w:r>
        <w:separator/>
      </w:r>
    </w:p>
  </w:footnote>
  <w:footnote w:type="continuationSeparator" w:id="0">
    <w:p w:rsidR="004F32A2" w:rsidRDefault="004F3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522F7"/>
    <w:multiLevelType w:val="hybridMultilevel"/>
    <w:tmpl w:val="14FE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Arial"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Arial"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Arial"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7">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2C2B54"/>
    <w:multiLevelType w:val="hybridMultilevel"/>
    <w:tmpl w:val="E4866C52"/>
    <w:lvl w:ilvl="0" w:tplc="52AC1638">
      <w:numFmt w:val="bullet"/>
      <w:lvlText w:val="•"/>
      <w:lvlJc w:val="left"/>
      <w:pPr>
        <w:ind w:left="1080" w:hanging="72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88D6AA2"/>
    <w:multiLevelType w:val="hybridMultilevel"/>
    <w:tmpl w:val="274010A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0" w:hanging="360"/>
      </w:pPr>
      <w:rPr>
        <w:rFonts w:ascii="Symbol" w:hAnsi="Symbol" w:hint="default"/>
      </w:rPr>
    </w:lvl>
    <w:lvl w:ilvl="4" w:tplc="04090003" w:tentative="1">
      <w:start w:val="1"/>
      <w:numFmt w:val="bullet"/>
      <w:lvlText w:val="o"/>
      <w:lvlJc w:val="left"/>
      <w:pPr>
        <w:ind w:left="720" w:hanging="360"/>
      </w:pPr>
      <w:rPr>
        <w:rFonts w:ascii="Courier New" w:hAnsi="Courier New" w:cs="Arial" w:hint="default"/>
      </w:rPr>
    </w:lvl>
    <w:lvl w:ilvl="5" w:tplc="04090005" w:tentative="1">
      <w:start w:val="1"/>
      <w:numFmt w:val="bullet"/>
      <w:lvlText w:val=""/>
      <w:lvlJc w:val="left"/>
      <w:pPr>
        <w:ind w:left="1440" w:hanging="360"/>
      </w:pPr>
      <w:rPr>
        <w:rFonts w:ascii="Wingdings" w:hAnsi="Wingdings" w:hint="default"/>
      </w:rPr>
    </w:lvl>
    <w:lvl w:ilvl="6" w:tplc="04090001" w:tentative="1">
      <w:start w:val="1"/>
      <w:numFmt w:val="bullet"/>
      <w:lvlText w:val=""/>
      <w:lvlJc w:val="left"/>
      <w:pPr>
        <w:ind w:left="2160" w:hanging="360"/>
      </w:pPr>
      <w:rPr>
        <w:rFonts w:ascii="Symbol" w:hAnsi="Symbol" w:hint="default"/>
      </w:rPr>
    </w:lvl>
    <w:lvl w:ilvl="7" w:tplc="04090003" w:tentative="1">
      <w:start w:val="1"/>
      <w:numFmt w:val="bullet"/>
      <w:lvlText w:val="o"/>
      <w:lvlJc w:val="left"/>
      <w:pPr>
        <w:ind w:left="2880" w:hanging="360"/>
      </w:pPr>
      <w:rPr>
        <w:rFonts w:ascii="Courier New" w:hAnsi="Courier New" w:cs="Arial" w:hint="default"/>
      </w:rPr>
    </w:lvl>
    <w:lvl w:ilvl="8" w:tplc="04090005" w:tentative="1">
      <w:start w:val="1"/>
      <w:numFmt w:val="bullet"/>
      <w:lvlText w:val=""/>
      <w:lvlJc w:val="left"/>
      <w:pPr>
        <w:ind w:left="3600" w:hanging="360"/>
      </w:pPr>
      <w:rPr>
        <w:rFonts w:ascii="Wingdings" w:hAnsi="Wingdings" w:hint="default"/>
      </w:rPr>
    </w:lvl>
  </w:abstractNum>
  <w:abstractNum w:abstractNumId="13">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310727"/>
    <w:multiLevelType w:val="hybridMultilevel"/>
    <w:tmpl w:val="4322EF82"/>
    <w:lvl w:ilvl="0" w:tplc="52AC1638">
      <w:numFmt w:val="bullet"/>
      <w:lvlText w:val="•"/>
      <w:lvlJc w:val="left"/>
      <w:pPr>
        <w:ind w:left="1080" w:hanging="72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224228F"/>
    <w:multiLevelType w:val="hybridMultilevel"/>
    <w:tmpl w:val="085C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646091"/>
    <w:multiLevelType w:val="hybridMultilevel"/>
    <w:tmpl w:val="A9162D88"/>
    <w:lvl w:ilvl="0" w:tplc="52AC1638">
      <w:numFmt w:val="bullet"/>
      <w:lvlText w:val="•"/>
      <w:lvlJc w:val="left"/>
      <w:pPr>
        <w:ind w:left="1080" w:hanging="72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31">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A770A25"/>
    <w:multiLevelType w:val="hybridMultilevel"/>
    <w:tmpl w:val="C13CC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EF267E"/>
    <w:multiLevelType w:val="hybridMultilevel"/>
    <w:tmpl w:val="F14A321E"/>
    <w:lvl w:ilvl="0" w:tplc="52AC1638">
      <w:numFmt w:val="bullet"/>
      <w:lvlText w:val="•"/>
      <w:lvlJc w:val="left"/>
      <w:pPr>
        <w:ind w:left="1080" w:hanging="72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F3239C"/>
    <w:multiLevelType w:val="hybridMultilevel"/>
    <w:tmpl w:val="A028CEAE"/>
    <w:lvl w:ilvl="0" w:tplc="52AC1638">
      <w:numFmt w:val="bullet"/>
      <w:lvlText w:val="•"/>
      <w:lvlJc w:val="left"/>
      <w:pPr>
        <w:ind w:left="1080" w:hanging="72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0"/>
  </w:num>
  <w:num w:numId="4">
    <w:abstractNumId w:val="15"/>
  </w:num>
  <w:num w:numId="5">
    <w:abstractNumId w:val="10"/>
  </w:num>
  <w:num w:numId="6">
    <w:abstractNumId w:val="34"/>
  </w:num>
  <w:num w:numId="7">
    <w:abstractNumId w:val="6"/>
  </w:num>
  <w:num w:numId="8">
    <w:abstractNumId w:val="29"/>
  </w:num>
  <w:num w:numId="9">
    <w:abstractNumId w:val="16"/>
  </w:num>
  <w:num w:numId="10">
    <w:abstractNumId w:val="23"/>
  </w:num>
  <w:num w:numId="11">
    <w:abstractNumId w:val="30"/>
  </w:num>
  <w:num w:numId="12">
    <w:abstractNumId w:val="17"/>
  </w:num>
  <w:num w:numId="13">
    <w:abstractNumId w:val="22"/>
  </w:num>
  <w:num w:numId="14">
    <w:abstractNumId w:val="8"/>
  </w:num>
  <w:num w:numId="15">
    <w:abstractNumId w:val="4"/>
  </w:num>
  <w:num w:numId="16">
    <w:abstractNumId w:val="24"/>
  </w:num>
  <w:num w:numId="17">
    <w:abstractNumId w:val="31"/>
  </w:num>
  <w:num w:numId="18">
    <w:abstractNumId w:val="32"/>
  </w:num>
  <w:num w:numId="19">
    <w:abstractNumId w:val="13"/>
  </w:num>
  <w:num w:numId="20">
    <w:abstractNumId w:val="11"/>
  </w:num>
  <w:num w:numId="21">
    <w:abstractNumId w:val="21"/>
  </w:num>
  <w:num w:numId="22">
    <w:abstractNumId w:val="7"/>
  </w:num>
  <w:num w:numId="23">
    <w:abstractNumId w:val="25"/>
  </w:num>
  <w:num w:numId="24">
    <w:abstractNumId w:val="20"/>
  </w:num>
  <w:num w:numId="25">
    <w:abstractNumId w:val="2"/>
  </w:num>
  <w:num w:numId="26">
    <w:abstractNumId w:val="18"/>
  </w:num>
  <w:num w:numId="27">
    <w:abstractNumId w:val="19"/>
  </w:num>
  <w:num w:numId="28">
    <w:abstractNumId w:val="3"/>
  </w:num>
  <w:num w:numId="29">
    <w:abstractNumId w:val="1"/>
  </w:num>
  <w:num w:numId="30">
    <w:abstractNumId w:val="33"/>
  </w:num>
  <w:num w:numId="31">
    <w:abstractNumId w:val="27"/>
  </w:num>
  <w:num w:numId="32">
    <w:abstractNumId w:val="12"/>
  </w:num>
  <w:num w:numId="33">
    <w:abstractNumId w:val="5"/>
  </w:num>
  <w:num w:numId="34">
    <w:abstractNumId w:val="26"/>
  </w:num>
  <w:num w:numId="35">
    <w:abstractNumId w:val="9"/>
  </w:num>
  <w:num w:numId="36">
    <w:abstractNumId w:val="35"/>
  </w:num>
  <w:num w:numId="37">
    <w:abstractNumId w:val="36"/>
  </w:num>
  <w:num w:numId="38">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05474">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15C30"/>
    <w:rsid w:val="00036917"/>
    <w:rsid w:val="001A4C90"/>
    <w:rsid w:val="003C27C9"/>
    <w:rsid w:val="003D7704"/>
    <w:rsid w:val="004600FD"/>
    <w:rsid w:val="004C1449"/>
    <w:rsid w:val="004F2D3D"/>
    <w:rsid w:val="004F32A2"/>
    <w:rsid w:val="00523C0B"/>
    <w:rsid w:val="0056113D"/>
    <w:rsid w:val="00580DF3"/>
    <w:rsid w:val="006F586C"/>
    <w:rsid w:val="008259E5"/>
    <w:rsid w:val="008B02A5"/>
    <w:rsid w:val="008B0EB3"/>
    <w:rsid w:val="0090379E"/>
    <w:rsid w:val="009F4591"/>
    <w:rsid w:val="00A02968"/>
    <w:rsid w:val="00AC146F"/>
    <w:rsid w:val="00BA565F"/>
    <w:rsid w:val="00BD2969"/>
    <w:rsid w:val="00BF526F"/>
    <w:rsid w:val="00D81485"/>
    <w:rsid w:val="00E84B73"/>
    <w:rsid w:val="00E9706D"/>
    <w:rsid w:val="00F20FE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lorfulShading-Accent11">
    <w:name w:val="Colorful Shading - Accent 11"/>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ColorfulList-Accent11">
    <w:name w:val="Colorful List - Accent 11"/>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paragraph" w:styleId="ListParagraph">
    <w:name w:val="List Paragraph"/>
    <w:basedOn w:val="Normal"/>
    <w:uiPriority w:val="34"/>
    <w:qFormat/>
    <w:rsid w:val="003C27C9"/>
    <w:pPr>
      <w:ind w:left="720"/>
    </w:p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3333355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688500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federalregister.gov/a/2013-029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2013-04-05T23:42:00Z</dcterms:created>
  <dcterms:modified xsi:type="dcterms:W3CDTF">2013-04-08T22:08:00Z</dcterms:modified>
</cp:coreProperties>
</file>