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465691B8"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6C54B0">
        <w:rPr>
          <w:rFonts w:ascii="Arial" w:eastAsia="Times New Roman" w:hAnsi="Arial" w:cs="Arial"/>
          <w:b/>
          <w:noProof/>
          <w:kern w:val="0"/>
          <w:sz w:val="24"/>
          <w:szCs w:val="24"/>
          <w:lang w:val="de-DE"/>
          <w14:ligatures w14:val="none"/>
        </w:rPr>
        <w:t>4</w:t>
      </w:r>
      <w:r w:rsidR="002A7E9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7E7A8E">
        <w:rPr>
          <w:rFonts w:ascii="Arial" w:eastAsia="Times New Roman" w:hAnsi="Arial" w:cs="Arial"/>
          <w:b/>
          <w:noProof/>
          <w:kern w:val="0"/>
          <w:sz w:val="24"/>
          <w:szCs w:val="24"/>
          <w:lang w:val="de-DE"/>
          <w14:ligatures w14:val="none"/>
        </w:rPr>
        <w:t>04118</w:t>
      </w:r>
    </w:p>
    <w:p w14:paraId="239BFA5F" w14:textId="77083123" w:rsidR="005513CD" w:rsidRPr="005513CD" w:rsidRDefault="00BA0EF2"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Wuhan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sidR="00A126D2">
        <w:rPr>
          <w:rFonts w:ascii="Arial" w:eastAsia="Times New Roman" w:hAnsi="Arial" w:cs="Arial"/>
          <w:b/>
          <w:noProof/>
          <w:kern w:val="0"/>
          <w:sz w:val="24"/>
          <w:szCs w:val="24"/>
          <w14:ligatures w14:val="none"/>
        </w:rPr>
        <w:t>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1</w:t>
      </w:r>
      <w:r w:rsidR="00A126D2">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3B0990F2"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918F8">
        <w:rPr>
          <w:rFonts w:ascii="Arial" w:eastAsia="Times New Roman" w:hAnsi="Arial" w:cs="Times New Roman"/>
          <w:kern w:val="0"/>
          <w:sz w:val="24"/>
          <w:szCs w:val="20"/>
          <w14:ligatures w14:val="none"/>
        </w:rPr>
        <w:t>7.</w:t>
      </w:r>
      <w:r w:rsidR="00944422">
        <w:rPr>
          <w:rFonts w:ascii="Arial" w:eastAsia="Times New Roman" w:hAnsi="Arial" w:cs="Times New Roman"/>
          <w:kern w:val="0"/>
          <w:sz w:val="24"/>
          <w:szCs w:val="20"/>
          <w14:ligatures w14:val="none"/>
        </w:rPr>
        <w:t>1</w:t>
      </w:r>
      <w:r w:rsidR="00C918F8">
        <w:rPr>
          <w:rFonts w:ascii="Arial" w:eastAsia="Times New Roman" w:hAnsi="Arial" w:cs="Times New Roman"/>
          <w:kern w:val="0"/>
          <w:sz w:val="24"/>
          <w:szCs w:val="20"/>
          <w14:ligatures w14:val="none"/>
        </w:rPr>
        <w:t>.1</w:t>
      </w:r>
      <w:r w:rsidR="00944422">
        <w:rPr>
          <w:rFonts w:ascii="Arial" w:eastAsia="Times New Roman" w:hAnsi="Arial" w:cs="Times New Roman"/>
          <w:kern w:val="0"/>
          <w:sz w:val="24"/>
          <w:szCs w:val="20"/>
          <w14:ligatures w14:val="none"/>
        </w:rPr>
        <w:t>.1.1</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71C7A1DD"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095115">
        <w:rPr>
          <w:rFonts w:ascii="Arial" w:eastAsia="Times New Roman" w:hAnsi="Arial" w:cs="Times New Roman"/>
          <w:kern w:val="0"/>
          <w:sz w:val="24"/>
          <w:szCs w:val="20"/>
          <w14:ligatures w14:val="none"/>
        </w:rPr>
        <w:t>MSD beyond PC3</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6DADBBC3" w:rsidR="005513CD" w:rsidRPr="005513CD" w:rsidRDefault="00AA3E3E"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bookmarkStart w:id="0" w:name="_Hlk189470882"/>
      <w:r w:rsidR="00AB297E" w:rsidRPr="00AB297E">
        <w:rPr>
          <w:rFonts w:ascii="Times New Roman" w:eastAsia="Times New Roman" w:hAnsi="Times New Roman" w:cs="Times New Roman"/>
          <w:kern w:val="0"/>
          <w:sz w:val="20"/>
          <w:szCs w:val="20"/>
          <w14:ligatures w14:val="none"/>
        </w:rPr>
        <w:t>and proposals for HPUE MSD are provided in this contribution.</w:t>
      </w:r>
    </w:p>
    <w:bookmarkEnd w:id="0"/>
    <w:p w14:paraId="438D9510" w14:textId="3C2BB17A" w:rsidR="005513CD" w:rsidRPr="00581ABA" w:rsidRDefault="00554C88"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Background</w:t>
      </w:r>
    </w:p>
    <w:p w14:paraId="4F69002A" w14:textId="20EB4312" w:rsidR="00EC341F" w:rsidRPr="00362AF8" w:rsidRDefault="00362AF8" w:rsidP="00AB297E">
      <w:pPr>
        <w:overflowPunct w:val="0"/>
        <w:autoSpaceDE w:val="0"/>
        <w:autoSpaceDN w:val="0"/>
        <w:adjustRightInd w:val="0"/>
        <w:spacing w:after="180" w:line="240" w:lineRule="auto"/>
        <w:textAlignment w:val="baseline"/>
        <w:rPr>
          <w:rFonts w:ascii="Times New Roman" w:hAnsi="Times New Roman" w:cs="Times New Roman"/>
          <w:sz w:val="20"/>
          <w:szCs w:val="20"/>
          <w:lang w:val="sv-SE" w:eastAsia="zh-CN"/>
        </w:rPr>
      </w:pPr>
      <w:r w:rsidRPr="00362AF8">
        <w:rPr>
          <w:rFonts w:ascii="Times New Roman" w:hAnsi="Times New Roman" w:cs="Times New Roman"/>
          <w:sz w:val="20"/>
          <w:szCs w:val="20"/>
          <w:lang w:val="sv-SE" w:eastAsia="zh-CN"/>
        </w:rPr>
        <w:t>There was quite a</w:t>
      </w:r>
      <w:r w:rsidR="009F29B5">
        <w:rPr>
          <w:rFonts w:ascii="Times New Roman" w:hAnsi="Times New Roman" w:cs="Times New Roman"/>
          <w:sz w:val="20"/>
          <w:szCs w:val="20"/>
          <w:lang w:val="sv-SE" w:eastAsia="zh-CN"/>
        </w:rPr>
        <w:t xml:space="preserve"> bit of discussion on HPUE MSD</w:t>
      </w:r>
      <w:r w:rsidR="00A96FD5">
        <w:rPr>
          <w:rFonts w:ascii="Times New Roman" w:hAnsi="Times New Roman" w:cs="Times New Roman"/>
          <w:sz w:val="20"/>
          <w:szCs w:val="20"/>
          <w:lang w:val="sv-SE" w:eastAsia="zh-CN"/>
        </w:rPr>
        <w:t xml:space="preserve"> in previous meeting</w:t>
      </w:r>
      <w:r w:rsidR="00F765F1">
        <w:rPr>
          <w:rFonts w:ascii="Times New Roman" w:hAnsi="Times New Roman" w:cs="Times New Roman"/>
          <w:sz w:val="20"/>
          <w:szCs w:val="20"/>
          <w:lang w:val="sv-SE" w:eastAsia="zh-CN"/>
        </w:rPr>
        <w:t xml:space="preserve">. Draft WF was prepared, but </w:t>
      </w:r>
      <w:r w:rsidR="0058010D">
        <w:rPr>
          <w:rFonts w:ascii="Times New Roman" w:hAnsi="Times New Roman" w:cs="Times New Roman"/>
          <w:sz w:val="20"/>
          <w:szCs w:val="20"/>
          <w:lang w:val="sv-SE" w:eastAsia="zh-CN"/>
        </w:rPr>
        <w:t>at the end it was ob</w:t>
      </w:r>
      <w:r w:rsidR="005A6760">
        <w:rPr>
          <w:rFonts w:ascii="Times New Roman" w:hAnsi="Times New Roman" w:cs="Times New Roman"/>
          <w:sz w:val="20"/>
          <w:szCs w:val="20"/>
          <w:lang w:val="sv-SE" w:eastAsia="zh-CN"/>
        </w:rPr>
        <w:t>vious that companies need more time to digest the topic even there were a few concrete proposals submitted for RAN4#114 [1][2]</w:t>
      </w:r>
      <w:r w:rsidR="00C540FF">
        <w:rPr>
          <w:rFonts w:ascii="Times New Roman" w:hAnsi="Times New Roman" w:cs="Times New Roman"/>
          <w:sz w:val="20"/>
          <w:szCs w:val="20"/>
          <w:lang w:val="sv-SE" w:eastAsia="zh-CN"/>
        </w:rPr>
        <w:t>[3]</w:t>
      </w:r>
      <w:r w:rsidR="00437E96">
        <w:rPr>
          <w:rFonts w:ascii="Times New Roman" w:hAnsi="Times New Roman" w:cs="Times New Roman"/>
          <w:sz w:val="20"/>
          <w:szCs w:val="20"/>
          <w:lang w:val="sv-SE" w:eastAsia="zh-CN"/>
        </w:rPr>
        <w:t xml:space="preserve">. This is completely understandable as the set of </w:t>
      </w:r>
      <w:r w:rsidR="001A2912">
        <w:rPr>
          <w:rFonts w:ascii="Times New Roman" w:hAnsi="Times New Roman" w:cs="Times New Roman"/>
          <w:sz w:val="20"/>
          <w:szCs w:val="20"/>
          <w:lang w:val="sv-SE" w:eastAsia="zh-CN"/>
        </w:rPr>
        <w:t xml:space="preserve">decisions RAN4 hopefully agrees </w:t>
      </w:r>
      <w:r w:rsidR="00BA5884">
        <w:rPr>
          <w:rFonts w:ascii="Times New Roman" w:hAnsi="Times New Roman" w:cs="Times New Roman"/>
          <w:sz w:val="20"/>
          <w:szCs w:val="20"/>
          <w:lang w:val="sv-SE" w:eastAsia="zh-CN"/>
        </w:rPr>
        <w:t xml:space="preserve">during Rel-19 </w:t>
      </w:r>
      <w:r w:rsidR="001A2912">
        <w:rPr>
          <w:rFonts w:ascii="Times New Roman" w:hAnsi="Times New Roman" w:cs="Times New Roman"/>
          <w:sz w:val="20"/>
          <w:szCs w:val="20"/>
          <w:lang w:val="sv-SE" w:eastAsia="zh-CN"/>
        </w:rPr>
        <w:t xml:space="preserve">will </w:t>
      </w:r>
      <w:r w:rsidR="00BA5884">
        <w:rPr>
          <w:rFonts w:ascii="Times New Roman" w:hAnsi="Times New Roman" w:cs="Times New Roman"/>
          <w:sz w:val="20"/>
          <w:szCs w:val="20"/>
          <w:lang w:val="sv-SE" w:eastAsia="zh-CN"/>
        </w:rPr>
        <w:t xml:space="preserve">substantially </w:t>
      </w:r>
      <w:r w:rsidR="001A2912">
        <w:rPr>
          <w:rFonts w:ascii="Times New Roman" w:hAnsi="Times New Roman" w:cs="Times New Roman"/>
          <w:sz w:val="20"/>
          <w:szCs w:val="20"/>
          <w:lang w:val="sv-SE" w:eastAsia="zh-CN"/>
        </w:rPr>
        <w:t xml:space="preserve">impact the </w:t>
      </w:r>
      <w:r w:rsidR="00BA5884">
        <w:rPr>
          <w:rFonts w:ascii="Times New Roman" w:hAnsi="Times New Roman" w:cs="Times New Roman"/>
          <w:sz w:val="20"/>
          <w:szCs w:val="20"/>
          <w:lang w:val="sv-SE" w:eastAsia="zh-CN"/>
        </w:rPr>
        <w:t xml:space="preserve">HPUE </w:t>
      </w:r>
      <w:r w:rsidR="001A2912">
        <w:rPr>
          <w:rFonts w:ascii="Times New Roman" w:hAnsi="Times New Roman" w:cs="Times New Roman"/>
          <w:sz w:val="20"/>
          <w:szCs w:val="20"/>
          <w:lang w:val="sv-SE" w:eastAsia="zh-CN"/>
        </w:rPr>
        <w:t>work</w:t>
      </w:r>
      <w:r w:rsidR="00BA5884">
        <w:rPr>
          <w:rFonts w:ascii="Times New Roman" w:hAnsi="Times New Roman" w:cs="Times New Roman"/>
          <w:sz w:val="20"/>
          <w:szCs w:val="20"/>
          <w:lang w:val="sv-SE" w:eastAsia="zh-CN"/>
        </w:rPr>
        <w:t>.</w:t>
      </w:r>
    </w:p>
    <w:p w14:paraId="0662F2C8" w14:textId="5BF9515D" w:rsidR="00B918D2" w:rsidRPr="00EC341F" w:rsidRDefault="00C33223" w:rsidP="005513CD">
      <w:pPr>
        <w:spacing w:after="180" w:line="240" w:lineRule="auto"/>
        <w:rPr>
          <w:rFonts w:ascii="Times New Roman" w:eastAsia="Times New Roman" w:hAnsi="Times New Roman" w:cs="Times New Roman"/>
          <w:kern w:val="0"/>
          <w:sz w:val="20"/>
          <w:szCs w:val="20"/>
          <w:lang w:val="sv-SE"/>
          <w14:ligatures w14:val="none"/>
        </w:rPr>
      </w:pPr>
      <w:r>
        <w:rPr>
          <w:rFonts w:ascii="Times New Roman" w:eastAsia="Times New Roman" w:hAnsi="Times New Roman" w:cs="Times New Roman"/>
          <w:kern w:val="0"/>
          <w:sz w:val="20"/>
          <w:szCs w:val="20"/>
          <w:lang w:val="sv-SE"/>
          <w14:ligatures w14:val="none"/>
        </w:rPr>
        <w:t xml:space="preserve">Our </w:t>
      </w:r>
      <w:r w:rsidR="00EF64F3">
        <w:rPr>
          <w:rFonts w:ascii="Times New Roman" w:eastAsia="Times New Roman" w:hAnsi="Times New Roman" w:cs="Times New Roman"/>
          <w:kern w:val="0"/>
          <w:sz w:val="20"/>
          <w:szCs w:val="20"/>
          <w:lang w:val="sv-SE"/>
          <w14:ligatures w14:val="none"/>
        </w:rPr>
        <w:t>contribution is</w:t>
      </w:r>
      <w:r w:rsidR="009036B1">
        <w:rPr>
          <w:rFonts w:ascii="Times New Roman" w:eastAsia="Times New Roman" w:hAnsi="Times New Roman" w:cs="Times New Roman"/>
          <w:kern w:val="0"/>
          <w:sz w:val="20"/>
          <w:szCs w:val="20"/>
          <w:lang w:val="sv-SE"/>
          <w14:ligatures w14:val="none"/>
        </w:rPr>
        <w:t xml:space="preserve"> mostly a resubmission of [1], with some further considerations</w:t>
      </w:r>
      <w:r w:rsidR="00593A73">
        <w:rPr>
          <w:rFonts w:ascii="Times New Roman" w:eastAsia="Times New Roman" w:hAnsi="Times New Roman" w:cs="Times New Roman"/>
          <w:kern w:val="0"/>
          <w:sz w:val="20"/>
          <w:szCs w:val="20"/>
          <w:lang w:val="sv-SE"/>
          <w14:ligatures w14:val="none"/>
        </w:rPr>
        <w:t xml:space="preserve"> and clarifications</w:t>
      </w:r>
      <w:r w:rsidR="009036B1">
        <w:rPr>
          <w:rFonts w:ascii="Times New Roman" w:eastAsia="Times New Roman" w:hAnsi="Times New Roman" w:cs="Times New Roman"/>
          <w:kern w:val="0"/>
          <w:sz w:val="20"/>
          <w:szCs w:val="20"/>
          <w:lang w:val="sv-SE"/>
          <w14:ligatures w14:val="none"/>
        </w:rPr>
        <w:t>.</w:t>
      </w:r>
    </w:p>
    <w:p w14:paraId="24D02BC8" w14:textId="77777777" w:rsidR="002C2F44" w:rsidRDefault="002C2F44" w:rsidP="0090772A">
      <w:pPr>
        <w:pStyle w:val="ListParagraph"/>
        <w:ind w:left="360" w:right="288"/>
        <w:rPr>
          <w:rFonts w:ascii="Times New Roman" w:hAnsi="Times New Roman" w:cs="Times New Roman"/>
          <w:sz w:val="20"/>
          <w:szCs w:val="20"/>
        </w:rPr>
      </w:pPr>
    </w:p>
    <w:p w14:paraId="59B00B05" w14:textId="76761FB0" w:rsidR="005513CD" w:rsidRPr="00581ABA" w:rsidRDefault="0090772A"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Discussion</w:t>
      </w:r>
    </w:p>
    <w:p w14:paraId="4F8CAD31" w14:textId="77777777" w:rsidR="00CB3CC9" w:rsidRPr="00977D34" w:rsidRDefault="00CB3CC9" w:rsidP="00CB3CC9">
      <w:pPr>
        <w:spacing w:after="180" w:line="240" w:lineRule="auto"/>
        <w:rPr>
          <w:rFonts w:ascii="Times New Roman" w:eastAsia="Times New Roman" w:hAnsi="Times New Roman" w:cs="Times New Roman"/>
          <w:kern w:val="0"/>
          <w:sz w:val="20"/>
          <w:szCs w:val="20"/>
          <w:u w:val="single"/>
          <w14:ligatures w14:val="none"/>
        </w:rPr>
      </w:pPr>
      <w:r w:rsidRPr="00977D34">
        <w:rPr>
          <w:rFonts w:ascii="Times New Roman" w:eastAsia="Times New Roman" w:hAnsi="Times New Roman" w:cs="Times New Roman"/>
          <w:kern w:val="0"/>
          <w:sz w:val="20"/>
          <w:szCs w:val="20"/>
          <w:u w:val="single"/>
          <w14:ligatures w14:val="none"/>
        </w:rPr>
        <w:t>General aspects:</w:t>
      </w:r>
    </w:p>
    <w:p w14:paraId="62DD1CFF" w14:textId="77777777" w:rsidR="00CB3CC9" w:rsidRDefault="00CB3CC9" w:rsidP="00CB3CC9">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begin by discussing general aspects related to this rather big evolutionary step. As discussed earlier, the MSD requirements specified before concluding all the agreements related to HPUE MSD rules should remain intact in the specifications. This is to respect all the work done during the past releases, as well as not to change any of the existing MSD requirements.</w:t>
      </w:r>
    </w:p>
    <w:p w14:paraId="57AE4790" w14:textId="77777777" w:rsidR="00CB3CC9" w:rsidRDefault="00CB3CC9" w:rsidP="00CB3CC9">
      <w:pPr>
        <w:spacing w:after="180" w:line="240" w:lineRule="auto"/>
        <w:rPr>
          <w:rFonts w:ascii="Times New Roman" w:eastAsia="Times New Roman" w:hAnsi="Times New Roman" w:cs="Times New Roman"/>
          <w:kern w:val="0"/>
          <w:sz w:val="20"/>
          <w:szCs w:val="20"/>
          <w14:ligatures w14:val="none"/>
        </w:rPr>
      </w:pPr>
      <w:r w:rsidRPr="006056F1">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All PC2 MSD and PC1.5 MSD tables specified before concluding all new HPUE MSD rules will remain in untouched TS 38.101-1 and TS38.101-3 after new HPUE MSD rules apply for new HPUE combinations.  </w:t>
      </w:r>
    </w:p>
    <w:p w14:paraId="53FC52DA" w14:textId="17E1579E" w:rsidR="00CB3CC9" w:rsidRDefault="00452571" w:rsidP="00CB3CC9">
      <w:pPr>
        <w:spacing w:after="180" w:line="240" w:lineRule="auto"/>
        <w:rPr>
          <w:rFonts w:ascii="Times New Roman" w:hAnsi="Times New Roman" w:cs="Times New Roman"/>
          <w:sz w:val="20"/>
          <w:szCs w:val="20"/>
        </w:rPr>
      </w:pPr>
      <w:r>
        <w:rPr>
          <w:rFonts w:ascii="Times New Roman" w:hAnsi="Times New Roman" w:cs="Times New Roman"/>
          <w:sz w:val="20"/>
          <w:szCs w:val="20"/>
        </w:rPr>
        <w:t xml:space="preserve">Most recent </w:t>
      </w:r>
      <w:r w:rsidR="00CB3CC9">
        <w:rPr>
          <w:rFonts w:ascii="Times New Roman" w:hAnsi="Times New Roman" w:cs="Times New Roman"/>
          <w:sz w:val="20"/>
          <w:szCs w:val="20"/>
        </w:rPr>
        <w:t xml:space="preserve">WF </w:t>
      </w:r>
      <w:r>
        <w:rPr>
          <w:rFonts w:ascii="Times New Roman" w:hAnsi="Times New Roman" w:cs="Times New Roman"/>
          <w:sz w:val="20"/>
          <w:szCs w:val="20"/>
        </w:rPr>
        <w:t xml:space="preserve">[4] </w:t>
      </w:r>
      <w:r w:rsidR="00CB3CC9">
        <w:rPr>
          <w:rFonts w:ascii="Times New Roman" w:hAnsi="Times New Roman" w:cs="Times New Roman"/>
          <w:sz w:val="20"/>
          <w:szCs w:val="20"/>
        </w:rPr>
        <w:t>is worded in a way that either Equations or Look-Up tables could be included in TS for HPUE MSD. Equations which by their nature are very complex are used to derive the values for the Look-Up Tables. Table presentation is way simpler in TS. Our original proposal to use Equations was proposed for the case when the 3GPP procedure of explicitly specifying MSD for PC2 and PC1.5 would have continued. Now that the group has agreed not to specify HPUE MSD explicitly for each band but using equations/LUT’s instead, LUT is much better approach for that purpose.</w:t>
      </w:r>
    </w:p>
    <w:p w14:paraId="1203527C" w14:textId="77777777" w:rsidR="00CB3CC9" w:rsidRPr="00A5705B" w:rsidRDefault="00CB3CC9" w:rsidP="00CB3CC9">
      <w:pPr>
        <w:spacing w:after="180" w:line="240" w:lineRule="auto"/>
        <w:rPr>
          <w:rFonts w:ascii="Times New Roman" w:eastAsia="Times New Roman" w:hAnsi="Times New Roman" w:cs="Times New Roman"/>
          <w:b/>
          <w:bCs/>
          <w:kern w:val="0"/>
          <w:sz w:val="20"/>
          <w:szCs w:val="20"/>
          <w14:ligatures w14:val="none"/>
        </w:rPr>
      </w:pPr>
      <w:r w:rsidRPr="00A5705B">
        <w:rPr>
          <w:rFonts w:ascii="Times New Roman" w:hAnsi="Times New Roman" w:cs="Times New Roman"/>
          <w:b/>
          <w:bCs/>
          <w:sz w:val="20"/>
          <w:szCs w:val="20"/>
        </w:rPr>
        <w:t xml:space="preserve">Proposal 2: </w:t>
      </w:r>
      <w:r w:rsidRPr="00DF44BD">
        <w:rPr>
          <w:rFonts w:ascii="Times New Roman" w:hAnsi="Times New Roman" w:cs="Times New Roman"/>
          <w:sz w:val="20"/>
          <w:szCs w:val="20"/>
        </w:rPr>
        <w:t xml:space="preserve">Agree to use Look-Up Tables in TS38.101-1 and TS 38.101-3 to define HPUE MSD </w:t>
      </w:r>
      <w:r>
        <w:rPr>
          <w:rFonts w:ascii="Times New Roman" w:hAnsi="Times New Roman" w:cs="Times New Roman"/>
          <w:sz w:val="20"/>
          <w:szCs w:val="20"/>
        </w:rPr>
        <w:t>for the new HPUE combinations (For which HPUE MSD is not explicitly specified).</w:t>
      </w:r>
    </w:p>
    <w:p w14:paraId="248017FF" w14:textId="77777777" w:rsidR="00CB3CC9" w:rsidRPr="00CF29F2" w:rsidRDefault="00CB3CC9" w:rsidP="00CB3CC9">
      <w:pPr>
        <w:spacing w:after="180" w:line="240" w:lineRule="auto"/>
        <w:rPr>
          <w:rFonts w:ascii="Times New Roman" w:eastAsia="Times New Roman" w:hAnsi="Times New Roman" w:cs="Times New Roman"/>
          <w:kern w:val="0"/>
          <w:sz w:val="20"/>
          <w:szCs w:val="20"/>
          <w:u w:val="single"/>
          <w:lang w:val="en-GB"/>
          <w14:ligatures w14:val="none"/>
        </w:rPr>
      </w:pPr>
      <w:r w:rsidRPr="00CF29F2">
        <w:rPr>
          <w:rFonts w:ascii="Times New Roman" w:eastAsia="Times New Roman" w:hAnsi="Times New Roman" w:cs="Times New Roman"/>
          <w:kern w:val="0"/>
          <w:sz w:val="20"/>
          <w:szCs w:val="20"/>
          <w:u w:val="single"/>
          <w:lang w:val="en-GB"/>
          <w14:ligatures w14:val="none"/>
        </w:rPr>
        <w:t>1UL cases:</w:t>
      </w:r>
    </w:p>
    <w:p w14:paraId="612546E9" w14:textId="606D7E73"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assumed 6dB PRX/DRX imbalance between aggressor power, and 0.5dB additional noise for 2Tx cases. For single Tx we assumed interferer power to increase 3dB when power increases 3dB. Specifically, for the PRX</w:t>
      </w:r>
      <w:r w:rsidR="00BA7CA1">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DRX assumption we did look at both practical RFFE implementations as well as the resulting 2Tx MSD. These two should be reasonably well balanced, meaning the PC2 2Tx MSD should be reasonable compared to PC2 1Tx MSD. </w:t>
      </w:r>
      <w:r>
        <w:rPr>
          <w:rFonts w:ascii="Times New Roman" w:eastAsia="Times New Roman" w:hAnsi="Times New Roman" w:cs="Times New Roman"/>
          <w:kern w:val="0"/>
          <w:sz w:val="20"/>
          <w:szCs w:val="20"/>
          <w:lang w:val="en-GB"/>
          <w14:ligatures w14:val="none"/>
        </w:rPr>
        <w:lastRenderedPageBreak/>
        <w:t xml:space="preserve">We note that all the parameters used are coarse simplifications, and in real devices they may be different. For instance, cross-band noise may increase more or less than 3dB depending on the case and UL harmonic can increase a bit more than 3dB, or a bit less depending on the case. </w:t>
      </w:r>
      <w:r w:rsidR="00AC597B">
        <w:rPr>
          <w:rFonts w:ascii="Times New Roman" w:eastAsia="Times New Roman" w:hAnsi="Times New Roman" w:cs="Times New Roman"/>
          <w:kern w:val="0"/>
          <w:sz w:val="20"/>
          <w:szCs w:val="20"/>
          <w:lang w:val="en-GB"/>
          <w14:ligatures w14:val="none"/>
        </w:rPr>
        <w:t>Even there are some</w:t>
      </w:r>
      <w:r w:rsidR="00124FD8">
        <w:rPr>
          <w:rFonts w:ascii="Times New Roman" w:eastAsia="Times New Roman" w:hAnsi="Times New Roman" w:cs="Times New Roman"/>
          <w:kern w:val="0"/>
          <w:sz w:val="20"/>
          <w:szCs w:val="20"/>
          <w:lang w:val="en-GB"/>
          <w14:ligatures w14:val="none"/>
        </w:rPr>
        <w:t xml:space="preserve"> variations in the increase of the</w:t>
      </w:r>
      <w:r w:rsidR="00012D1E">
        <w:rPr>
          <w:rFonts w:ascii="Times New Roman" w:eastAsia="Times New Roman" w:hAnsi="Times New Roman" w:cs="Times New Roman"/>
          <w:kern w:val="0"/>
          <w:sz w:val="20"/>
          <w:szCs w:val="20"/>
          <w:lang w:val="en-GB"/>
          <w14:ligatures w14:val="none"/>
        </w:rPr>
        <w:t xml:space="preserve"> noise level with higher power, the real difference to resulting MSD is</w:t>
      </w:r>
      <w:r w:rsidR="00D7160E">
        <w:rPr>
          <w:rFonts w:ascii="Times New Roman" w:eastAsia="Times New Roman" w:hAnsi="Times New Roman" w:cs="Times New Roman"/>
          <w:kern w:val="0"/>
          <w:sz w:val="20"/>
          <w:szCs w:val="20"/>
          <w:lang w:val="en-GB"/>
          <w14:ligatures w14:val="none"/>
        </w:rPr>
        <w:t xml:space="preserve"> very small, negligible, accounting the overall amount of simplification </w:t>
      </w:r>
      <w:r w:rsidR="002E6CB3">
        <w:rPr>
          <w:rFonts w:ascii="Times New Roman" w:eastAsia="Times New Roman" w:hAnsi="Times New Roman" w:cs="Times New Roman"/>
          <w:kern w:val="0"/>
          <w:sz w:val="20"/>
          <w:szCs w:val="20"/>
          <w:lang w:val="en-GB"/>
          <w14:ligatures w14:val="none"/>
        </w:rPr>
        <w:t>achieved. We illustrate this by an example</w:t>
      </w:r>
      <w:r w:rsidR="008722E4">
        <w:rPr>
          <w:rFonts w:ascii="Times New Roman" w:eastAsia="Times New Roman" w:hAnsi="Times New Roman" w:cs="Times New Roman"/>
          <w:kern w:val="0"/>
          <w:sz w:val="20"/>
          <w:szCs w:val="20"/>
          <w:lang w:val="en-GB"/>
          <w14:ligatures w14:val="none"/>
        </w:rPr>
        <w:t xml:space="preserve"> with small, </w:t>
      </w:r>
      <w:proofErr w:type="gramStart"/>
      <w:r w:rsidR="008722E4">
        <w:rPr>
          <w:rFonts w:ascii="Times New Roman" w:eastAsia="Times New Roman" w:hAnsi="Times New Roman" w:cs="Times New Roman"/>
          <w:kern w:val="0"/>
          <w:sz w:val="20"/>
          <w:szCs w:val="20"/>
          <w:lang w:val="en-GB"/>
          <w14:ligatures w14:val="none"/>
        </w:rPr>
        <w:t>intermediate</w:t>
      </w:r>
      <w:proofErr w:type="gramEnd"/>
      <w:r w:rsidR="008722E4">
        <w:rPr>
          <w:rFonts w:ascii="Times New Roman" w:eastAsia="Times New Roman" w:hAnsi="Times New Roman" w:cs="Times New Roman"/>
          <w:kern w:val="0"/>
          <w:sz w:val="20"/>
          <w:szCs w:val="20"/>
          <w:lang w:val="en-GB"/>
          <w14:ligatures w14:val="none"/>
        </w:rPr>
        <w:t xml:space="preserve"> and large</w:t>
      </w:r>
      <w:r w:rsidR="0006113B">
        <w:rPr>
          <w:rFonts w:ascii="Times New Roman" w:eastAsia="Times New Roman" w:hAnsi="Times New Roman" w:cs="Times New Roman"/>
          <w:kern w:val="0"/>
          <w:sz w:val="20"/>
          <w:szCs w:val="20"/>
          <w:lang w:val="en-GB"/>
          <w14:ligatures w14:val="none"/>
        </w:rPr>
        <w:t xml:space="preserve"> cross-band MSD.</w:t>
      </w:r>
      <w:r w:rsidR="00927544">
        <w:rPr>
          <w:rFonts w:ascii="Times New Roman" w:eastAsia="Times New Roman" w:hAnsi="Times New Roman" w:cs="Times New Roman"/>
          <w:kern w:val="0"/>
          <w:sz w:val="20"/>
          <w:szCs w:val="20"/>
          <w:lang w:val="en-GB"/>
          <w14:ligatures w14:val="none"/>
        </w:rPr>
        <w:t xml:space="preserve"> It can be noted that</w:t>
      </w:r>
      <w:r w:rsidR="008250F6">
        <w:rPr>
          <w:rFonts w:ascii="Times New Roman" w:eastAsia="Times New Roman" w:hAnsi="Times New Roman" w:cs="Times New Roman"/>
          <w:kern w:val="0"/>
          <w:sz w:val="20"/>
          <w:szCs w:val="20"/>
          <w:lang w:val="en-GB"/>
          <w14:ligatures w14:val="none"/>
        </w:rPr>
        <w:t xml:space="preserve"> even if there is deviation from 3dB assumption, the real difference in MSD is small</w:t>
      </w:r>
      <w:r w:rsidR="00E96FA2">
        <w:rPr>
          <w:rFonts w:ascii="Times New Roman" w:eastAsia="Times New Roman" w:hAnsi="Times New Roman" w:cs="Times New Roman"/>
          <w:kern w:val="0"/>
          <w:sz w:val="20"/>
          <w:szCs w:val="20"/>
          <w:lang w:val="en-GB"/>
          <w14:ligatures w14:val="none"/>
        </w:rPr>
        <w:t>.</w:t>
      </w:r>
    </w:p>
    <w:p w14:paraId="5C76623C" w14:textId="77777777" w:rsidR="0051644D" w:rsidRDefault="0051644D" w:rsidP="0051644D">
      <w:pPr>
        <w:keepNext/>
        <w:spacing w:after="180" w:line="240" w:lineRule="auto"/>
      </w:pPr>
      <w:r w:rsidRPr="0051644D">
        <w:rPr>
          <w:noProof/>
        </w:rPr>
        <w:drawing>
          <wp:inline distT="0" distB="0" distL="0" distR="0" wp14:anchorId="119D73BC" wp14:editId="28F7BEB9">
            <wp:extent cx="5943600" cy="3161030"/>
            <wp:effectExtent l="0" t="0" r="0" b="1270"/>
            <wp:docPr id="1564812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161030"/>
                    </a:xfrm>
                    <a:prstGeom prst="rect">
                      <a:avLst/>
                    </a:prstGeom>
                    <a:noFill/>
                    <a:ln>
                      <a:noFill/>
                    </a:ln>
                  </pic:spPr>
                </pic:pic>
              </a:graphicData>
            </a:graphic>
          </wp:inline>
        </w:drawing>
      </w:r>
    </w:p>
    <w:p w14:paraId="7D6F27F0" w14:textId="43A6A62B" w:rsidR="002E6CB3" w:rsidRDefault="0051644D" w:rsidP="0051644D">
      <w:pPr>
        <w:pStyle w:val="Caption"/>
        <w:jc w:val="center"/>
        <w:rPr>
          <w:rFonts w:ascii="Times New Roman" w:eastAsia="Times New Roman" w:hAnsi="Times New Roman" w:cs="Times New Roman"/>
          <w:kern w:val="0"/>
          <w:sz w:val="20"/>
          <w:szCs w:val="20"/>
          <w:lang w:val="en-GB"/>
          <w14:ligatures w14:val="none"/>
        </w:rPr>
      </w:pPr>
      <w:r>
        <w:t xml:space="preserve">Table </w:t>
      </w:r>
      <w:r w:rsidR="0052077C">
        <w:fldChar w:fldCharType="begin"/>
      </w:r>
      <w:r w:rsidR="0052077C">
        <w:instrText xml:space="preserve"> SEQ Table \* ARABIC </w:instrText>
      </w:r>
      <w:r w:rsidR="0052077C">
        <w:fldChar w:fldCharType="separate"/>
      </w:r>
      <w:r w:rsidR="009E1E9B">
        <w:rPr>
          <w:noProof/>
        </w:rPr>
        <w:t>1</w:t>
      </w:r>
      <w:r w:rsidR="0052077C">
        <w:rPr>
          <w:noProof/>
        </w:rPr>
        <w:fldChar w:fldCharType="end"/>
      </w:r>
      <w:r>
        <w:t xml:space="preserve"> Impact of interference increase difference with 1dB/5dB/15dB PC3 MSD</w:t>
      </w:r>
    </w:p>
    <w:p w14:paraId="6E1E381A" w14:textId="3FC22BE8" w:rsidR="00CB3CC9" w:rsidRDefault="00927544"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CB3CC9">
        <w:rPr>
          <w:rFonts w:ascii="Times New Roman" w:eastAsia="Times New Roman" w:hAnsi="Times New Roman" w:cs="Times New Roman"/>
          <w:kern w:val="0"/>
          <w:sz w:val="20"/>
          <w:szCs w:val="20"/>
          <w:lang w:val="en-GB"/>
          <w14:ligatures w14:val="none"/>
        </w:rPr>
        <w:t>e propose the following LUT for 1UL cases for consideration. Please note that it would be possible to further reduce the number of lines in the table by applying some kind or merging; we didn’t propose any before seeing everyone’s proposals.</w:t>
      </w:r>
    </w:p>
    <w:p w14:paraId="185B2706" w14:textId="77777777"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sidRPr="004813A0">
        <w:rPr>
          <w:rFonts w:ascii="Times New Roman" w:eastAsia="Times New Roman" w:hAnsi="Times New Roman" w:cs="Times New Roman"/>
          <w:b/>
          <w:bCs/>
          <w:kern w:val="0"/>
          <w:sz w:val="20"/>
          <w:szCs w:val="20"/>
          <w:lang w:val="en-GB"/>
          <w14:ligatures w14:val="none"/>
        </w:rPr>
        <w:t>Proposal 3</w:t>
      </w:r>
      <w:r>
        <w:rPr>
          <w:rFonts w:ascii="Times New Roman" w:eastAsia="Times New Roman" w:hAnsi="Times New Roman" w:cs="Times New Roman"/>
          <w:kern w:val="0"/>
          <w:sz w:val="20"/>
          <w:szCs w:val="20"/>
          <w:lang w:val="en-GB"/>
          <w14:ligatures w14:val="none"/>
        </w:rPr>
        <w:t>: Use the following LUT for 1 UL cases (UL harmonics, Harmonic Mixing, Cross-band) for discussions.</w:t>
      </w:r>
      <w:r w:rsidRPr="00D2405A">
        <w:rPr>
          <w:rFonts w:ascii="Times New Roman" w:eastAsia="Times New Roman" w:hAnsi="Times New Roman" w:cs="Times New Roman"/>
          <w:kern w:val="0"/>
          <w:sz w:val="20"/>
          <w:szCs w:val="20"/>
          <w:lang w:val="en-GB"/>
          <w14:ligatures w14:val="none"/>
        </w:rPr>
        <w:t xml:space="preserve"> </w:t>
      </w:r>
    </w:p>
    <w:p w14:paraId="48D2A8A2" w14:textId="77777777" w:rsidR="00DB678F" w:rsidRDefault="00CB3CC9" w:rsidP="00DB678F">
      <w:pPr>
        <w:keepNext/>
        <w:spacing w:after="180" w:line="240" w:lineRule="auto"/>
        <w:jc w:val="center"/>
      </w:pPr>
      <w:r w:rsidRPr="003B7E7F">
        <w:rPr>
          <w:noProof/>
        </w:rPr>
        <w:drawing>
          <wp:inline distT="0" distB="0" distL="0" distR="0" wp14:anchorId="0781517C" wp14:editId="071FC15D">
            <wp:extent cx="3276600" cy="2486025"/>
            <wp:effectExtent l="0" t="0" r="0" b="9525"/>
            <wp:docPr id="20195074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76600" cy="2486025"/>
                    </a:xfrm>
                    <a:prstGeom prst="rect">
                      <a:avLst/>
                    </a:prstGeom>
                    <a:noFill/>
                    <a:ln>
                      <a:noFill/>
                    </a:ln>
                  </pic:spPr>
                </pic:pic>
              </a:graphicData>
            </a:graphic>
          </wp:inline>
        </w:drawing>
      </w:r>
    </w:p>
    <w:p w14:paraId="7BF4C21B" w14:textId="1383D079" w:rsidR="00CB3CC9" w:rsidRDefault="00DB678F" w:rsidP="00DB678F">
      <w:pPr>
        <w:pStyle w:val="Caption"/>
        <w:jc w:val="center"/>
      </w:pPr>
      <w:r>
        <w:t xml:space="preserve">Table </w:t>
      </w:r>
      <w:r w:rsidR="0052077C">
        <w:fldChar w:fldCharType="begin"/>
      </w:r>
      <w:r w:rsidR="0052077C">
        <w:instrText xml:space="preserve"> SEQ Table \* ARABIC </w:instrText>
      </w:r>
      <w:r w:rsidR="0052077C">
        <w:fldChar w:fldCharType="separate"/>
      </w:r>
      <w:r w:rsidR="009E1E9B">
        <w:rPr>
          <w:noProof/>
        </w:rPr>
        <w:t>2</w:t>
      </w:r>
      <w:r w:rsidR="0052077C">
        <w:rPr>
          <w:noProof/>
        </w:rPr>
        <w:fldChar w:fldCharType="end"/>
      </w:r>
      <w:r>
        <w:t xml:space="preserve"> LUT for 1UL aggressor cases</w:t>
      </w:r>
    </w:p>
    <w:p w14:paraId="3A30EC80" w14:textId="77777777"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Cases where PC3 MSD does not exist are potentially very tricky, as there is no non-zero reference value. We have had some frequency relation-based proposals earlier on how and for which combinations to capture the HPUE MSD, however they would be rather complex to be used in specifications using LUT format. Instead of that, we propose to capture such HPUE MSD cases still explicitly in existing HPUE MSD tables.</w:t>
      </w:r>
    </w:p>
    <w:p w14:paraId="01EDAC11" w14:textId="77777777"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sidRPr="00051458">
        <w:rPr>
          <w:rFonts w:ascii="Times New Roman" w:eastAsia="Times New Roman" w:hAnsi="Times New Roman" w:cs="Times New Roman"/>
          <w:b/>
          <w:bCs/>
          <w:kern w:val="0"/>
          <w:sz w:val="20"/>
          <w:szCs w:val="20"/>
          <w:lang w:val="en-GB"/>
          <w14:ligatures w14:val="none"/>
        </w:rPr>
        <w:t>Proposal 4</w:t>
      </w:r>
      <w:r>
        <w:rPr>
          <w:rFonts w:ascii="Times New Roman" w:eastAsia="Times New Roman" w:hAnsi="Times New Roman" w:cs="Times New Roman"/>
          <w:kern w:val="0"/>
          <w:sz w:val="20"/>
          <w:szCs w:val="20"/>
          <w:lang w:val="en-GB"/>
          <w14:ligatures w14:val="none"/>
        </w:rPr>
        <w:t xml:space="preserve">: PC2/PC1.5 MSD is specified for each applicable combination in existing PC2/PC1.5 MSD tables for the HPUE combinations for which PC3 MSD is not specified.  </w:t>
      </w:r>
    </w:p>
    <w:p w14:paraId="7D9D3CFD" w14:textId="7E4A41E1" w:rsidR="00203450" w:rsidRDefault="006A250A"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There is on</w:t>
      </w:r>
      <w:r w:rsidR="00E42B96">
        <w:rPr>
          <w:rFonts w:ascii="Times New Roman" w:eastAsia="Times New Roman" w:hAnsi="Times New Roman" w:cs="Times New Roman"/>
          <w:kern w:val="0"/>
          <w:sz w:val="20"/>
          <w:szCs w:val="20"/>
          <w:lang w:val="en-GB"/>
          <w14:ligatures w14:val="none"/>
        </w:rPr>
        <w:t>e</w:t>
      </w:r>
      <w:r>
        <w:rPr>
          <w:rFonts w:ascii="Times New Roman" w:eastAsia="Times New Roman" w:hAnsi="Times New Roman" w:cs="Times New Roman"/>
          <w:kern w:val="0"/>
          <w:sz w:val="20"/>
          <w:szCs w:val="20"/>
          <w:lang w:val="en-GB"/>
          <w14:ligatures w14:val="none"/>
        </w:rPr>
        <w:t xml:space="preserve"> important aspect which needs to be well understood</w:t>
      </w:r>
      <w:r w:rsidR="0073610B">
        <w:rPr>
          <w:rFonts w:ascii="Times New Roman" w:eastAsia="Times New Roman" w:hAnsi="Times New Roman" w:cs="Times New Roman"/>
          <w:kern w:val="0"/>
          <w:sz w:val="20"/>
          <w:szCs w:val="20"/>
          <w:lang w:val="en-GB"/>
          <w14:ligatures w14:val="none"/>
        </w:rPr>
        <w:t>, that is how to procedurally handle HPUE combinations which don’t have PC3 MSD but could have PC2</w:t>
      </w:r>
      <w:r w:rsidR="0034463A">
        <w:rPr>
          <w:rFonts w:ascii="Times New Roman" w:eastAsia="Times New Roman" w:hAnsi="Times New Roman" w:cs="Times New Roman"/>
          <w:kern w:val="0"/>
          <w:sz w:val="20"/>
          <w:szCs w:val="20"/>
          <w:lang w:val="en-GB"/>
          <w14:ligatures w14:val="none"/>
        </w:rPr>
        <w:t xml:space="preserve"> and/or PC1.5 MSD. There ha</w:t>
      </w:r>
      <w:r w:rsidR="007B0501">
        <w:rPr>
          <w:rFonts w:ascii="Times New Roman" w:eastAsia="Times New Roman" w:hAnsi="Times New Roman" w:cs="Times New Roman"/>
          <w:kern w:val="0"/>
          <w:sz w:val="20"/>
          <w:szCs w:val="20"/>
          <w:lang w:val="en-GB"/>
          <w14:ligatures w14:val="none"/>
        </w:rPr>
        <w:t>ve</w:t>
      </w:r>
      <w:r w:rsidR="0034463A">
        <w:rPr>
          <w:rFonts w:ascii="Times New Roman" w:eastAsia="Times New Roman" w:hAnsi="Times New Roman" w:cs="Times New Roman"/>
          <w:kern w:val="0"/>
          <w:sz w:val="20"/>
          <w:szCs w:val="20"/>
          <w:lang w:val="en-GB"/>
          <w14:ligatures w14:val="none"/>
        </w:rPr>
        <w:t xml:space="preserve"> been discussions on </w:t>
      </w:r>
      <w:r w:rsidR="005F317D">
        <w:rPr>
          <w:rFonts w:ascii="Times New Roman" w:eastAsia="Times New Roman" w:hAnsi="Times New Roman" w:cs="Times New Roman"/>
          <w:kern w:val="0"/>
          <w:sz w:val="20"/>
          <w:szCs w:val="20"/>
          <w:lang w:val="en-GB"/>
          <w14:ligatures w14:val="none"/>
        </w:rPr>
        <w:t xml:space="preserve">making HPUE to automatically apply, </w:t>
      </w:r>
      <w:r w:rsidR="000E23FB">
        <w:rPr>
          <w:rFonts w:ascii="Times New Roman" w:eastAsia="Times New Roman" w:hAnsi="Times New Roman" w:cs="Times New Roman"/>
          <w:kern w:val="0"/>
          <w:sz w:val="20"/>
          <w:szCs w:val="20"/>
          <w:lang w:val="en-GB"/>
          <w14:ligatures w14:val="none"/>
        </w:rPr>
        <w:t xml:space="preserve">in </w:t>
      </w:r>
      <w:r w:rsidR="005F317D">
        <w:rPr>
          <w:rFonts w:ascii="Times New Roman" w:eastAsia="Times New Roman" w:hAnsi="Times New Roman" w:cs="Times New Roman"/>
          <w:kern w:val="0"/>
          <w:sz w:val="20"/>
          <w:szCs w:val="20"/>
          <w:lang w:val="en-GB"/>
          <w14:ligatures w14:val="none"/>
        </w:rPr>
        <w:t xml:space="preserve">which </w:t>
      </w:r>
      <w:r w:rsidR="000E23FB">
        <w:rPr>
          <w:rFonts w:ascii="Times New Roman" w:eastAsia="Times New Roman" w:hAnsi="Times New Roman" w:cs="Times New Roman"/>
          <w:kern w:val="0"/>
          <w:sz w:val="20"/>
          <w:szCs w:val="20"/>
          <w:lang w:val="en-GB"/>
          <w14:ligatures w14:val="none"/>
        </w:rPr>
        <w:t xml:space="preserve">case the process how to manage </w:t>
      </w:r>
      <w:r w:rsidR="00F31B81">
        <w:rPr>
          <w:rFonts w:ascii="Times New Roman" w:eastAsia="Times New Roman" w:hAnsi="Times New Roman" w:cs="Times New Roman"/>
          <w:kern w:val="0"/>
          <w:sz w:val="20"/>
          <w:szCs w:val="20"/>
          <w:lang w:val="en-GB"/>
          <w14:ligatures w14:val="none"/>
        </w:rPr>
        <w:t>cases with no PC3 MSD but PC2 and/or PC1.5 MSD</w:t>
      </w:r>
      <w:r w:rsidR="00D95BBC">
        <w:rPr>
          <w:rFonts w:ascii="Times New Roman" w:eastAsia="Times New Roman" w:hAnsi="Times New Roman" w:cs="Times New Roman"/>
          <w:kern w:val="0"/>
          <w:sz w:val="20"/>
          <w:szCs w:val="20"/>
          <w:lang w:val="en-GB"/>
          <w14:ligatures w14:val="none"/>
        </w:rPr>
        <w:t xml:space="preserve">. We can envision a few alternatives. </w:t>
      </w:r>
      <w:r w:rsidR="00266D26">
        <w:rPr>
          <w:rFonts w:ascii="Times New Roman" w:eastAsia="Times New Roman" w:hAnsi="Times New Roman" w:cs="Times New Roman"/>
          <w:kern w:val="0"/>
          <w:sz w:val="20"/>
          <w:szCs w:val="20"/>
          <w:lang w:val="en-GB"/>
          <w14:ligatures w14:val="none"/>
        </w:rPr>
        <w:t xml:space="preserve">One is to browse through all PC3 combinations which don’t have MSD and identify those who would need small PC2 and/or PC1.5 MSD. </w:t>
      </w:r>
      <w:r w:rsidR="00CC40BB">
        <w:rPr>
          <w:rFonts w:ascii="Times New Roman" w:eastAsia="Times New Roman" w:hAnsi="Times New Roman" w:cs="Times New Roman"/>
          <w:kern w:val="0"/>
          <w:sz w:val="20"/>
          <w:szCs w:val="20"/>
          <w:lang w:val="en-GB"/>
          <w14:ligatures w14:val="none"/>
        </w:rPr>
        <w:t>At least for 1UL aggressor cases these combinations</w:t>
      </w:r>
      <w:r w:rsidR="00896E28">
        <w:rPr>
          <w:rFonts w:ascii="Times New Roman" w:eastAsia="Times New Roman" w:hAnsi="Times New Roman" w:cs="Times New Roman"/>
          <w:kern w:val="0"/>
          <w:sz w:val="20"/>
          <w:szCs w:val="20"/>
          <w:lang w:val="en-GB"/>
          <w14:ligatures w14:val="none"/>
        </w:rPr>
        <w:t xml:space="preserve"> are </w:t>
      </w:r>
      <w:r w:rsidR="00A4322C">
        <w:rPr>
          <w:rFonts w:ascii="Times New Roman" w:eastAsia="Times New Roman" w:hAnsi="Times New Roman" w:cs="Times New Roman"/>
          <w:kern w:val="0"/>
          <w:sz w:val="20"/>
          <w:szCs w:val="20"/>
          <w:lang w:val="en-GB"/>
          <w14:ligatures w14:val="none"/>
        </w:rPr>
        <w:t xml:space="preserve">very likely </w:t>
      </w:r>
      <w:r w:rsidR="00896E28">
        <w:rPr>
          <w:rFonts w:ascii="Times New Roman" w:eastAsia="Times New Roman" w:hAnsi="Times New Roman" w:cs="Times New Roman"/>
          <w:kern w:val="0"/>
          <w:sz w:val="20"/>
          <w:szCs w:val="20"/>
          <w:lang w:val="en-GB"/>
          <w14:ligatures w14:val="none"/>
        </w:rPr>
        <w:t>those which are within same o</w:t>
      </w:r>
      <w:r w:rsidR="000E3B48">
        <w:rPr>
          <w:rFonts w:ascii="Times New Roman" w:eastAsia="Times New Roman" w:hAnsi="Times New Roman" w:cs="Times New Roman"/>
          <w:kern w:val="0"/>
          <w:sz w:val="20"/>
          <w:szCs w:val="20"/>
          <w:lang w:val="en-GB"/>
          <w14:ligatures w14:val="none"/>
        </w:rPr>
        <w:t>r</w:t>
      </w:r>
      <w:r w:rsidR="00896E28">
        <w:rPr>
          <w:rFonts w:ascii="Times New Roman" w:eastAsia="Times New Roman" w:hAnsi="Times New Roman" w:cs="Times New Roman"/>
          <w:kern w:val="0"/>
          <w:sz w:val="20"/>
          <w:szCs w:val="20"/>
          <w:lang w:val="en-GB"/>
          <w14:ligatures w14:val="none"/>
        </w:rPr>
        <w:t xml:space="preserve"> adjacent band frequency grou</w:t>
      </w:r>
      <w:r w:rsidR="00EE73A5">
        <w:rPr>
          <w:rFonts w:ascii="Times New Roman" w:eastAsia="Times New Roman" w:hAnsi="Times New Roman" w:cs="Times New Roman"/>
          <w:kern w:val="0"/>
          <w:sz w:val="20"/>
          <w:szCs w:val="20"/>
          <w:lang w:val="en-GB"/>
          <w14:ligatures w14:val="none"/>
        </w:rPr>
        <w:t>p</w:t>
      </w:r>
      <w:r w:rsidR="00A4322C">
        <w:rPr>
          <w:rFonts w:ascii="Times New Roman" w:eastAsia="Times New Roman" w:hAnsi="Times New Roman" w:cs="Times New Roman"/>
          <w:kern w:val="0"/>
          <w:sz w:val="20"/>
          <w:szCs w:val="20"/>
          <w:lang w:val="en-GB"/>
          <w14:ligatures w14:val="none"/>
        </w:rPr>
        <w:t xml:space="preserve">. </w:t>
      </w:r>
      <w:r w:rsidR="00772C23">
        <w:rPr>
          <w:rFonts w:ascii="Times New Roman" w:eastAsia="Times New Roman" w:hAnsi="Times New Roman" w:cs="Times New Roman"/>
          <w:kern w:val="0"/>
          <w:sz w:val="20"/>
          <w:szCs w:val="20"/>
          <w:lang w:val="en-GB"/>
          <w14:ligatures w14:val="none"/>
        </w:rPr>
        <w:t xml:space="preserve">Another one would be to agree small PC2 and/or PC1.5 MSD all combinations with </w:t>
      </w:r>
      <w:r w:rsidR="007B0501">
        <w:rPr>
          <w:rFonts w:ascii="Times New Roman" w:eastAsia="Times New Roman" w:hAnsi="Times New Roman" w:cs="Times New Roman"/>
          <w:kern w:val="0"/>
          <w:sz w:val="20"/>
          <w:szCs w:val="20"/>
          <w:lang w:val="en-GB"/>
          <w14:ligatures w14:val="none"/>
        </w:rPr>
        <w:t xml:space="preserve">no PC3 MSD. </w:t>
      </w:r>
      <w:r w:rsidR="00CD295D">
        <w:rPr>
          <w:rFonts w:ascii="Times New Roman" w:eastAsia="Times New Roman" w:hAnsi="Times New Roman" w:cs="Times New Roman"/>
          <w:kern w:val="0"/>
          <w:sz w:val="20"/>
          <w:szCs w:val="20"/>
          <w:lang w:val="en-GB"/>
          <w14:ligatures w14:val="none"/>
        </w:rPr>
        <w:t>Third would be to agree no PC2 and/or PC1.5 MSD for these combinations.</w:t>
      </w:r>
    </w:p>
    <w:p w14:paraId="69CE66F4" w14:textId="7F4CB076" w:rsidR="00B100E2" w:rsidRDefault="00EA0EAF"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We note that basically the approach how to handle these cases should be agreed in this meeting </w:t>
      </w:r>
      <w:r w:rsidR="00203450">
        <w:rPr>
          <w:rFonts w:ascii="Times New Roman" w:eastAsia="Times New Roman" w:hAnsi="Times New Roman" w:cs="Times New Roman"/>
          <w:kern w:val="0"/>
          <w:sz w:val="20"/>
          <w:szCs w:val="20"/>
          <w:lang w:val="en-GB"/>
          <w14:ligatures w14:val="none"/>
        </w:rPr>
        <w:t>to</w:t>
      </w:r>
      <w:r>
        <w:rPr>
          <w:rFonts w:ascii="Times New Roman" w:eastAsia="Times New Roman" w:hAnsi="Times New Roman" w:cs="Times New Roman"/>
          <w:kern w:val="0"/>
          <w:sz w:val="20"/>
          <w:szCs w:val="20"/>
          <w:lang w:val="en-GB"/>
          <w14:ligatures w14:val="none"/>
        </w:rPr>
        <w:t xml:space="preserve"> have draft proposal on impacted combinations in May </w:t>
      </w:r>
      <w:r w:rsidR="00203450">
        <w:rPr>
          <w:rFonts w:ascii="Times New Roman" w:eastAsia="Times New Roman" w:hAnsi="Times New Roman" w:cs="Times New Roman"/>
          <w:kern w:val="0"/>
          <w:sz w:val="20"/>
          <w:szCs w:val="20"/>
          <w:lang w:val="en-GB"/>
          <w14:ligatures w14:val="none"/>
        </w:rPr>
        <w:t>m</w:t>
      </w:r>
      <w:r>
        <w:rPr>
          <w:rFonts w:ascii="Times New Roman" w:eastAsia="Times New Roman" w:hAnsi="Times New Roman" w:cs="Times New Roman"/>
          <w:kern w:val="0"/>
          <w:sz w:val="20"/>
          <w:szCs w:val="20"/>
          <w:lang w:val="en-GB"/>
          <w14:ligatures w14:val="none"/>
        </w:rPr>
        <w:t>eeting, and official CR in</w:t>
      </w:r>
      <w:r w:rsidR="00203450">
        <w:rPr>
          <w:rFonts w:ascii="Times New Roman" w:eastAsia="Times New Roman" w:hAnsi="Times New Roman" w:cs="Times New Roman"/>
          <w:kern w:val="0"/>
          <w:sz w:val="20"/>
          <w:szCs w:val="20"/>
          <w:lang w:val="en-GB"/>
          <w14:ligatures w14:val="none"/>
        </w:rPr>
        <w:t xml:space="preserve"> August meeting.</w:t>
      </w:r>
      <w:r w:rsidR="000E3B48">
        <w:rPr>
          <w:rFonts w:ascii="Times New Roman" w:eastAsia="Times New Roman" w:hAnsi="Times New Roman" w:cs="Times New Roman"/>
          <w:kern w:val="0"/>
          <w:sz w:val="20"/>
          <w:szCs w:val="20"/>
          <w:lang w:val="en-GB"/>
          <w14:ligatures w14:val="none"/>
        </w:rPr>
        <w:t xml:space="preserve"> </w:t>
      </w:r>
      <w:r w:rsidR="00FC3158">
        <w:rPr>
          <w:rFonts w:ascii="Times New Roman" w:eastAsia="Times New Roman" w:hAnsi="Times New Roman" w:cs="Times New Roman"/>
          <w:kern w:val="0"/>
          <w:sz w:val="20"/>
          <w:szCs w:val="20"/>
          <w:lang w:val="en-GB"/>
          <w14:ligatures w14:val="none"/>
        </w:rPr>
        <w:t>Our preference would be to browse through</w:t>
      </w:r>
      <w:r w:rsidR="00D31F1F">
        <w:rPr>
          <w:rFonts w:ascii="Times New Roman" w:eastAsia="Times New Roman" w:hAnsi="Times New Roman" w:cs="Times New Roman"/>
          <w:kern w:val="0"/>
          <w:sz w:val="20"/>
          <w:szCs w:val="20"/>
          <w:lang w:val="en-GB"/>
          <w14:ligatures w14:val="none"/>
        </w:rPr>
        <w:t xml:space="preserve"> all combinations with no PC3 MSD and propose combinations which would require PC2 and/or PC1.5 MSD.</w:t>
      </w:r>
      <w:r w:rsidR="00597408">
        <w:rPr>
          <w:rFonts w:ascii="Times New Roman" w:eastAsia="Times New Roman" w:hAnsi="Times New Roman" w:cs="Times New Roman"/>
          <w:kern w:val="0"/>
          <w:sz w:val="20"/>
          <w:szCs w:val="20"/>
          <w:lang w:val="en-GB"/>
          <w14:ligatures w14:val="none"/>
        </w:rPr>
        <w:t xml:space="preserve"> Note that </w:t>
      </w:r>
      <w:r w:rsidR="00D8655D">
        <w:rPr>
          <w:rFonts w:ascii="Times New Roman" w:eastAsia="Times New Roman" w:hAnsi="Times New Roman" w:cs="Times New Roman"/>
          <w:kern w:val="0"/>
          <w:sz w:val="20"/>
          <w:szCs w:val="20"/>
          <w:lang w:val="en-GB"/>
          <w14:ligatures w14:val="none"/>
        </w:rPr>
        <w:t xml:space="preserve">any MSD analysis </w:t>
      </w:r>
      <w:r w:rsidR="00597408">
        <w:rPr>
          <w:rFonts w:ascii="Times New Roman" w:eastAsia="Times New Roman" w:hAnsi="Times New Roman" w:cs="Times New Roman"/>
          <w:kern w:val="0"/>
          <w:sz w:val="20"/>
          <w:szCs w:val="20"/>
          <w:lang w:val="en-GB"/>
          <w14:ligatures w14:val="none"/>
        </w:rPr>
        <w:t>for the identified combinations</w:t>
      </w:r>
      <w:r w:rsidR="00D8655D">
        <w:rPr>
          <w:rFonts w:ascii="Times New Roman" w:eastAsia="Times New Roman" w:hAnsi="Times New Roman" w:cs="Times New Roman"/>
          <w:kern w:val="0"/>
          <w:sz w:val="20"/>
          <w:szCs w:val="20"/>
          <w:lang w:val="en-GB"/>
          <w14:ligatures w14:val="none"/>
        </w:rPr>
        <w:t xml:space="preserve"> is not needed as we can de</w:t>
      </w:r>
      <w:r w:rsidR="009C3B8A">
        <w:rPr>
          <w:rFonts w:ascii="Times New Roman" w:eastAsia="Times New Roman" w:hAnsi="Times New Roman" w:cs="Times New Roman"/>
          <w:kern w:val="0"/>
          <w:sz w:val="20"/>
          <w:szCs w:val="20"/>
          <w:lang w:val="en-GB"/>
          <w14:ligatures w14:val="none"/>
        </w:rPr>
        <w:t>c</w:t>
      </w:r>
      <w:r w:rsidR="00D8655D">
        <w:rPr>
          <w:rFonts w:ascii="Times New Roman" w:eastAsia="Times New Roman" w:hAnsi="Times New Roman" w:cs="Times New Roman"/>
          <w:kern w:val="0"/>
          <w:sz w:val="20"/>
          <w:szCs w:val="20"/>
          <w:lang w:val="en-GB"/>
          <w14:ligatures w14:val="none"/>
        </w:rPr>
        <w:t>i</w:t>
      </w:r>
      <w:r w:rsidR="009C3B8A">
        <w:rPr>
          <w:rFonts w:ascii="Times New Roman" w:eastAsia="Times New Roman" w:hAnsi="Times New Roman" w:cs="Times New Roman"/>
          <w:kern w:val="0"/>
          <w:sz w:val="20"/>
          <w:szCs w:val="20"/>
          <w:lang w:val="en-GB"/>
          <w14:ligatures w14:val="none"/>
        </w:rPr>
        <w:t>d</w:t>
      </w:r>
      <w:r w:rsidR="00D8655D">
        <w:rPr>
          <w:rFonts w:ascii="Times New Roman" w:eastAsia="Times New Roman" w:hAnsi="Times New Roman" w:cs="Times New Roman"/>
          <w:kern w:val="0"/>
          <w:sz w:val="20"/>
          <w:szCs w:val="20"/>
          <w:lang w:val="en-GB"/>
          <w14:ligatures w14:val="none"/>
        </w:rPr>
        <w:t>e the MSD allowance beforehand.</w:t>
      </w:r>
      <w:r w:rsidR="00597408">
        <w:rPr>
          <w:rFonts w:ascii="Times New Roman" w:eastAsia="Times New Roman" w:hAnsi="Times New Roman" w:cs="Times New Roman"/>
          <w:kern w:val="0"/>
          <w:sz w:val="20"/>
          <w:szCs w:val="20"/>
          <w:lang w:val="en-GB"/>
          <w14:ligatures w14:val="none"/>
        </w:rPr>
        <w:t xml:space="preserve"> </w:t>
      </w:r>
      <w:r w:rsidR="00523605">
        <w:rPr>
          <w:rFonts w:ascii="Times New Roman" w:eastAsia="Times New Roman" w:hAnsi="Times New Roman" w:cs="Times New Roman"/>
          <w:kern w:val="0"/>
          <w:sz w:val="20"/>
          <w:szCs w:val="20"/>
          <w:lang w:val="en-GB"/>
          <w14:ligatures w14:val="none"/>
        </w:rPr>
        <w:t xml:space="preserve">For instance, we could agree that </w:t>
      </w:r>
      <w:r w:rsidR="0040074C">
        <w:rPr>
          <w:rFonts w:ascii="Times New Roman" w:eastAsia="Times New Roman" w:hAnsi="Times New Roman" w:cs="Times New Roman"/>
          <w:kern w:val="0"/>
          <w:sz w:val="20"/>
          <w:szCs w:val="20"/>
          <w:lang w:val="en-GB"/>
          <w14:ligatures w14:val="none"/>
        </w:rPr>
        <w:t xml:space="preserve">the following </w:t>
      </w:r>
      <w:proofErr w:type="gramStart"/>
      <w:r w:rsidR="0040074C">
        <w:rPr>
          <w:rFonts w:ascii="Times New Roman" w:eastAsia="Times New Roman" w:hAnsi="Times New Roman" w:cs="Times New Roman"/>
          <w:kern w:val="0"/>
          <w:sz w:val="20"/>
          <w:szCs w:val="20"/>
          <w:lang w:val="en-GB"/>
          <w14:ligatures w14:val="none"/>
        </w:rPr>
        <w:t>MSD’s</w:t>
      </w:r>
      <w:proofErr w:type="gramEnd"/>
      <w:r w:rsidR="0040074C">
        <w:rPr>
          <w:rFonts w:ascii="Times New Roman" w:eastAsia="Times New Roman" w:hAnsi="Times New Roman" w:cs="Times New Roman"/>
          <w:kern w:val="0"/>
          <w:sz w:val="20"/>
          <w:szCs w:val="20"/>
          <w:lang w:val="en-GB"/>
          <w14:ligatures w14:val="none"/>
        </w:rPr>
        <w:t xml:space="preserve"> are applied for identified combinations.</w:t>
      </w:r>
    </w:p>
    <w:p w14:paraId="547C914E" w14:textId="77777777" w:rsidR="009E1E9B" w:rsidRDefault="009E1E9B" w:rsidP="009E1E9B">
      <w:pPr>
        <w:keepNext/>
        <w:spacing w:after="180" w:line="240" w:lineRule="auto"/>
        <w:jc w:val="center"/>
      </w:pPr>
      <w:r w:rsidRPr="009E1E9B">
        <w:rPr>
          <w:noProof/>
        </w:rPr>
        <w:drawing>
          <wp:inline distT="0" distB="0" distL="0" distR="0" wp14:anchorId="36A9270E" wp14:editId="712ECF65">
            <wp:extent cx="2142490" cy="579755"/>
            <wp:effectExtent l="0" t="0" r="0" b="0"/>
            <wp:docPr id="8669988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2490" cy="579755"/>
                    </a:xfrm>
                    <a:prstGeom prst="rect">
                      <a:avLst/>
                    </a:prstGeom>
                    <a:noFill/>
                    <a:ln>
                      <a:noFill/>
                    </a:ln>
                  </pic:spPr>
                </pic:pic>
              </a:graphicData>
            </a:graphic>
          </wp:inline>
        </w:drawing>
      </w:r>
    </w:p>
    <w:p w14:paraId="713B2276" w14:textId="7145ECD3" w:rsidR="009E1E9B" w:rsidRPr="009E1E9B" w:rsidRDefault="009E1E9B" w:rsidP="009E1E9B">
      <w:pPr>
        <w:pStyle w:val="Caption"/>
        <w:jc w:val="center"/>
        <w:rPr>
          <w:rFonts w:ascii="Times New Roman" w:eastAsia="Times New Roman" w:hAnsi="Times New Roman" w:cs="Times New Roman"/>
          <w:kern w:val="0"/>
          <w:sz w:val="20"/>
          <w:szCs w:val="20"/>
          <w14:ligatures w14:val="none"/>
        </w:rPr>
      </w:pPr>
      <w:r>
        <w:t xml:space="preserve">Table </w:t>
      </w:r>
      <w:r w:rsidR="0052077C">
        <w:fldChar w:fldCharType="begin"/>
      </w:r>
      <w:r w:rsidR="0052077C">
        <w:instrText xml:space="preserve"> SEQ Table \* ARABIC </w:instrText>
      </w:r>
      <w:r w:rsidR="0052077C">
        <w:fldChar w:fldCharType="separate"/>
      </w:r>
      <w:r>
        <w:rPr>
          <w:noProof/>
        </w:rPr>
        <w:t>3</w:t>
      </w:r>
      <w:r w:rsidR="0052077C">
        <w:rPr>
          <w:noProof/>
        </w:rPr>
        <w:fldChar w:fldCharType="end"/>
      </w:r>
      <w:r>
        <w:t xml:space="preserve"> Example MSD to be specified for identified combinations with no PC3 MSD</w:t>
      </w:r>
    </w:p>
    <w:p w14:paraId="4D09BE8F" w14:textId="33687A11" w:rsidR="009C3B8A" w:rsidRDefault="009C3B8A" w:rsidP="00CB3CC9">
      <w:pPr>
        <w:spacing w:after="180" w:line="240" w:lineRule="auto"/>
        <w:rPr>
          <w:rFonts w:ascii="Times New Roman" w:eastAsia="Times New Roman" w:hAnsi="Times New Roman" w:cs="Times New Roman"/>
          <w:kern w:val="0"/>
          <w:sz w:val="20"/>
          <w:szCs w:val="20"/>
          <w:lang w:val="en-GB"/>
          <w14:ligatures w14:val="none"/>
        </w:rPr>
      </w:pPr>
      <w:r w:rsidRPr="009C3B8A">
        <w:rPr>
          <w:rFonts w:ascii="Times New Roman" w:eastAsia="Times New Roman" w:hAnsi="Times New Roman" w:cs="Times New Roman"/>
          <w:b/>
          <w:bCs/>
          <w:kern w:val="0"/>
          <w:sz w:val="20"/>
          <w:szCs w:val="20"/>
          <w:lang w:val="en-GB"/>
          <w14:ligatures w14:val="none"/>
        </w:rPr>
        <w:t>Proposal 5</w:t>
      </w:r>
      <w:r>
        <w:rPr>
          <w:rFonts w:ascii="Times New Roman" w:eastAsia="Times New Roman" w:hAnsi="Times New Roman" w:cs="Times New Roman"/>
          <w:kern w:val="0"/>
          <w:sz w:val="20"/>
          <w:szCs w:val="20"/>
          <w:lang w:val="en-GB"/>
          <w14:ligatures w14:val="none"/>
        </w:rPr>
        <w:t xml:space="preserve">: Browse through all combinations with no PC3 MSD and propose combinations which would require PC2 and/or PC1.5 </w:t>
      </w:r>
      <w:proofErr w:type="gramStart"/>
      <w:r>
        <w:rPr>
          <w:rFonts w:ascii="Times New Roman" w:eastAsia="Times New Roman" w:hAnsi="Times New Roman" w:cs="Times New Roman"/>
          <w:kern w:val="0"/>
          <w:sz w:val="20"/>
          <w:szCs w:val="20"/>
          <w:lang w:val="en-GB"/>
          <w14:ligatures w14:val="none"/>
        </w:rPr>
        <w:t>MSD</w:t>
      </w:r>
      <w:proofErr w:type="gramEnd"/>
    </w:p>
    <w:p w14:paraId="15EEB92F" w14:textId="77777777" w:rsidR="00CB3CC9" w:rsidRPr="00215CAE" w:rsidRDefault="00CB3CC9" w:rsidP="00CB3CC9">
      <w:pPr>
        <w:spacing w:after="180" w:line="240" w:lineRule="auto"/>
        <w:rPr>
          <w:rFonts w:ascii="Times New Roman" w:eastAsia="Times New Roman" w:hAnsi="Times New Roman" w:cs="Times New Roman"/>
          <w:kern w:val="0"/>
          <w:sz w:val="20"/>
          <w:szCs w:val="20"/>
          <w:u w:val="single"/>
          <w:lang w:val="en-GB"/>
          <w14:ligatures w14:val="none"/>
        </w:rPr>
      </w:pPr>
      <w:r w:rsidRPr="00215CAE">
        <w:rPr>
          <w:rFonts w:ascii="Times New Roman" w:eastAsia="Times New Roman" w:hAnsi="Times New Roman" w:cs="Times New Roman"/>
          <w:kern w:val="0"/>
          <w:sz w:val="20"/>
          <w:szCs w:val="20"/>
          <w:u w:val="single"/>
          <w:lang w:val="en-GB"/>
          <w14:ligatures w14:val="none"/>
        </w:rPr>
        <w:t>2UL cases:</w:t>
      </w:r>
    </w:p>
    <w:p w14:paraId="0242EB9D" w14:textId="77777777"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There are multiple different TX configurations and respective power combinations for 2UL cases. The number of Tx per band can be 1 or 2, TX power per band can be 20/23/26/29dBm, and UE power class can be PC3/PC2/PC1.5. All this combined with IMD order, IMD indexes per band, and power increase per band could make things extremely complicated in worst case.</w:t>
      </w:r>
    </w:p>
    <w:p w14:paraId="5C559E9B" w14:textId="77777777"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To tackle all of this, we did derive the proposed LUT based on simple approach, where the interferer power increase is calculated by multiplying the UE power class increase by the IMD order using scaling factor 1. For instance, PC2 IMD4 interferer increase over PC3 is 3dB*4*1=12dB. This approach is universal and can be used for 1+1, 2+1, 1+2, 2+2 Tx per band i.e. all cases discussed by now. It is important to agree that 2UL LUT applies for any combination of number of </w:t>
      </w:r>
      <w:proofErr w:type="spellStart"/>
      <w:r>
        <w:rPr>
          <w:rFonts w:ascii="Times New Roman" w:eastAsia="Times New Roman" w:hAnsi="Times New Roman" w:cs="Times New Roman"/>
          <w:kern w:val="0"/>
          <w:sz w:val="20"/>
          <w:szCs w:val="20"/>
          <w:lang w:val="en-GB"/>
          <w14:ligatures w14:val="none"/>
        </w:rPr>
        <w:t>TX’es</w:t>
      </w:r>
      <w:proofErr w:type="spellEnd"/>
      <w:r>
        <w:rPr>
          <w:rFonts w:ascii="Times New Roman" w:eastAsia="Times New Roman" w:hAnsi="Times New Roman" w:cs="Times New Roman"/>
          <w:kern w:val="0"/>
          <w:sz w:val="20"/>
          <w:szCs w:val="20"/>
          <w:lang w:val="en-GB"/>
          <w14:ligatures w14:val="none"/>
        </w:rPr>
        <w:t xml:space="preserve"> per band, to avoid extra hassle for 3Tx and 4Tx. We assumed same 6dB PRX/DRX interference imbalance as for 1UL case when deriving the reference PC3 interferers.</w:t>
      </w:r>
    </w:p>
    <w:p w14:paraId="5BB27F78" w14:textId="77777777"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Like in 1UL case, it would be possible to further reduce the number of lines in the table by applying some kind or merging; we didn’t propose any before seeing everyone’s proposals.</w:t>
      </w:r>
    </w:p>
    <w:p w14:paraId="69D1034C" w14:textId="77777777"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An alternative for this could be using one step more rigorous approach in which the interferer power increase is calculated by multiplying the power increase per each band by the IMD indexes per each band. This method would give more accurate interferer increase for combinations where the power per band in is inequal, e.g. UE PC1.5 with PC3 FDD+PC1.5 TDD where the power config in PC1.5 MSD is 20+27.8dBm, but the big drawback is that then referencing the right LUT table would be extremely difficult and the evolutionary step of defining HPUE MSD easily would be lost. </w:t>
      </w:r>
    </w:p>
    <w:p w14:paraId="1278593F" w14:textId="77777777"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IMD interferer may behave differently depending on the scenario and source of the interference. The interference may not scale up proportionately to the multiplication of power and IMD order </w:t>
      </w:r>
      <w:proofErr w:type="spellStart"/>
      <w:r>
        <w:rPr>
          <w:rFonts w:ascii="Times New Roman" w:eastAsia="Times New Roman" w:hAnsi="Times New Roman" w:cs="Times New Roman"/>
          <w:kern w:val="0"/>
          <w:sz w:val="20"/>
          <w:szCs w:val="20"/>
          <w:lang w:val="en-GB"/>
          <w14:ligatures w14:val="none"/>
        </w:rPr>
        <w:t>i</w:t>
      </w:r>
      <w:proofErr w:type="spellEnd"/>
      <w:r>
        <w:rPr>
          <w:rFonts w:ascii="Times New Roman" w:eastAsia="Times New Roman" w:hAnsi="Times New Roman" w:cs="Times New Roman"/>
          <w:kern w:val="0"/>
          <w:sz w:val="20"/>
          <w:szCs w:val="20"/>
          <w:lang w:val="en-GB"/>
          <w14:ligatures w14:val="none"/>
        </w:rPr>
        <w:t xml:space="preserve">-e scaling factor could be &lt;1. Consequently, with scaling factor 1, HPUE IMD interferers especially for cases with high IMD order (IMD4, IMD5, IMD&gt;5) become large. To address this, we propose to discuss if this is something which should be resolved somehow. Among possibilities could be to use scaling factor &lt;1 for IMD4 and above, or to limit the HPUE </w:t>
      </w:r>
      <w:r>
        <w:rPr>
          <w:rFonts w:ascii="Microsoft Sans Serif" w:eastAsia="Times New Roman" w:hAnsi="Microsoft Sans Serif" w:cs="Microsoft Sans Serif"/>
          <w:kern w:val="0"/>
          <w:sz w:val="20"/>
          <w:szCs w:val="20"/>
          <w:lang w:val="en-GB"/>
          <w14:ligatures w14:val="none"/>
        </w:rPr>
        <w:t>Δ</w:t>
      </w:r>
      <w:r>
        <w:rPr>
          <w:rFonts w:ascii="Times New Roman" w:eastAsia="Times New Roman" w:hAnsi="Times New Roman" w:cs="Times New Roman"/>
          <w:kern w:val="0"/>
          <w:sz w:val="20"/>
          <w:szCs w:val="20"/>
          <w:lang w:val="en-GB"/>
          <w14:ligatures w14:val="none"/>
        </w:rPr>
        <w:t>MSD for IMD4 and above to a certain value.</w:t>
      </w:r>
    </w:p>
    <w:p w14:paraId="2E04892C" w14:textId="1FD06A1A" w:rsidR="00CB3CC9" w:rsidRDefault="00CB3CC9" w:rsidP="00CB3CC9">
      <w:pPr>
        <w:spacing w:after="180" w:line="240" w:lineRule="auto"/>
        <w:rPr>
          <w:rFonts w:ascii="Times New Roman" w:eastAsia="Times New Roman" w:hAnsi="Times New Roman" w:cs="Times New Roman"/>
          <w:b/>
          <w:bCs/>
          <w:kern w:val="0"/>
          <w:sz w:val="20"/>
          <w:szCs w:val="20"/>
          <w:lang w:val="en-GB"/>
          <w14:ligatures w14:val="none"/>
        </w:rPr>
      </w:pPr>
      <w:r>
        <w:rPr>
          <w:rFonts w:ascii="Times New Roman" w:eastAsia="Times New Roman" w:hAnsi="Times New Roman" w:cs="Times New Roman"/>
          <w:b/>
          <w:bCs/>
          <w:kern w:val="0"/>
          <w:sz w:val="20"/>
          <w:szCs w:val="20"/>
          <w:lang w:val="en-GB"/>
          <w14:ligatures w14:val="none"/>
        </w:rPr>
        <w:t xml:space="preserve">Proposal </w:t>
      </w:r>
      <w:r w:rsidR="005B46E0">
        <w:rPr>
          <w:rFonts w:ascii="Times New Roman" w:eastAsia="Times New Roman" w:hAnsi="Times New Roman" w:cs="Times New Roman"/>
          <w:b/>
          <w:bCs/>
          <w:kern w:val="0"/>
          <w:sz w:val="20"/>
          <w:szCs w:val="20"/>
          <w:lang w:val="en-GB"/>
          <w14:ligatures w14:val="none"/>
        </w:rPr>
        <w:t>6</w:t>
      </w:r>
      <w:r>
        <w:rPr>
          <w:rFonts w:ascii="Times New Roman" w:eastAsia="Times New Roman" w:hAnsi="Times New Roman" w:cs="Times New Roman"/>
          <w:b/>
          <w:bCs/>
          <w:kern w:val="0"/>
          <w:sz w:val="20"/>
          <w:szCs w:val="20"/>
          <w:lang w:val="en-GB"/>
          <w14:ligatures w14:val="none"/>
        </w:rPr>
        <w:t xml:space="preserve">: </w:t>
      </w:r>
      <w:r w:rsidRPr="00A841A6">
        <w:rPr>
          <w:rFonts w:ascii="Times New Roman" w:eastAsia="Times New Roman" w:hAnsi="Times New Roman" w:cs="Times New Roman"/>
          <w:kern w:val="0"/>
          <w:sz w:val="20"/>
          <w:szCs w:val="20"/>
          <w:lang w:val="en-GB"/>
          <w14:ligatures w14:val="none"/>
        </w:rPr>
        <w:t>LUT for 2UL cases (</w:t>
      </w:r>
      <w:proofErr w:type="spellStart"/>
      <w:r w:rsidRPr="00A841A6">
        <w:rPr>
          <w:rFonts w:ascii="Times New Roman" w:eastAsia="Times New Roman" w:hAnsi="Times New Roman" w:cs="Times New Roman"/>
          <w:kern w:val="0"/>
          <w:sz w:val="20"/>
          <w:szCs w:val="20"/>
          <w:lang w:val="en-GB"/>
          <w14:ligatures w14:val="none"/>
        </w:rPr>
        <w:t>Intermodulations</w:t>
      </w:r>
      <w:proofErr w:type="spellEnd"/>
      <w:r w:rsidRPr="00A841A6">
        <w:rPr>
          <w:rFonts w:ascii="Times New Roman" w:eastAsia="Times New Roman" w:hAnsi="Times New Roman" w:cs="Times New Roman"/>
          <w:kern w:val="0"/>
          <w:sz w:val="20"/>
          <w:szCs w:val="20"/>
          <w:lang w:val="en-GB"/>
          <w14:ligatures w14:val="none"/>
        </w:rPr>
        <w:t>) applies for 1</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+1</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 1</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+2</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 2</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+1</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 and 2</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+2</w:t>
      </w:r>
      <w:r>
        <w:rPr>
          <w:rFonts w:ascii="Times New Roman" w:eastAsia="Times New Roman" w:hAnsi="Times New Roman" w:cs="Times New Roman"/>
          <w:kern w:val="0"/>
          <w:sz w:val="20"/>
          <w:szCs w:val="20"/>
          <w:lang w:val="en-GB"/>
          <w14:ligatures w14:val="none"/>
        </w:rPr>
        <w:t>Tx cases.</w:t>
      </w:r>
    </w:p>
    <w:p w14:paraId="7F0F3B2A" w14:textId="57DD2830" w:rsidR="00CB3CC9" w:rsidRDefault="00CB3CC9" w:rsidP="00CB3CC9">
      <w:pPr>
        <w:spacing w:after="180" w:line="240" w:lineRule="auto"/>
        <w:rPr>
          <w:rFonts w:ascii="Times New Roman" w:eastAsia="Times New Roman" w:hAnsi="Times New Roman" w:cs="Times New Roman"/>
          <w:kern w:val="0"/>
          <w:sz w:val="20"/>
          <w:szCs w:val="20"/>
          <w:lang w:val="en-GB"/>
          <w14:ligatures w14:val="none"/>
        </w:rPr>
      </w:pPr>
      <w:r w:rsidRPr="000B1EC5">
        <w:rPr>
          <w:rFonts w:ascii="Times New Roman" w:eastAsia="Times New Roman" w:hAnsi="Times New Roman" w:cs="Times New Roman"/>
          <w:b/>
          <w:bCs/>
          <w:kern w:val="0"/>
          <w:sz w:val="20"/>
          <w:szCs w:val="20"/>
          <w:lang w:val="en-GB"/>
          <w14:ligatures w14:val="none"/>
        </w:rPr>
        <w:t xml:space="preserve">Proposal </w:t>
      </w:r>
      <w:r w:rsidR="005B46E0">
        <w:rPr>
          <w:rFonts w:ascii="Times New Roman" w:eastAsia="Times New Roman" w:hAnsi="Times New Roman" w:cs="Times New Roman"/>
          <w:b/>
          <w:bCs/>
          <w:kern w:val="0"/>
          <w:sz w:val="20"/>
          <w:szCs w:val="20"/>
          <w:lang w:val="en-GB"/>
          <w14:ligatures w14:val="none"/>
        </w:rPr>
        <w:t>7</w:t>
      </w:r>
      <w:r>
        <w:rPr>
          <w:rFonts w:ascii="Times New Roman" w:eastAsia="Times New Roman" w:hAnsi="Times New Roman" w:cs="Times New Roman"/>
          <w:kern w:val="0"/>
          <w:sz w:val="20"/>
          <w:szCs w:val="20"/>
          <w:lang w:val="en-GB"/>
          <w14:ligatures w14:val="none"/>
        </w:rPr>
        <w:t>: Use the following LUT’s for 2UL cases (</w:t>
      </w:r>
      <w:proofErr w:type="spellStart"/>
      <w:r>
        <w:rPr>
          <w:rFonts w:ascii="Times New Roman" w:eastAsia="Times New Roman" w:hAnsi="Times New Roman" w:cs="Times New Roman"/>
          <w:kern w:val="0"/>
          <w:sz w:val="20"/>
          <w:szCs w:val="20"/>
          <w:lang w:val="en-GB"/>
          <w14:ligatures w14:val="none"/>
        </w:rPr>
        <w:t>Intermodulations</w:t>
      </w:r>
      <w:proofErr w:type="spellEnd"/>
      <w:r>
        <w:rPr>
          <w:rFonts w:ascii="Times New Roman" w:eastAsia="Times New Roman" w:hAnsi="Times New Roman" w:cs="Times New Roman"/>
          <w:kern w:val="0"/>
          <w:sz w:val="20"/>
          <w:szCs w:val="20"/>
          <w:lang w:val="en-GB"/>
          <w14:ligatures w14:val="none"/>
        </w:rPr>
        <w:t>) for initial discussions. Final LUT format(s) should be further simplified.</w:t>
      </w:r>
    </w:p>
    <w:p w14:paraId="065DC6D4" w14:textId="77777777" w:rsidR="00CB3CC9" w:rsidRDefault="00CB3CC9" w:rsidP="00CB3CC9">
      <w:pPr>
        <w:keepNext/>
      </w:pPr>
      <w:r w:rsidRPr="00543C32">
        <w:rPr>
          <w:noProof/>
        </w:rPr>
        <w:drawing>
          <wp:inline distT="0" distB="0" distL="0" distR="0" wp14:anchorId="6849D2EA" wp14:editId="732D5BCF">
            <wp:extent cx="2761488" cy="1746504"/>
            <wp:effectExtent l="0" t="0" r="1270" b="6350"/>
            <wp:docPr id="82571754" name="Picture 8257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1488" cy="1746504"/>
                    </a:xfrm>
                    <a:prstGeom prst="rect">
                      <a:avLst/>
                    </a:prstGeom>
                    <a:noFill/>
                    <a:ln>
                      <a:noFill/>
                    </a:ln>
                  </pic:spPr>
                </pic:pic>
              </a:graphicData>
            </a:graphic>
          </wp:inline>
        </w:drawing>
      </w:r>
      <w:r w:rsidRPr="00543C32">
        <w:rPr>
          <w:noProof/>
        </w:rPr>
        <w:drawing>
          <wp:inline distT="0" distB="0" distL="0" distR="0" wp14:anchorId="2E27F741" wp14:editId="4E45578C">
            <wp:extent cx="2862072" cy="1746504"/>
            <wp:effectExtent l="0" t="0" r="0" b="6350"/>
            <wp:docPr id="635329656" name="Picture 635329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2072" cy="1746504"/>
                    </a:xfrm>
                    <a:prstGeom prst="rect">
                      <a:avLst/>
                    </a:prstGeom>
                    <a:noFill/>
                    <a:ln>
                      <a:noFill/>
                    </a:ln>
                  </pic:spPr>
                </pic:pic>
              </a:graphicData>
            </a:graphic>
          </wp:inline>
        </w:drawing>
      </w:r>
    </w:p>
    <w:p w14:paraId="0BB629B5" w14:textId="2DF7B0FD" w:rsidR="001D0549" w:rsidRDefault="00CB3CC9" w:rsidP="00CB3CC9">
      <w:pPr>
        <w:spacing w:after="180" w:line="240" w:lineRule="auto"/>
        <w:rPr>
          <w:rFonts w:ascii="Times New Roman" w:eastAsia="Times New Roman" w:hAnsi="Times New Roman" w:cs="Times New Roman"/>
          <w:kern w:val="0"/>
          <w:sz w:val="20"/>
          <w:szCs w:val="20"/>
          <w14:ligatures w14:val="none"/>
        </w:rPr>
      </w:pPr>
      <w:r w:rsidRPr="006B3C63">
        <w:rPr>
          <w:rFonts w:ascii="Times New Roman" w:hAnsi="Times New Roman" w:cs="Times New Roman"/>
          <w:b/>
          <w:bCs/>
          <w:sz w:val="20"/>
          <w:szCs w:val="20"/>
        </w:rPr>
        <w:t xml:space="preserve">Proposal </w:t>
      </w:r>
      <w:r w:rsidR="005B46E0">
        <w:rPr>
          <w:rFonts w:ascii="Times New Roman" w:hAnsi="Times New Roman" w:cs="Times New Roman"/>
          <w:b/>
          <w:bCs/>
          <w:sz w:val="20"/>
          <w:szCs w:val="20"/>
        </w:rPr>
        <w:t>8</w:t>
      </w:r>
      <w:r w:rsidRPr="006B3C63">
        <w:rPr>
          <w:rFonts w:ascii="Times New Roman" w:hAnsi="Times New Roman" w:cs="Times New Roman"/>
          <w:b/>
          <w:bCs/>
          <w:sz w:val="20"/>
          <w:szCs w:val="20"/>
        </w:rPr>
        <w:t>:</w:t>
      </w:r>
      <w:r w:rsidRPr="006B3C63">
        <w:rPr>
          <w:rFonts w:ascii="Times New Roman" w:hAnsi="Times New Roman" w:cs="Times New Roman"/>
          <w:sz w:val="20"/>
          <w:szCs w:val="20"/>
        </w:rPr>
        <w:t xml:space="preserve"> </w:t>
      </w:r>
      <w:r>
        <w:rPr>
          <w:rFonts w:ascii="Times New Roman" w:hAnsi="Times New Roman" w:cs="Times New Roman"/>
          <w:sz w:val="20"/>
          <w:szCs w:val="20"/>
        </w:rPr>
        <w:t>RAN4 should discuss if some kind of limitations to HPUE MSD’s for ≥[IMD4] should be considered</w:t>
      </w:r>
      <w:r w:rsidR="001121F7">
        <w:rPr>
          <w:rFonts w:ascii="Times New Roman" w:hAnsi="Times New Roman" w:cs="Times New Roman"/>
          <w:sz w:val="20"/>
          <w:szCs w:val="20"/>
        </w:rPr>
        <w:t>.</w:t>
      </w:r>
    </w:p>
    <w:p w14:paraId="5BE06484" w14:textId="38139570" w:rsidR="00A3122E" w:rsidRPr="008441A8" w:rsidRDefault="00A3122E" w:rsidP="00E23C27">
      <w:pPr>
        <w:spacing w:after="180" w:line="240" w:lineRule="auto"/>
        <w:rPr>
          <w:rFonts w:ascii="Times New Roman" w:eastAsia="Times New Roman" w:hAnsi="Times New Roman" w:cs="Times New Roman"/>
          <w:kern w:val="0"/>
          <w:sz w:val="20"/>
          <w:szCs w:val="20"/>
          <w14:ligatures w14:val="none"/>
        </w:rPr>
      </w:pP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597830F5" w14:textId="4F8ABECA" w:rsidR="00D7313D" w:rsidRDefault="005D72D7" w:rsidP="00D7313D">
      <w:pPr>
        <w:spacing w:after="180" w:line="240" w:lineRule="auto"/>
        <w:rPr>
          <w:rFonts w:ascii="Times New Roman" w:eastAsia="Times New Roman" w:hAnsi="Times New Roman" w:cs="Times New Roman"/>
          <w:kern w:val="0"/>
          <w:sz w:val="20"/>
          <w:szCs w:val="20"/>
          <w14:ligatures w14:val="none"/>
        </w:rPr>
      </w:pPr>
      <w:r w:rsidRPr="005D72D7">
        <w:rPr>
          <w:rFonts w:ascii="Times New Roman" w:eastAsia="Times New Roman" w:hAnsi="Times New Roman" w:cs="Times New Roman"/>
          <w:kern w:val="0"/>
          <w:sz w:val="20"/>
          <w:szCs w:val="20"/>
          <w14:ligatures w14:val="none"/>
        </w:rPr>
        <w:t>Considerations on PC2 and PC1.5 MSD were provided with the following proposals.</w:t>
      </w:r>
    </w:p>
    <w:p w14:paraId="28B114E7" w14:textId="2CFA9D50" w:rsidR="001A0B0C" w:rsidRPr="001A0B0C" w:rsidRDefault="001A0B0C" w:rsidP="001A0B0C">
      <w:pPr>
        <w:spacing w:after="180" w:line="240" w:lineRule="auto"/>
        <w:rPr>
          <w:rFonts w:ascii="Times New Roman" w:eastAsia="Times New Roman" w:hAnsi="Times New Roman" w:cs="Times New Roman"/>
          <w:kern w:val="0"/>
          <w:sz w:val="20"/>
          <w:szCs w:val="20"/>
          <w14:ligatures w14:val="none"/>
        </w:rPr>
      </w:pPr>
      <w:r w:rsidRPr="006056F1">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All PC2 MSD and PC1.5 MSD tables specified before concluding all new HPUE MSD rules will remain in untouched TS 38.101-1 and TS38.101-3 after new HPUE MSD rules apply for new HPUE combinations.  </w:t>
      </w:r>
    </w:p>
    <w:p w14:paraId="596E71AB" w14:textId="0912937F" w:rsidR="001A0B0C" w:rsidRPr="001A0B0C" w:rsidRDefault="001A0B0C" w:rsidP="001A0B0C">
      <w:pPr>
        <w:spacing w:after="180" w:line="240" w:lineRule="auto"/>
        <w:rPr>
          <w:rFonts w:ascii="Times New Roman" w:eastAsia="Times New Roman" w:hAnsi="Times New Roman" w:cs="Times New Roman"/>
          <w:b/>
          <w:bCs/>
          <w:kern w:val="0"/>
          <w:sz w:val="20"/>
          <w:szCs w:val="20"/>
          <w14:ligatures w14:val="none"/>
        </w:rPr>
      </w:pPr>
      <w:r w:rsidRPr="00A5705B">
        <w:rPr>
          <w:rFonts w:ascii="Times New Roman" w:hAnsi="Times New Roman" w:cs="Times New Roman"/>
          <w:b/>
          <w:bCs/>
          <w:sz w:val="20"/>
          <w:szCs w:val="20"/>
        </w:rPr>
        <w:t xml:space="preserve">Proposal 2: </w:t>
      </w:r>
      <w:r w:rsidRPr="00DF44BD">
        <w:rPr>
          <w:rFonts w:ascii="Times New Roman" w:hAnsi="Times New Roman" w:cs="Times New Roman"/>
          <w:sz w:val="20"/>
          <w:szCs w:val="20"/>
        </w:rPr>
        <w:t xml:space="preserve">Agree to use Look-Up Tables in TS38.101-1 and TS 38.101-3 to define HPUE MSD </w:t>
      </w:r>
      <w:r>
        <w:rPr>
          <w:rFonts w:ascii="Times New Roman" w:hAnsi="Times New Roman" w:cs="Times New Roman"/>
          <w:sz w:val="20"/>
          <w:szCs w:val="20"/>
        </w:rPr>
        <w:t>for the new HPUE combinations (For which HPUE MSD is not explicitly specified).</w:t>
      </w:r>
    </w:p>
    <w:p w14:paraId="7EADE647" w14:textId="2BD304DE" w:rsidR="001A0B0C" w:rsidRDefault="001A0B0C" w:rsidP="001A0B0C">
      <w:pPr>
        <w:spacing w:after="180" w:line="240" w:lineRule="auto"/>
        <w:rPr>
          <w:rFonts w:ascii="Times New Roman" w:eastAsia="Times New Roman" w:hAnsi="Times New Roman" w:cs="Times New Roman"/>
          <w:kern w:val="0"/>
          <w:sz w:val="20"/>
          <w:szCs w:val="20"/>
          <w:lang w:val="en-GB"/>
          <w14:ligatures w14:val="none"/>
        </w:rPr>
      </w:pPr>
      <w:r w:rsidRPr="004813A0">
        <w:rPr>
          <w:rFonts w:ascii="Times New Roman" w:eastAsia="Times New Roman" w:hAnsi="Times New Roman" w:cs="Times New Roman"/>
          <w:b/>
          <w:bCs/>
          <w:kern w:val="0"/>
          <w:sz w:val="20"/>
          <w:szCs w:val="20"/>
          <w:lang w:val="en-GB"/>
          <w14:ligatures w14:val="none"/>
        </w:rPr>
        <w:t>Proposal 3</w:t>
      </w:r>
      <w:r>
        <w:rPr>
          <w:rFonts w:ascii="Times New Roman" w:eastAsia="Times New Roman" w:hAnsi="Times New Roman" w:cs="Times New Roman"/>
          <w:kern w:val="0"/>
          <w:sz w:val="20"/>
          <w:szCs w:val="20"/>
          <w:lang w:val="en-GB"/>
          <w14:ligatures w14:val="none"/>
        </w:rPr>
        <w:t>: Use the following LUT for 1 UL cases (UL harmonics, Harmonic Mixing, Cross-band) for discussions.</w:t>
      </w:r>
      <w:r w:rsidRPr="00D2405A">
        <w:rPr>
          <w:rFonts w:ascii="Times New Roman" w:eastAsia="Times New Roman" w:hAnsi="Times New Roman" w:cs="Times New Roman"/>
          <w:kern w:val="0"/>
          <w:sz w:val="20"/>
          <w:szCs w:val="20"/>
          <w:lang w:val="en-GB"/>
          <w14:ligatures w14:val="none"/>
        </w:rPr>
        <w:t xml:space="preserve"> </w:t>
      </w:r>
    </w:p>
    <w:p w14:paraId="70682D6C" w14:textId="77777777" w:rsidR="001A0B0C" w:rsidRDefault="001A0B0C" w:rsidP="001A0B0C">
      <w:pPr>
        <w:keepNext/>
        <w:spacing w:after="180" w:line="240" w:lineRule="auto"/>
        <w:jc w:val="center"/>
      </w:pPr>
      <w:r w:rsidRPr="003B7E7F">
        <w:rPr>
          <w:noProof/>
        </w:rPr>
        <w:drawing>
          <wp:inline distT="0" distB="0" distL="0" distR="0" wp14:anchorId="67A37D58" wp14:editId="060C9594">
            <wp:extent cx="3276600" cy="2486025"/>
            <wp:effectExtent l="0" t="0" r="0" b="9525"/>
            <wp:docPr id="65970887" name="Picture 65970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76600" cy="2486025"/>
                    </a:xfrm>
                    <a:prstGeom prst="rect">
                      <a:avLst/>
                    </a:prstGeom>
                    <a:noFill/>
                    <a:ln>
                      <a:noFill/>
                    </a:ln>
                  </pic:spPr>
                </pic:pic>
              </a:graphicData>
            </a:graphic>
          </wp:inline>
        </w:drawing>
      </w:r>
    </w:p>
    <w:p w14:paraId="5D856525" w14:textId="77777777" w:rsidR="005D72D7" w:rsidRDefault="005D72D7" w:rsidP="005D72D7">
      <w:pPr>
        <w:spacing w:after="180" w:line="240" w:lineRule="auto"/>
        <w:rPr>
          <w:rFonts w:ascii="Times New Roman" w:eastAsia="Times New Roman" w:hAnsi="Times New Roman" w:cs="Times New Roman"/>
          <w:b/>
          <w:bCs/>
          <w:kern w:val="0"/>
          <w:sz w:val="20"/>
          <w:szCs w:val="20"/>
          <w:lang w:val="en-GB"/>
          <w14:ligatures w14:val="none"/>
        </w:rPr>
      </w:pPr>
    </w:p>
    <w:p w14:paraId="19FECBA6" w14:textId="5CC71BE1" w:rsidR="005D72D7" w:rsidRPr="005D72D7" w:rsidRDefault="005D72D7" w:rsidP="005D72D7">
      <w:pPr>
        <w:spacing w:after="180" w:line="240" w:lineRule="auto"/>
        <w:rPr>
          <w:rFonts w:ascii="Times New Roman" w:eastAsia="Times New Roman" w:hAnsi="Times New Roman" w:cs="Times New Roman"/>
          <w:kern w:val="0"/>
          <w:sz w:val="20"/>
          <w:szCs w:val="20"/>
          <w:lang w:val="en-GB"/>
          <w14:ligatures w14:val="none"/>
        </w:rPr>
      </w:pPr>
      <w:r w:rsidRPr="00051458">
        <w:rPr>
          <w:rFonts w:ascii="Times New Roman" w:eastAsia="Times New Roman" w:hAnsi="Times New Roman" w:cs="Times New Roman"/>
          <w:b/>
          <w:bCs/>
          <w:kern w:val="0"/>
          <w:sz w:val="20"/>
          <w:szCs w:val="20"/>
          <w:lang w:val="en-GB"/>
          <w14:ligatures w14:val="none"/>
        </w:rPr>
        <w:t>Proposal 4</w:t>
      </w:r>
      <w:r>
        <w:rPr>
          <w:rFonts w:ascii="Times New Roman" w:eastAsia="Times New Roman" w:hAnsi="Times New Roman" w:cs="Times New Roman"/>
          <w:kern w:val="0"/>
          <w:sz w:val="20"/>
          <w:szCs w:val="20"/>
          <w:lang w:val="en-GB"/>
          <w14:ligatures w14:val="none"/>
        </w:rPr>
        <w:t xml:space="preserve">: PC2/PC1.5 MSD is specified for each applicable combination in existing PC2/PC1.5 MSD tables for the HPUE combinations for which PC3 MSD is not specified.  </w:t>
      </w:r>
    </w:p>
    <w:p w14:paraId="11C1DD77" w14:textId="4718B5AF" w:rsidR="005D72D7" w:rsidRPr="005D72D7" w:rsidRDefault="005D72D7" w:rsidP="005D72D7">
      <w:pPr>
        <w:spacing w:after="180" w:line="240" w:lineRule="auto"/>
        <w:rPr>
          <w:rFonts w:ascii="Times New Roman" w:eastAsia="Times New Roman" w:hAnsi="Times New Roman" w:cs="Times New Roman"/>
          <w:kern w:val="0"/>
          <w:sz w:val="20"/>
          <w:szCs w:val="20"/>
          <w:lang w:val="en-GB"/>
          <w14:ligatures w14:val="none"/>
        </w:rPr>
      </w:pPr>
      <w:r w:rsidRPr="009C3B8A">
        <w:rPr>
          <w:rFonts w:ascii="Times New Roman" w:eastAsia="Times New Roman" w:hAnsi="Times New Roman" w:cs="Times New Roman"/>
          <w:b/>
          <w:bCs/>
          <w:kern w:val="0"/>
          <w:sz w:val="20"/>
          <w:szCs w:val="20"/>
          <w:lang w:val="en-GB"/>
          <w14:ligatures w14:val="none"/>
        </w:rPr>
        <w:t>Proposal 5</w:t>
      </w:r>
      <w:r>
        <w:rPr>
          <w:rFonts w:ascii="Times New Roman" w:eastAsia="Times New Roman" w:hAnsi="Times New Roman" w:cs="Times New Roman"/>
          <w:kern w:val="0"/>
          <w:sz w:val="20"/>
          <w:szCs w:val="20"/>
          <w:lang w:val="en-GB"/>
          <w14:ligatures w14:val="none"/>
        </w:rPr>
        <w:t xml:space="preserve">: Browse through all combinations with no PC3 MSD and propose combinations which would require PC2 and/or PC1.5 </w:t>
      </w:r>
      <w:proofErr w:type="gramStart"/>
      <w:r>
        <w:rPr>
          <w:rFonts w:ascii="Times New Roman" w:eastAsia="Times New Roman" w:hAnsi="Times New Roman" w:cs="Times New Roman"/>
          <w:kern w:val="0"/>
          <w:sz w:val="20"/>
          <w:szCs w:val="20"/>
          <w:lang w:val="en-GB"/>
          <w14:ligatures w14:val="none"/>
        </w:rPr>
        <w:t>MSD</w:t>
      </w:r>
      <w:proofErr w:type="gramEnd"/>
    </w:p>
    <w:p w14:paraId="5499AEBA" w14:textId="33104207" w:rsidR="005D72D7" w:rsidRDefault="005D72D7" w:rsidP="005D72D7">
      <w:pPr>
        <w:spacing w:after="180" w:line="240" w:lineRule="auto"/>
        <w:rPr>
          <w:rFonts w:ascii="Times New Roman" w:eastAsia="Times New Roman" w:hAnsi="Times New Roman" w:cs="Times New Roman"/>
          <w:b/>
          <w:bCs/>
          <w:kern w:val="0"/>
          <w:sz w:val="20"/>
          <w:szCs w:val="20"/>
          <w:lang w:val="en-GB"/>
          <w14:ligatures w14:val="none"/>
        </w:rPr>
      </w:pPr>
      <w:r>
        <w:rPr>
          <w:rFonts w:ascii="Times New Roman" w:eastAsia="Times New Roman" w:hAnsi="Times New Roman" w:cs="Times New Roman"/>
          <w:b/>
          <w:bCs/>
          <w:kern w:val="0"/>
          <w:sz w:val="20"/>
          <w:szCs w:val="20"/>
          <w:lang w:val="en-GB"/>
          <w14:ligatures w14:val="none"/>
        </w:rPr>
        <w:t xml:space="preserve">Proposal 6: </w:t>
      </w:r>
      <w:r w:rsidRPr="00A841A6">
        <w:rPr>
          <w:rFonts w:ascii="Times New Roman" w:eastAsia="Times New Roman" w:hAnsi="Times New Roman" w:cs="Times New Roman"/>
          <w:kern w:val="0"/>
          <w:sz w:val="20"/>
          <w:szCs w:val="20"/>
          <w:lang w:val="en-GB"/>
          <w14:ligatures w14:val="none"/>
        </w:rPr>
        <w:t>LUT for 2UL cases (</w:t>
      </w:r>
      <w:proofErr w:type="spellStart"/>
      <w:r w:rsidRPr="00A841A6">
        <w:rPr>
          <w:rFonts w:ascii="Times New Roman" w:eastAsia="Times New Roman" w:hAnsi="Times New Roman" w:cs="Times New Roman"/>
          <w:kern w:val="0"/>
          <w:sz w:val="20"/>
          <w:szCs w:val="20"/>
          <w:lang w:val="en-GB"/>
          <w14:ligatures w14:val="none"/>
        </w:rPr>
        <w:t>Intermodulations</w:t>
      </w:r>
      <w:proofErr w:type="spellEnd"/>
      <w:r w:rsidRPr="00A841A6">
        <w:rPr>
          <w:rFonts w:ascii="Times New Roman" w:eastAsia="Times New Roman" w:hAnsi="Times New Roman" w:cs="Times New Roman"/>
          <w:kern w:val="0"/>
          <w:sz w:val="20"/>
          <w:szCs w:val="20"/>
          <w:lang w:val="en-GB"/>
          <w14:ligatures w14:val="none"/>
        </w:rPr>
        <w:t>) applies for 1</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+1</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 1</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+2</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 2</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+1</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 and 2</w:t>
      </w:r>
      <w:r>
        <w:rPr>
          <w:rFonts w:ascii="Times New Roman" w:eastAsia="Times New Roman" w:hAnsi="Times New Roman" w:cs="Times New Roman"/>
          <w:kern w:val="0"/>
          <w:sz w:val="20"/>
          <w:szCs w:val="20"/>
          <w:lang w:val="en-GB"/>
          <w14:ligatures w14:val="none"/>
        </w:rPr>
        <w:t>Tx</w:t>
      </w:r>
      <w:r w:rsidRPr="00A841A6">
        <w:rPr>
          <w:rFonts w:ascii="Times New Roman" w:eastAsia="Times New Roman" w:hAnsi="Times New Roman" w:cs="Times New Roman"/>
          <w:kern w:val="0"/>
          <w:sz w:val="20"/>
          <w:szCs w:val="20"/>
          <w:lang w:val="en-GB"/>
          <w14:ligatures w14:val="none"/>
        </w:rPr>
        <w:t>+2</w:t>
      </w:r>
      <w:r>
        <w:rPr>
          <w:rFonts w:ascii="Times New Roman" w:eastAsia="Times New Roman" w:hAnsi="Times New Roman" w:cs="Times New Roman"/>
          <w:kern w:val="0"/>
          <w:sz w:val="20"/>
          <w:szCs w:val="20"/>
          <w:lang w:val="en-GB"/>
          <w14:ligatures w14:val="none"/>
        </w:rPr>
        <w:t>Tx cases.</w:t>
      </w:r>
    </w:p>
    <w:p w14:paraId="26D1085D" w14:textId="77777777" w:rsidR="005D72D7" w:rsidRDefault="005D72D7" w:rsidP="005D72D7">
      <w:pPr>
        <w:spacing w:after="180" w:line="240" w:lineRule="auto"/>
        <w:rPr>
          <w:rFonts w:ascii="Times New Roman" w:eastAsia="Times New Roman" w:hAnsi="Times New Roman" w:cs="Times New Roman"/>
          <w:kern w:val="0"/>
          <w:sz w:val="20"/>
          <w:szCs w:val="20"/>
          <w:lang w:val="en-GB"/>
          <w14:ligatures w14:val="none"/>
        </w:rPr>
      </w:pPr>
      <w:r w:rsidRPr="000B1EC5">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7</w:t>
      </w:r>
      <w:r>
        <w:rPr>
          <w:rFonts w:ascii="Times New Roman" w:eastAsia="Times New Roman" w:hAnsi="Times New Roman" w:cs="Times New Roman"/>
          <w:kern w:val="0"/>
          <w:sz w:val="20"/>
          <w:szCs w:val="20"/>
          <w:lang w:val="en-GB"/>
          <w14:ligatures w14:val="none"/>
        </w:rPr>
        <w:t>: Use the following LUT’s for 2UL cases (</w:t>
      </w:r>
      <w:proofErr w:type="spellStart"/>
      <w:r>
        <w:rPr>
          <w:rFonts w:ascii="Times New Roman" w:eastAsia="Times New Roman" w:hAnsi="Times New Roman" w:cs="Times New Roman"/>
          <w:kern w:val="0"/>
          <w:sz w:val="20"/>
          <w:szCs w:val="20"/>
          <w:lang w:val="en-GB"/>
          <w14:ligatures w14:val="none"/>
        </w:rPr>
        <w:t>Intermodulations</w:t>
      </w:r>
      <w:proofErr w:type="spellEnd"/>
      <w:r>
        <w:rPr>
          <w:rFonts w:ascii="Times New Roman" w:eastAsia="Times New Roman" w:hAnsi="Times New Roman" w:cs="Times New Roman"/>
          <w:kern w:val="0"/>
          <w:sz w:val="20"/>
          <w:szCs w:val="20"/>
          <w:lang w:val="en-GB"/>
          <w14:ligatures w14:val="none"/>
        </w:rPr>
        <w:t>) for initial discussions. Final LUT format(s) should be further simplified.</w:t>
      </w:r>
    </w:p>
    <w:p w14:paraId="3C3A95C0" w14:textId="77777777" w:rsidR="005D72D7" w:rsidRDefault="005D72D7" w:rsidP="005D72D7">
      <w:pPr>
        <w:keepNext/>
      </w:pPr>
      <w:r w:rsidRPr="00543C32">
        <w:rPr>
          <w:noProof/>
        </w:rPr>
        <w:drawing>
          <wp:inline distT="0" distB="0" distL="0" distR="0" wp14:anchorId="5D1B442C" wp14:editId="7A13284B">
            <wp:extent cx="2761488" cy="1746504"/>
            <wp:effectExtent l="0" t="0" r="1270" b="6350"/>
            <wp:docPr id="1286761339" name="Picture 128676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1488" cy="1746504"/>
                    </a:xfrm>
                    <a:prstGeom prst="rect">
                      <a:avLst/>
                    </a:prstGeom>
                    <a:noFill/>
                    <a:ln>
                      <a:noFill/>
                    </a:ln>
                  </pic:spPr>
                </pic:pic>
              </a:graphicData>
            </a:graphic>
          </wp:inline>
        </w:drawing>
      </w:r>
      <w:r w:rsidRPr="00543C32">
        <w:rPr>
          <w:noProof/>
        </w:rPr>
        <w:drawing>
          <wp:inline distT="0" distB="0" distL="0" distR="0" wp14:anchorId="4BFDBD0E" wp14:editId="604AAD02">
            <wp:extent cx="2862072" cy="1746504"/>
            <wp:effectExtent l="0" t="0" r="0" b="6350"/>
            <wp:docPr id="1790981162" name="Picture 179098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2072" cy="1746504"/>
                    </a:xfrm>
                    <a:prstGeom prst="rect">
                      <a:avLst/>
                    </a:prstGeom>
                    <a:noFill/>
                    <a:ln>
                      <a:noFill/>
                    </a:ln>
                  </pic:spPr>
                </pic:pic>
              </a:graphicData>
            </a:graphic>
          </wp:inline>
        </w:drawing>
      </w:r>
    </w:p>
    <w:p w14:paraId="2E8FC8E8" w14:textId="77777777" w:rsidR="005D72D7" w:rsidRDefault="005D72D7" w:rsidP="005D72D7">
      <w:pPr>
        <w:spacing w:after="180" w:line="240" w:lineRule="auto"/>
        <w:rPr>
          <w:rFonts w:ascii="Times New Roman" w:eastAsia="Times New Roman" w:hAnsi="Times New Roman" w:cs="Times New Roman"/>
          <w:kern w:val="0"/>
          <w:sz w:val="20"/>
          <w:szCs w:val="20"/>
          <w14:ligatures w14:val="none"/>
        </w:rPr>
      </w:pPr>
      <w:r w:rsidRPr="006B3C63">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6B3C63">
        <w:rPr>
          <w:rFonts w:ascii="Times New Roman" w:hAnsi="Times New Roman" w:cs="Times New Roman"/>
          <w:b/>
          <w:bCs/>
          <w:sz w:val="20"/>
          <w:szCs w:val="20"/>
        </w:rPr>
        <w:t>:</w:t>
      </w:r>
      <w:r w:rsidRPr="006B3C63">
        <w:rPr>
          <w:rFonts w:ascii="Times New Roman" w:hAnsi="Times New Roman" w:cs="Times New Roman"/>
          <w:sz w:val="20"/>
          <w:szCs w:val="20"/>
        </w:rPr>
        <w:t xml:space="preserve"> </w:t>
      </w:r>
      <w:r>
        <w:rPr>
          <w:rFonts w:ascii="Times New Roman" w:hAnsi="Times New Roman" w:cs="Times New Roman"/>
          <w:sz w:val="20"/>
          <w:szCs w:val="20"/>
        </w:rPr>
        <w:t xml:space="preserve">RAN4 should discuss if some kind of limitations to HPUE MSD’s for ≥[IMD4] should be </w:t>
      </w:r>
      <w:proofErr w:type="gramStart"/>
      <w:r>
        <w:rPr>
          <w:rFonts w:ascii="Times New Roman" w:hAnsi="Times New Roman" w:cs="Times New Roman"/>
          <w:sz w:val="20"/>
          <w:szCs w:val="20"/>
        </w:rPr>
        <w:t>considered</w:t>
      </w:r>
      <w:proofErr w:type="gramEnd"/>
    </w:p>
    <w:p w14:paraId="201CB2AD" w14:textId="77777777" w:rsidR="00AF2119" w:rsidRPr="000D6177" w:rsidRDefault="00AF2119" w:rsidP="00B224C8">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9C34331" w14:textId="587A06E6" w:rsidR="006B293C" w:rsidRDefault="006B293C" w:rsidP="006B293C">
      <w:pPr>
        <w:rPr>
          <w:rFonts w:ascii="Times New Roman" w:hAnsi="Times New Roman" w:cs="Times New Roman"/>
          <w:sz w:val="20"/>
          <w:szCs w:val="20"/>
        </w:rPr>
      </w:pPr>
      <w:r w:rsidRPr="006B293C">
        <w:rPr>
          <w:rFonts w:ascii="Times New Roman" w:hAnsi="Times New Roman" w:cs="Times New Roman"/>
          <w:sz w:val="20"/>
          <w:szCs w:val="20"/>
        </w:rPr>
        <w:t>[1] R</w:t>
      </w:r>
      <w:r w:rsidR="002B2450">
        <w:rPr>
          <w:rFonts w:ascii="Times New Roman" w:hAnsi="Times New Roman" w:cs="Times New Roman"/>
          <w:sz w:val="20"/>
          <w:szCs w:val="20"/>
        </w:rPr>
        <w:t>4</w:t>
      </w:r>
      <w:r w:rsidRPr="006B293C">
        <w:rPr>
          <w:rFonts w:ascii="Times New Roman" w:hAnsi="Times New Roman" w:cs="Times New Roman"/>
          <w:sz w:val="20"/>
          <w:szCs w:val="20"/>
        </w:rPr>
        <w:t>-2</w:t>
      </w:r>
      <w:r w:rsidR="00B918D2">
        <w:rPr>
          <w:rFonts w:ascii="Times New Roman" w:hAnsi="Times New Roman" w:cs="Times New Roman"/>
          <w:sz w:val="20"/>
          <w:szCs w:val="20"/>
        </w:rPr>
        <w:t>5</w:t>
      </w:r>
      <w:r w:rsidR="00750A17">
        <w:rPr>
          <w:rFonts w:ascii="Times New Roman" w:hAnsi="Times New Roman" w:cs="Times New Roman"/>
          <w:sz w:val="20"/>
          <w:szCs w:val="20"/>
        </w:rPr>
        <w:t>01579</w:t>
      </w:r>
      <w:r w:rsidRPr="006B293C">
        <w:rPr>
          <w:rFonts w:ascii="Times New Roman" w:hAnsi="Times New Roman" w:cs="Times New Roman"/>
          <w:sz w:val="20"/>
          <w:szCs w:val="20"/>
        </w:rPr>
        <w:t xml:space="preserve">, </w:t>
      </w:r>
      <w:r w:rsidR="002E7AAD">
        <w:rPr>
          <w:rFonts w:ascii="Times New Roman" w:hAnsi="Times New Roman" w:cs="Times New Roman"/>
          <w:sz w:val="20"/>
          <w:szCs w:val="20"/>
        </w:rPr>
        <w:t>“</w:t>
      </w:r>
      <w:r w:rsidR="007C525A" w:rsidRPr="007C525A">
        <w:rPr>
          <w:rFonts w:ascii="Times New Roman" w:hAnsi="Times New Roman" w:cs="Times New Roman"/>
          <w:sz w:val="20"/>
          <w:szCs w:val="20"/>
        </w:rPr>
        <w:t>MSD beyond PC3</w:t>
      </w:r>
      <w:r w:rsidR="006C2F9C">
        <w:rPr>
          <w:rFonts w:ascii="Times New Roman" w:hAnsi="Times New Roman" w:cs="Times New Roman"/>
          <w:sz w:val="20"/>
          <w:szCs w:val="20"/>
        </w:rPr>
        <w:t xml:space="preserve">”, </w:t>
      </w:r>
      <w:r w:rsidR="004B55B9">
        <w:rPr>
          <w:rFonts w:ascii="Times New Roman" w:hAnsi="Times New Roman" w:cs="Times New Roman"/>
          <w:sz w:val="20"/>
          <w:szCs w:val="20"/>
        </w:rPr>
        <w:t>Qualcomm France</w:t>
      </w:r>
    </w:p>
    <w:p w14:paraId="32E1643B" w14:textId="41E063C9" w:rsidR="0050742F" w:rsidRDefault="003859FD" w:rsidP="006B293C">
      <w:pPr>
        <w:rPr>
          <w:rFonts w:ascii="Times New Roman" w:hAnsi="Times New Roman" w:cs="Times New Roman"/>
          <w:sz w:val="20"/>
          <w:szCs w:val="20"/>
        </w:rPr>
      </w:pPr>
      <w:r>
        <w:rPr>
          <w:rFonts w:ascii="Times New Roman" w:hAnsi="Times New Roman" w:cs="Times New Roman"/>
          <w:sz w:val="20"/>
          <w:szCs w:val="20"/>
        </w:rPr>
        <w:t>[2] R4-2501955, “</w:t>
      </w:r>
      <w:r w:rsidRPr="003859FD">
        <w:rPr>
          <w:rFonts w:ascii="Times New Roman" w:hAnsi="Times New Roman" w:cs="Times New Roman"/>
          <w:sz w:val="20"/>
          <w:szCs w:val="20"/>
        </w:rPr>
        <w:t>1UL MSD simplifications rules for Rel-19</w:t>
      </w:r>
      <w:r>
        <w:rPr>
          <w:rFonts w:ascii="Times New Roman" w:hAnsi="Times New Roman" w:cs="Times New Roman"/>
          <w:sz w:val="20"/>
          <w:szCs w:val="20"/>
        </w:rPr>
        <w:t>”, Skyworks Inc, Nokia</w:t>
      </w:r>
    </w:p>
    <w:p w14:paraId="0B8EC059" w14:textId="7B05D955" w:rsidR="004B55B9" w:rsidRDefault="004B55B9" w:rsidP="006B293C">
      <w:pPr>
        <w:rPr>
          <w:rFonts w:ascii="Times New Roman" w:hAnsi="Times New Roman" w:cs="Times New Roman"/>
          <w:sz w:val="20"/>
          <w:szCs w:val="20"/>
        </w:rPr>
      </w:pPr>
      <w:r>
        <w:rPr>
          <w:rFonts w:ascii="Times New Roman" w:hAnsi="Times New Roman" w:cs="Times New Roman"/>
          <w:sz w:val="20"/>
          <w:szCs w:val="20"/>
        </w:rPr>
        <w:t>[</w:t>
      </w:r>
      <w:r w:rsidR="00CB0570">
        <w:rPr>
          <w:rFonts w:ascii="Times New Roman" w:hAnsi="Times New Roman" w:cs="Times New Roman"/>
          <w:sz w:val="20"/>
          <w:szCs w:val="20"/>
        </w:rPr>
        <w:t>3</w:t>
      </w:r>
      <w:r>
        <w:rPr>
          <w:rFonts w:ascii="Times New Roman" w:hAnsi="Times New Roman" w:cs="Times New Roman"/>
          <w:sz w:val="20"/>
          <w:szCs w:val="20"/>
        </w:rPr>
        <w:t>] R4-</w:t>
      </w:r>
      <w:r w:rsidR="0050742F">
        <w:rPr>
          <w:rFonts w:ascii="Times New Roman" w:hAnsi="Times New Roman" w:cs="Times New Roman"/>
          <w:sz w:val="20"/>
          <w:szCs w:val="20"/>
        </w:rPr>
        <w:t>2500218, “</w:t>
      </w:r>
      <w:r w:rsidR="0050742F" w:rsidRPr="0050742F">
        <w:rPr>
          <w:rFonts w:ascii="Times New Roman" w:hAnsi="Times New Roman" w:cs="Times New Roman"/>
          <w:sz w:val="20"/>
          <w:szCs w:val="20"/>
        </w:rPr>
        <w:t xml:space="preserve">Simplification of HPUE 2UL </w:t>
      </w:r>
      <w:proofErr w:type="spellStart"/>
      <w:r w:rsidR="0050742F" w:rsidRPr="0050742F">
        <w:rPr>
          <w:rFonts w:ascii="Times New Roman" w:hAnsi="Times New Roman" w:cs="Times New Roman"/>
          <w:sz w:val="20"/>
          <w:szCs w:val="20"/>
        </w:rPr>
        <w:t>DeltaMSD</w:t>
      </w:r>
      <w:proofErr w:type="spellEnd"/>
      <w:r w:rsidR="0050742F">
        <w:rPr>
          <w:rFonts w:ascii="Times New Roman" w:hAnsi="Times New Roman" w:cs="Times New Roman"/>
          <w:sz w:val="20"/>
          <w:szCs w:val="20"/>
        </w:rPr>
        <w:t>”, Skyworks Inc.</w:t>
      </w:r>
    </w:p>
    <w:p w14:paraId="5EE0D7B8" w14:textId="4FC90FAE" w:rsidR="00EB30E8" w:rsidRPr="005513CD" w:rsidRDefault="00452571" w:rsidP="005513CD">
      <w:pPr>
        <w:ind w:right="288"/>
        <w:rPr>
          <w:rFonts w:ascii="Times New Roman" w:hAnsi="Times New Roman" w:cs="Times New Roman"/>
          <w:sz w:val="20"/>
          <w:szCs w:val="20"/>
        </w:rPr>
      </w:pPr>
      <w:r>
        <w:rPr>
          <w:rFonts w:ascii="Times New Roman" w:hAnsi="Times New Roman" w:cs="Times New Roman"/>
          <w:sz w:val="20"/>
          <w:szCs w:val="20"/>
        </w:rPr>
        <w:t xml:space="preserve">[4] </w:t>
      </w:r>
      <w:r w:rsidR="00ED5E29" w:rsidRPr="006B293C">
        <w:rPr>
          <w:rFonts w:ascii="Times New Roman" w:hAnsi="Times New Roman" w:cs="Times New Roman"/>
          <w:sz w:val="20"/>
          <w:szCs w:val="20"/>
        </w:rPr>
        <w:t>R</w:t>
      </w:r>
      <w:r w:rsidR="00ED5E29">
        <w:rPr>
          <w:rFonts w:ascii="Times New Roman" w:hAnsi="Times New Roman" w:cs="Times New Roman"/>
          <w:sz w:val="20"/>
          <w:szCs w:val="20"/>
        </w:rPr>
        <w:t>4</w:t>
      </w:r>
      <w:r w:rsidR="00ED5E29" w:rsidRPr="006B293C">
        <w:rPr>
          <w:rFonts w:ascii="Times New Roman" w:hAnsi="Times New Roman" w:cs="Times New Roman"/>
          <w:sz w:val="20"/>
          <w:szCs w:val="20"/>
        </w:rPr>
        <w:t>-2</w:t>
      </w:r>
      <w:r w:rsidR="00ED5E29">
        <w:rPr>
          <w:rFonts w:ascii="Times New Roman" w:hAnsi="Times New Roman" w:cs="Times New Roman"/>
          <w:sz w:val="20"/>
          <w:szCs w:val="20"/>
        </w:rPr>
        <w:t>420380</w:t>
      </w:r>
      <w:r w:rsidR="00ED5E29" w:rsidRPr="006B293C">
        <w:rPr>
          <w:rFonts w:ascii="Times New Roman" w:hAnsi="Times New Roman" w:cs="Times New Roman"/>
          <w:sz w:val="20"/>
          <w:szCs w:val="20"/>
        </w:rPr>
        <w:t xml:space="preserve">, </w:t>
      </w:r>
      <w:r w:rsidR="00ED5E29">
        <w:rPr>
          <w:rFonts w:ascii="Times New Roman" w:hAnsi="Times New Roman" w:cs="Times New Roman"/>
          <w:sz w:val="20"/>
          <w:szCs w:val="20"/>
        </w:rPr>
        <w:t>“</w:t>
      </w:r>
      <w:r w:rsidR="00ED5E29" w:rsidRPr="00BA67EA">
        <w:rPr>
          <w:rFonts w:ascii="Times New Roman" w:hAnsi="Times New Roman" w:cs="Times New Roman"/>
          <w:sz w:val="20"/>
          <w:szCs w:val="20"/>
        </w:rPr>
        <w:t>WF on MSD rule</w:t>
      </w:r>
      <w:r w:rsidR="00ED5E29">
        <w:rPr>
          <w:rFonts w:ascii="Times New Roman" w:hAnsi="Times New Roman" w:cs="Times New Roman"/>
          <w:sz w:val="20"/>
          <w:szCs w:val="20"/>
        </w:rPr>
        <w:t xml:space="preserve">”, </w:t>
      </w:r>
      <w:r w:rsidR="00ED5E29" w:rsidRPr="00DD29FB">
        <w:rPr>
          <w:rFonts w:ascii="Times New Roman" w:hAnsi="Times New Roman" w:cs="Times New Roman"/>
          <w:sz w:val="20"/>
          <w:szCs w:val="20"/>
        </w:rPr>
        <w:t>Skyworks, Murata, Nokia, Qualcomm</w:t>
      </w: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7DC7"/>
    <w:multiLevelType w:val="hybridMultilevel"/>
    <w:tmpl w:val="39BAF1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901AA6"/>
    <w:multiLevelType w:val="multilevel"/>
    <w:tmpl w:val="129C2B8E"/>
    <w:lvl w:ilvl="0">
      <w:start w:val="1"/>
      <w:numFmt w:val="bullet"/>
      <w:lvlText w:val=""/>
      <w:lvlJc w:val="left"/>
      <w:pPr>
        <w:ind w:left="936" w:hanging="360"/>
      </w:pPr>
      <w:rPr>
        <w:rFonts w:ascii="Wingdings" w:hAnsi="Wingdings" w:hint="default"/>
      </w:rPr>
    </w:lvl>
    <w:lvl w:ilvl="1">
      <w:start w:val="1"/>
      <w:numFmt w:val="bullet"/>
      <w:lvlText w:val=""/>
      <w:lvlJc w:val="left"/>
      <w:pPr>
        <w:ind w:left="1736" w:hanging="440"/>
      </w:pPr>
      <w:rPr>
        <w:rFonts w:ascii="Wingdings" w:hAnsi="Wingdings" w:hint="default"/>
        <w:lang w:val="en-US"/>
      </w:rPr>
    </w:lvl>
    <w:lvl w:ilvl="2">
      <w:start w:val="1"/>
      <w:numFmt w:val="bullet"/>
      <w:lvlText w:val=""/>
      <w:lvlJc w:val="left"/>
      <w:pPr>
        <w:ind w:left="2456" w:hanging="44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41852"/>
    <w:multiLevelType w:val="hybridMultilevel"/>
    <w:tmpl w:val="9E2C9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527D"/>
    <w:multiLevelType w:val="hybridMultilevel"/>
    <w:tmpl w:val="A77249F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9B1441"/>
    <w:multiLevelType w:val="hybridMultilevel"/>
    <w:tmpl w:val="55841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A97BED"/>
    <w:multiLevelType w:val="hybridMultilevel"/>
    <w:tmpl w:val="26DC24E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B47DEE"/>
    <w:multiLevelType w:val="hybridMultilevel"/>
    <w:tmpl w:val="CCD8114A"/>
    <w:lvl w:ilvl="0" w:tplc="84D07FA4">
      <w:start w:val="1"/>
      <w:numFmt w:val="bullet"/>
      <w:lvlText w:val="•"/>
      <w:lvlJc w:val="left"/>
      <w:pPr>
        <w:tabs>
          <w:tab w:val="num" w:pos="720"/>
        </w:tabs>
        <w:ind w:left="720" w:hanging="360"/>
      </w:pPr>
      <w:rPr>
        <w:rFonts w:ascii="Arial" w:hAnsi="Arial" w:hint="default"/>
      </w:rPr>
    </w:lvl>
    <w:lvl w:ilvl="1" w:tplc="3E4EA642">
      <w:start w:val="1"/>
      <w:numFmt w:val="bullet"/>
      <w:lvlText w:val="•"/>
      <w:lvlJc w:val="left"/>
      <w:pPr>
        <w:tabs>
          <w:tab w:val="num" w:pos="1440"/>
        </w:tabs>
        <w:ind w:left="1440" w:hanging="360"/>
      </w:pPr>
      <w:rPr>
        <w:rFonts w:ascii="Arial" w:hAnsi="Arial" w:hint="default"/>
      </w:rPr>
    </w:lvl>
    <w:lvl w:ilvl="2" w:tplc="DA3A88B0">
      <w:numFmt w:val="bullet"/>
      <w:lvlText w:val="•"/>
      <w:lvlJc w:val="left"/>
      <w:pPr>
        <w:tabs>
          <w:tab w:val="num" w:pos="2160"/>
        </w:tabs>
        <w:ind w:left="2160" w:hanging="360"/>
      </w:pPr>
      <w:rPr>
        <w:rFonts w:ascii="Arial" w:hAnsi="Arial" w:hint="default"/>
      </w:rPr>
    </w:lvl>
    <w:lvl w:ilvl="3" w:tplc="34A29CA0" w:tentative="1">
      <w:start w:val="1"/>
      <w:numFmt w:val="bullet"/>
      <w:lvlText w:val="•"/>
      <w:lvlJc w:val="left"/>
      <w:pPr>
        <w:tabs>
          <w:tab w:val="num" w:pos="2880"/>
        </w:tabs>
        <w:ind w:left="2880" w:hanging="360"/>
      </w:pPr>
      <w:rPr>
        <w:rFonts w:ascii="Arial" w:hAnsi="Arial" w:hint="default"/>
      </w:rPr>
    </w:lvl>
    <w:lvl w:ilvl="4" w:tplc="16EE0614" w:tentative="1">
      <w:start w:val="1"/>
      <w:numFmt w:val="bullet"/>
      <w:lvlText w:val="•"/>
      <w:lvlJc w:val="left"/>
      <w:pPr>
        <w:tabs>
          <w:tab w:val="num" w:pos="3600"/>
        </w:tabs>
        <w:ind w:left="3600" w:hanging="360"/>
      </w:pPr>
      <w:rPr>
        <w:rFonts w:ascii="Arial" w:hAnsi="Arial" w:hint="default"/>
      </w:rPr>
    </w:lvl>
    <w:lvl w:ilvl="5" w:tplc="6AAA5766" w:tentative="1">
      <w:start w:val="1"/>
      <w:numFmt w:val="bullet"/>
      <w:lvlText w:val="•"/>
      <w:lvlJc w:val="left"/>
      <w:pPr>
        <w:tabs>
          <w:tab w:val="num" w:pos="4320"/>
        </w:tabs>
        <w:ind w:left="4320" w:hanging="360"/>
      </w:pPr>
      <w:rPr>
        <w:rFonts w:ascii="Arial" w:hAnsi="Arial" w:hint="default"/>
      </w:rPr>
    </w:lvl>
    <w:lvl w:ilvl="6" w:tplc="622C924A" w:tentative="1">
      <w:start w:val="1"/>
      <w:numFmt w:val="bullet"/>
      <w:lvlText w:val="•"/>
      <w:lvlJc w:val="left"/>
      <w:pPr>
        <w:tabs>
          <w:tab w:val="num" w:pos="5040"/>
        </w:tabs>
        <w:ind w:left="5040" w:hanging="360"/>
      </w:pPr>
      <w:rPr>
        <w:rFonts w:ascii="Arial" w:hAnsi="Arial" w:hint="default"/>
      </w:rPr>
    </w:lvl>
    <w:lvl w:ilvl="7" w:tplc="A894A19C" w:tentative="1">
      <w:start w:val="1"/>
      <w:numFmt w:val="bullet"/>
      <w:lvlText w:val="•"/>
      <w:lvlJc w:val="left"/>
      <w:pPr>
        <w:tabs>
          <w:tab w:val="num" w:pos="5760"/>
        </w:tabs>
        <w:ind w:left="5760" w:hanging="360"/>
      </w:pPr>
      <w:rPr>
        <w:rFonts w:ascii="Arial" w:hAnsi="Arial" w:hint="default"/>
      </w:rPr>
    </w:lvl>
    <w:lvl w:ilvl="8" w:tplc="8598BC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C45468"/>
    <w:multiLevelType w:val="hybridMultilevel"/>
    <w:tmpl w:val="1478B52E"/>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E4580E"/>
    <w:multiLevelType w:val="hybridMultilevel"/>
    <w:tmpl w:val="24FC43B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AD4AC9"/>
    <w:multiLevelType w:val="multilevel"/>
    <w:tmpl w:val="87F0A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7B5A54"/>
    <w:multiLevelType w:val="hybridMultilevel"/>
    <w:tmpl w:val="4BAC9914"/>
    <w:lvl w:ilvl="0" w:tplc="EBE0AE06">
      <w:start w:val="1"/>
      <w:numFmt w:val="bullet"/>
      <w:lvlText w:val=""/>
      <w:lvlJc w:val="left"/>
      <w:pPr>
        <w:ind w:left="1396" w:hanging="420"/>
      </w:pPr>
      <w:rPr>
        <w:rFonts w:ascii="Wingdings" w:hAnsi="Wingdings" w:hint="default"/>
      </w:rPr>
    </w:lvl>
    <w:lvl w:ilvl="1" w:tplc="0409000B" w:tentative="1">
      <w:start w:val="1"/>
      <w:numFmt w:val="bullet"/>
      <w:lvlText w:val=""/>
      <w:lvlJc w:val="left"/>
      <w:pPr>
        <w:ind w:left="1816" w:hanging="420"/>
      </w:pPr>
      <w:rPr>
        <w:rFonts w:ascii="Wingdings" w:hAnsi="Wingdings" w:hint="default"/>
      </w:rPr>
    </w:lvl>
    <w:lvl w:ilvl="2" w:tplc="0409000D" w:tentative="1">
      <w:start w:val="1"/>
      <w:numFmt w:val="bullet"/>
      <w:lvlText w:val=""/>
      <w:lvlJc w:val="left"/>
      <w:pPr>
        <w:ind w:left="2236" w:hanging="420"/>
      </w:pPr>
      <w:rPr>
        <w:rFonts w:ascii="Wingdings" w:hAnsi="Wingdings" w:hint="default"/>
      </w:rPr>
    </w:lvl>
    <w:lvl w:ilvl="3" w:tplc="04090001" w:tentative="1">
      <w:start w:val="1"/>
      <w:numFmt w:val="bullet"/>
      <w:lvlText w:val=""/>
      <w:lvlJc w:val="left"/>
      <w:pPr>
        <w:ind w:left="2656" w:hanging="420"/>
      </w:pPr>
      <w:rPr>
        <w:rFonts w:ascii="Wingdings" w:hAnsi="Wingdings" w:hint="default"/>
      </w:rPr>
    </w:lvl>
    <w:lvl w:ilvl="4" w:tplc="0409000B" w:tentative="1">
      <w:start w:val="1"/>
      <w:numFmt w:val="bullet"/>
      <w:lvlText w:val=""/>
      <w:lvlJc w:val="left"/>
      <w:pPr>
        <w:ind w:left="3076" w:hanging="420"/>
      </w:pPr>
      <w:rPr>
        <w:rFonts w:ascii="Wingdings" w:hAnsi="Wingdings" w:hint="default"/>
      </w:rPr>
    </w:lvl>
    <w:lvl w:ilvl="5" w:tplc="0409000D" w:tentative="1">
      <w:start w:val="1"/>
      <w:numFmt w:val="bullet"/>
      <w:lvlText w:val=""/>
      <w:lvlJc w:val="left"/>
      <w:pPr>
        <w:ind w:left="3496" w:hanging="420"/>
      </w:pPr>
      <w:rPr>
        <w:rFonts w:ascii="Wingdings" w:hAnsi="Wingdings" w:hint="default"/>
      </w:rPr>
    </w:lvl>
    <w:lvl w:ilvl="6" w:tplc="04090001" w:tentative="1">
      <w:start w:val="1"/>
      <w:numFmt w:val="bullet"/>
      <w:lvlText w:val=""/>
      <w:lvlJc w:val="left"/>
      <w:pPr>
        <w:ind w:left="3916" w:hanging="420"/>
      </w:pPr>
      <w:rPr>
        <w:rFonts w:ascii="Wingdings" w:hAnsi="Wingdings" w:hint="default"/>
      </w:rPr>
    </w:lvl>
    <w:lvl w:ilvl="7" w:tplc="0409000B" w:tentative="1">
      <w:start w:val="1"/>
      <w:numFmt w:val="bullet"/>
      <w:lvlText w:val=""/>
      <w:lvlJc w:val="left"/>
      <w:pPr>
        <w:ind w:left="4336" w:hanging="420"/>
      </w:pPr>
      <w:rPr>
        <w:rFonts w:ascii="Wingdings" w:hAnsi="Wingdings" w:hint="default"/>
      </w:rPr>
    </w:lvl>
    <w:lvl w:ilvl="8" w:tplc="0409000D" w:tentative="1">
      <w:start w:val="1"/>
      <w:numFmt w:val="bullet"/>
      <w:lvlText w:val=""/>
      <w:lvlJc w:val="left"/>
      <w:pPr>
        <w:ind w:left="4756" w:hanging="420"/>
      </w:pPr>
      <w:rPr>
        <w:rFonts w:ascii="Wingdings" w:hAnsi="Wingdings" w:hint="default"/>
      </w:rPr>
    </w:lvl>
  </w:abstractNum>
  <w:abstractNum w:abstractNumId="12" w15:restartNumberingAfterBreak="0">
    <w:nsid w:val="38140563"/>
    <w:multiLevelType w:val="hybridMultilevel"/>
    <w:tmpl w:val="8DEC163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2A0EE2"/>
    <w:multiLevelType w:val="hybridMultilevel"/>
    <w:tmpl w:val="86CA8E78"/>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45C4D98"/>
    <w:multiLevelType w:val="hybridMultilevel"/>
    <w:tmpl w:val="235CC844"/>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9"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8B73482"/>
    <w:multiLevelType w:val="hybridMultilevel"/>
    <w:tmpl w:val="2272EFC4"/>
    <w:lvl w:ilvl="0" w:tplc="04090003">
      <w:start w:val="1"/>
      <w:numFmt w:val="bullet"/>
      <w:lvlText w:val=""/>
      <w:lvlJc w:val="left"/>
      <w:pPr>
        <w:ind w:left="936" w:hanging="360"/>
      </w:pPr>
      <w:rPr>
        <w:rFonts w:ascii="Wingdings" w:hAnsi="Wingdings" w:hint="default"/>
      </w:rPr>
    </w:lvl>
    <w:lvl w:ilvl="1" w:tplc="04090003">
      <w:start w:val="1"/>
      <w:numFmt w:val="bullet"/>
      <w:lvlText w:val=""/>
      <w:lvlJc w:val="left"/>
      <w:pPr>
        <w:ind w:left="1736" w:hanging="440"/>
      </w:pPr>
      <w:rPr>
        <w:rFonts w:ascii="Wingdings" w:hAnsi="Wingdings" w:hint="default"/>
      </w:rPr>
    </w:lvl>
    <w:lvl w:ilvl="2" w:tplc="04090003">
      <w:start w:val="1"/>
      <w:numFmt w:val="bullet"/>
      <w:lvlText w:val=""/>
      <w:lvlJc w:val="left"/>
      <w:pPr>
        <w:ind w:left="2456" w:hanging="44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352D44"/>
    <w:multiLevelType w:val="hybridMultilevel"/>
    <w:tmpl w:val="880216DC"/>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0D7AA4"/>
    <w:multiLevelType w:val="hybridMultilevel"/>
    <w:tmpl w:val="AB68284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24" w15:restartNumberingAfterBreak="0">
    <w:nsid w:val="5E4E2689"/>
    <w:multiLevelType w:val="hybridMultilevel"/>
    <w:tmpl w:val="1D9A15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8200EA"/>
    <w:multiLevelType w:val="multilevel"/>
    <w:tmpl w:val="7722E7BE"/>
    <w:lvl w:ilvl="0">
      <w:start w:val="1"/>
      <w:numFmt w:val="bullet"/>
      <w:lvlText w:val=""/>
      <w:lvlJc w:val="left"/>
      <w:pPr>
        <w:ind w:left="936" w:hanging="360"/>
      </w:pPr>
      <w:rPr>
        <w:rFonts w:ascii="Wingdings" w:hAnsi="Wingdings" w:hint="default"/>
      </w:rPr>
    </w:lvl>
    <w:lvl w:ilvl="1">
      <w:start w:val="1"/>
      <w:numFmt w:val="bullet"/>
      <w:lvlText w:val=""/>
      <w:lvlJc w:val="left"/>
      <w:pPr>
        <w:ind w:left="1736" w:hanging="440"/>
      </w:pPr>
      <w:rPr>
        <w:rFonts w:ascii="Wingdings" w:hAnsi="Wingdings" w:hint="default"/>
        <w:lang w:val="en-US"/>
      </w:rPr>
    </w:lvl>
    <w:lvl w:ilvl="2">
      <w:start w:val="1"/>
      <w:numFmt w:val="bullet"/>
      <w:lvlText w:val=""/>
      <w:lvlJc w:val="left"/>
      <w:pPr>
        <w:ind w:left="2456" w:hanging="44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27"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F613047"/>
    <w:multiLevelType w:val="hybridMultilevel"/>
    <w:tmpl w:val="D338B1D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717461">
    <w:abstractNumId w:val="17"/>
  </w:num>
  <w:num w:numId="2" w16cid:durableId="403166">
    <w:abstractNumId w:val="19"/>
  </w:num>
  <w:num w:numId="3" w16cid:durableId="1369914351">
    <w:abstractNumId w:val="27"/>
  </w:num>
  <w:num w:numId="4" w16cid:durableId="972949259">
    <w:abstractNumId w:val="15"/>
  </w:num>
  <w:num w:numId="5" w16cid:durableId="608388262">
    <w:abstractNumId w:val="23"/>
  </w:num>
  <w:num w:numId="6" w16cid:durableId="442846795">
    <w:abstractNumId w:val="18"/>
  </w:num>
  <w:num w:numId="7" w16cid:durableId="24331905">
    <w:abstractNumId w:val="26"/>
  </w:num>
  <w:num w:numId="8" w16cid:durableId="1274435150">
    <w:abstractNumId w:val="5"/>
  </w:num>
  <w:num w:numId="9" w16cid:durableId="71046761">
    <w:abstractNumId w:val="29"/>
  </w:num>
  <w:num w:numId="10" w16cid:durableId="1553611158">
    <w:abstractNumId w:val="14"/>
  </w:num>
  <w:num w:numId="11" w16cid:durableId="765350048">
    <w:abstractNumId w:val="20"/>
  </w:num>
  <w:num w:numId="12" w16cid:durableId="735855559">
    <w:abstractNumId w:val="0"/>
  </w:num>
  <w:num w:numId="13" w16cid:durableId="242376340">
    <w:abstractNumId w:val="24"/>
  </w:num>
  <w:num w:numId="14" w16cid:durableId="1196653964">
    <w:abstractNumId w:val="12"/>
  </w:num>
  <w:num w:numId="15" w16cid:durableId="1869945163">
    <w:abstractNumId w:val="2"/>
  </w:num>
  <w:num w:numId="16" w16cid:durableId="893736892">
    <w:abstractNumId w:val="10"/>
  </w:num>
  <w:num w:numId="17" w16cid:durableId="1703628011">
    <w:abstractNumId w:val="3"/>
  </w:num>
  <w:num w:numId="18" w16cid:durableId="1332685972">
    <w:abstractNumId w:val="22"/>
  </w:num>
  <w:num w:numId="19" w16cid:durableId="788084970">
    <w:abstractNumId w:val="11"/>
  </w:num>
  <w:num w:numId="20" w16cid:durableId="773862946">
    <w:abstractNumId w:val="9"/>
  </w:num>
  <w:num w:numId="21" w16cid:durableId="526024679">
    <w:abstractNumId w:val="25"/>
  </w:num>
  <w:num w:numId="22" w16cid:durableId="1928032670">
    <w:abstractNumId w:val="1"/>
  </w:num>
  <w:num w:numId="23" w16cid:durableId="447546928">
    <w:abstractNumId w:val="4"/>
  </w:num>
  <w:num w:numId="24" w16cid:durableId="598100917">
    <w:abstractNumId w:val="7"/>
  </w:num>
  <w:num w:numId="25" w16cid:durableId="1366515967">
    <w:abstractNumId w:val="28"/>
  </w:num>
  <w:num w:numId="26" w16cid:durableId="931939857">
    <w:abstractNumId w:val="13"/>
  </w:num>
  <w:num w:numId="27" w16cid:durableId="2100564559">
    <w:abstractNumId w:val="6"/>
  </w:num>
  <w:num w:numId="28" w16cid:durableId="1533111573">
    <w:abstractNumId w:val="8"/>
  </w:num>
  <w:num w:numId="29" w16cid:durableId="1239561157">
    <w:abstractNumId w:val="21"/>
  </w:num>
  <w:num w:numId="30" w16cid:durableId="1002979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60A5"/>
    <w:rsid w:val="0002439B"/>
    <w:rsid w:val="00027CD3"/>
    <w:rsid w:val="00033C67"/>
    <w:rsid w:val="0004112E"/>
    <w:rsid w:val="00044035"/>
    <w:rsid w:val="00045E92"/>
    <w:rsid w:val="00051258"/>
    <w:rsid w:val="00051D0F"/>
    <w:rsid w:val="00052493"/>
    <w:rsid w:val="0006113B"/>
    <w:rsid w:val="00062B86"/>
    <w:rsid w:val="000635E7"/>
    <w:rsid w:val="00064950"/>
    <w:rsid w:val="00074D03"/>
    <w:rsid w:val="000751D0"/>
    <w:rsid w:val="00076828"/>
    <w:rsid w:val="00081E3D"/>
    <w:rsid w:val="000821EC"/>
    <w:rsid w:val="00082AB1"/>
    <w:rsid w:val="000938FB"/>
    <w:rsid w:val="00095115"/>
    <w:rsid w:val="00096144"/>
    <w:rsid w:val="00097450"/>
    <w:rsid w:val="000A6928"/>
    <w:rsid w:val="000B7281"/>
    <w:rsid w:val="000B7FB8"/>
    <w:rsid w:val="000C0729"/>
    <w:rsid w:val="000C594B"/>
    <w:rsid w:val="000D1150"/>
    <w:rsid w:val="000D157E"/>
    <w:rsid w:val="000D3161"/>
    <w:rsid w:val="000D3228"/>
    <w:rsid w:val="000D6177"/>
    <w:rsid w:val="000E23FB"/>
    <w:rsid w:val="000E3B48"/>
    <w:rsid w:val="000E4C3E"/>
    <w:rsid w:val="000E6A34"/>
    <w:rsid w:val="000F098D"/>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244DE"/>
    <w:rsid w:val="00124FD8"/>
    <w:rsid w:val="00126F73"/>
    <w:rsid w:val="0013337D"/>
    <w:rsid w:val="00152E75"/>
    <w:rsid w:val="00156429"/>
    <w:rsid w:val="00156E09"/>
    <w:rsid w:val="001621D1"/>
    <w:rsid w:val="001664FC"/>
    <w:rsid w:val="00166D93"/>
    <w:rsid w:val="00167B56"/>
    <w:rsid w:val="001824A1"/>
    <w:rsid w:val="00183C70"/>
    <w:rsid w:val="00184BEA"/>
    <w:rsid w:val="00185E03"/>
    <w:rsid w:val="00192DDA"/>
    <w:rsid w:val="00197ADD"/>
    <w:rsid w:val="001A0B0C"/>
    <w:rsid w:val="001A2912"/>
    <w:rsid w:val="001A2F52"/>
    <w:rsid w:val="001A38C6"/>
    <w:rsid w:val="001A6466"/>
    <w:rsid w:val="001C20E2"/>
    <w:rsid w:val="001D0549"/>
    <w:rsid w:val="001E1CFF"/>
    <w:rsid w:val="001E4991"/>
    <w:rsid w:val="001E5F7E"/>
    <w:rsid w:val="001F085C"/>
    <w:rsid w:val="001F381D"/>
    <w:rsid w:val="001F3E81"/>
    <w:rsid w:val="001F7DE6"/>
    <w:rsid w:val="00200A53"/>
    <w:rsid w:val="00203450"/>
    <w:rsid w:val="00206CA4"/>
    <w:rsid w:val="0021026D"/>
    <w:rsid w:val="002219D4"/>
    <w:rsid w:val="00222E80"/>
    <w:rsid w:val="00230A42"/>
    <w:rsid w:val="00231284"/>
    <w:rsid w:val="00232A97"/>
    <w:rsid w:val="00233199"/>
    <w:rsid w:val="0023380D"/>
    <w:rsid w:val="002532D1"/>
    <w:rsid w:val="0025440D"/>
    <w:rsid w:val="00254983"/>
    <w:rsid w:val="00260B98"/>
    <w:rsid w:val="00263166"/>
    <w:rsid w:val="00266D26"/>
    <w:rsid w:val="00272E8F"/>
    <w:rsid w:val="002739F4"/>
    <w:rsid w:val="00281413"/>
    <w:rsid w:val="0028432A"/>
    <w:rsid w:val="00287EC7"/>
    <w:rsid w:val="00287F30"/>
    <w:rsid w:val="00294A6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3154D9"/>
    <w:rsid w:val="00321233"/>
    <w:rsid w:val="00321BF7"/>
    <w:rsid w:val="00323BBA"/>
    <w:rsid w:val="00335684"/>
    <w:rsid w:val="0034463A"/>
    <w:rsid w:val="00347462"/>
    <w:rsid w:val="003550D9"/>
    <w:rsid w:val="0035745F"/>
    <w:rsid w:val="0036188B"/>
    <w:rsid w:val="00361D49"/>
    <w:rsid w:val="00362AF8"/>
    <w:rsid w:val="0036375E"/>
    <w:rsid w:val="0036394F"/>
    <w:rsid w:val="00383D5D"/>
    <w:rsid w:val="003859FD"/>
    <w:rsid w:val="00386CED"/>
    <w:rsid w:val="00387E34"/>
    <w:rsid w:val="003A2B29"/>
    <w:rsid w:val="003A3F92"/>
    <w:rsid w:val="003A50BE"/>
    <w:rsid w:val="003B280C"/>
    <w:rsid w:val="003B67F4"/>
    <w:rsid w:val="003D2DC6"/>
    <w:rsid w:val="003D4197"/>
    <w:rsid w:val="003D4E5C"/>
    <w:rsid w:val="003D5E12"/>
    <w:rsid w:val="003D678B"/>
    <w:rsid w:val="003E0634"/>
    <w:rsid w:val="003F04DC"/>
    <w:rsid w:val="003F39A9"/>
    <w:rsid w:val="003F5E62"/>
    <w:rsid w:val="003F717D"/>
    <w:rsid w:val="0040074C"/>
    <w:rsid w:val="00406948"/>
    <w:rsid w:val="004151B4"/>
    <w:rsid w:val="00420CC2"/>
    <w:rsid w:val="00421462"/>
    <w:rsid w:val="0042217A"/>
    <w:rsid w:val="004223DF"/>
    <w:rsid w:val="00433C38"/>
    <w:rsid w:val="00435F44"/>
    <w:rsid w:val="00436F02"/>
    <w:rsid w:val="00437E96"/>
    <w:rsid w:val="004474F7"/>
    <w:rsid w:val="00447D79"/>
    <w:rsid w:val="00452571"/>
    <w:rsid w:val="00455DF3"/>
    <w:rsid w:val="00464ADC"/>
    <w:rsid w:val="00490253"/>
    <w:rsid w:val="00495EFD"/>
    <w:rsid w:val="004A0399"/>
    <w:rsid w:val="004A3802"/>
    <w:rsid w:val="004A5E5D"/>
    <w:rsid w:val="004A6558"/>
    <w:rsid w:val="004A7E3B"/>
    <w:rsid w:val="004B17B2"/>
    <w:rsid w:val="004B535E"/>
    <w:rsid w:val="004B55B9"/>
    <w:rsid w:val="004B7A6D"/>
    <w:rsid w:val="004C5093"/>
    <w:rsid w:val="004D096B"/>
    <w:rsid w:val="004D27D9"/>
    <w:rsid w:val="004E1690"/>
    <w:rsid w:val="004E1D96"/>
    <w:rsid w:val="004F3631"/>
    <w:rsid w:val="004F6DD3"/>
    <w:rsid w:val="004F6F62"/>
    <w:rsid w:val="004F734E"/>
    <w:rsid w:val="00503B66"/>
    <w:rsid w:val="00503BD2"/>
    <w:rsid w:val="00503FA4"/>
    <w:rsid w:val="005061E1"/>
    <w:rsid w:val="0050742F"/>
    <w:rsid w:val="00507D60"/>
    <w:rsid w:val="00515D95"/>
    <w:rsid w:val="0051644D"/>
    <w:rsid w:val="00521E7F"/>
    <w:rsid w:val="00523605"/>
    <w:rsid w:val="00532BA3"/>
    <w:rsid w:val="00534EA2"/>
    <w:rsid w:val="00535BAD"/>
    <w:rsid w:val="005441EC"/>
    <w:rsid w:val="005513CD"/>
    <w:rsid w:val="00554C88"/>
    <w:rsid w:val="005556EA"/>
    <w:rsid w:val="005560A7"/>
    <w:rsid w:val="005632AC"/>
    <w:rsid w:val="00565C00"/>
    <w:rsid w:val="00566737"/>
    <w:rsid w:val="00573FC9"/>
    <w:rsid w:val="00575ACB"/>
    <w:rsid w:val="0058010D"/>
    <w:rsid w:val="00581ABA"/>
    <w:rsid w:val="00583320"/>
    <w:rsid w:val="005848DD"/>
    <w:rsid w:val="00587769"/>
    <w:rsid w:val="00593131"/>
    <w:rsid w:val="00593A73"/>
    <w:rsid w:val="005949DC"/>
    <w:rsid w:val="0059556F"/>
    <w:rsid w:val="00595A6A"/>
    <w:rsid w:val="00597408"/>
    <w:rsid w:val="005A077A"/>
    <w:rsid w:val="005A3681"/>
    <w:rsid w:val="005A3F3A"/>
    <w:rsid w:val="005A56D5"/>
    <w:rsid w:val="005A6760"/>
    <w:rsid w:val="005B46E0"/>
    <w:rsid w:val="005C146E"/>
    <w:rsid w:val="005C2864"/>
    <w:rsid w:val="005C38A6"/>
    <w:rsid w:val="005C458A"/>
    <w:rsid w:val="005C7FD3"/>
    <w:rsid w:val="005D4276"/>
    <w:rsid w:val="005D5FB5"/>
    <w:rsid w:val="005D72D7"/>
    <w:rsid w:val="005F1482"/>
    <w:rsid w:val="005F1BDD"/>
    <w:rsid w:val="005F317D"/>
    <w:rsid w:val="005F56FC"/>
    <w:rsid w:val="005F5CAB"/>
    <w:rsid w:val="0060095E"/>
    <w:rsid w:val="00603743"/>
    <w:rsid w:val="006063DD"/>
    <w:rsid w:val="0060660B"/>
    <w:rsid w:val="006100CD"/>
    <w:rsid w:val="0061524F"/>
    <w:rsid w:val="00615BDE"/>
    <w:rsid w:val="0061748D"/>
    <w:rsid w:val="00626F22"/>
    <w:rsid w:val="00640858"/>
    <w:rsid w:val="006449D8"/>
    <w:rsid w:val="00644C15"/>
    <w:rsid w:val="006477BF"/>
    <w:rsid w:val="00653EFD"/>
    <w:rsid w:val="0065574F"/>
    <w:rsid w:val="00662492"/>
    <w:rsid w:val="00674A40"/>
    <w:rsid w:val="00676152"/>
    <w:rsid w:val="00686DC7"/>
    <w:rsid w:val="00690FEF"/>
    <w:rsid w:val="0069147B"/>
    <w:rsid w:val="006914CF"/>
    <w:rsid w:val="00691DE9"/>
    <w:rsid w:val="00694798"/>
    <w:rsid w:val="00695C1E"/>
    <w:rsid w:val="0069627C"/>
    <w:rsid w:val="006A250A"/>
    <w:rsid w:val="006B0AB1"/>
    <w:rsid w:val="006B293C"/>
    <w:rsid w:val="006C0D81"/>
    <w:rsid w:val="006C2F9C"/>
    <w:rsid w:val="006C50C5"/>
    <w:rsid w:val="006C54B0"/>
    <w:rsid w:val="006C7103"/>
    <w:rsid w:val="006D16AC"/>
    <w:rsid w:val="006D28A3"/>
    <w:rsid w:val="006D40BE"/>
    <w:rsid w:val="006D6AB2"/>
    <w:rsid w:val="006E1069"/>
    <w:rsid w:val="006E4B95"/>
    <w:rsid w:val="006F7386"/>
    <w:rsid w:val="00700765"/>
    <w:rsid w:val="007021B5"/>
    <w:rsid w:val="007064CB"/>
    <w:rsid w:val="00706619"/>
    <w:rsid w:val="00716CD8"/>
    <w:rsid w:val="00717C63"/>
    <w:rsid w:val="007208C6"/>
    <w:rsid w:val="007244E8"/>
    <w:rsid w:val="007268D0"/>
    <w:rsid w:val="00734283"/>
    <w:rsid w:val="0073610B"/>
    <w:rsid w:val="00737650"/>
    <w:rsid w:val="00740135"/>
    <w:rsid w:val="00750A17"/>
    <w:rsid w:val="00755E8B"/>
    <w:rsid w:val="00756F92"/>
    <w:rsid w:val="00757C4E"/>
    <w:rsid w:val="007612D4"/>
    <w:rsid w:val="0076342E"/>
    <w:rsid w:val="007661F1"/>
    <w:rsid w:val="00767CF9"/>
    <w:rsid w:val="007707E6"/>
    <w:rsid w:val="00771EA5"/>
    <w:rsid w:val="00772C23"/>
    <w:rsid w:val="007739D5"/>
    <w:rsid w:val="0077792C"/>
    <w:rsid w:val="00784098"/>
    <w:rsid w:val="0078519D"/>
    <w:rsid w:val="00791E29"/>
    <w:rsid w:val="00793525"/>
    <w:rsid w:val="0079792B"/>
    <w:rsid w:val="007A5D7A"/>
    <w:rsid w:val="007B0501"/>
    <w:rsid w:val="007B19DE"/>
    <w:rsid w:val="007B4435"/>
    <w:rsid w:val="007B54AB"/>
    <w:rsid w:val="007B55CD"/>
    <w:rsid w:val="007B7B2C"/>
    <w:rsid w:val="007C2297"/>
    <w:rsid w:val="007C4950"/>
    <w:rsid w:val="007C525A"/>
    <w:rsid w:val="007C5317"/>
    <w:rsid w:val="007C6C70"/>
    <w:rsid w:val="007D0B24"/>
    <w:rsid w:val="007D659F"/>
    <w:rsid w:val="007D65B4"/>
    <w:rsid w:val="007D7103"/>
    <w:rsid w:val="007D78A2"/>
    <w:rsid w:val="007E0687"/>
    <w:rsid w:val="007E7A8E"/>
    <w:rsid w:val="007F1B1D"/>
    <w:rsid w:val="007F499B"/>
    <w:rsid w:val="007F54C5"/>
    <w:rsid w:val="00800447"/>
    <w:rsid w:val="008017C8"/>
    <w:rsid w:val="00802E81"/>
    <w:rsid w:val="00804A96"/>
    <w:rsid w:val="0081004C"/>
    <w:rsid w:val="008140AE"/>
    <w:rsid w:val="00814408"/>
    <w:rsid w:val="00820C31"/>
    <w:rsid w:val="008250F6"/>
    <w:rsid w:val="00833A1B"/>
    <w:rsid w:val="00834ADF"/>
    <w:rsid w:val="008441A8"/>
    <w:rsid w:val="008459E1"/>
    <w:rsid w:val="0085425E"/>
    <w:rsid w:val="008579C2"/>
    <w:rsid w:val="00861A19"/>
    <w:rsid w:val="00862940"/>
    <w:rsid w:val="00867230"/>
    <w:rsid w:val="008722E4"/>
    <w:rsid w:val="00877D98"/>
    <w:rsid w:val="00887552"/>
    <w:rsid w:val="008905B1"/>
    <w:rsid w:val="00891E48"/>
    <w:rsid w:val="00892194"/>
    <w:rsid w:val="00893A7F"/>
    <w:rsid w:val="00896E28"/>
    <w:rsid w:val="008A054D"/>
    <w:rsid w:val="008A4C31"/>
    <w:rsid w:val="008A5A5D"/>
    <w:rsid w:val="008B06F3"/>
    <w:rsid w:val="008B1346"/>
    <w:rsid w:val="008B3579"/>
    <w:rsid w:val="008B696A"/>
    <w:rsid w:val="008B7D1A"/>
    <w:rsid w:val="008B7D63"/>
    <w:rsid w:val="008C40E1"/>
    <w:rsid w:val="008C576D"/>
    <w:rsid w:val="008C7C14"/>
    <w:rsid w:val="008D0DED"/>
    <w:rsid w:val="008D5B56"/>
    <w:rsid w:val="008D606A"/>
    <w:rsid w:val="008E4416"/>
    <w:rsid w:val="008E7A20"/>
    <w:rsid w:val="008F0622"/>
    <w:rsid w:val="008F28DC"/>
    <w:rsid w:val="008F31F2"/>
    <w:rsid w:val="008F655E"/>
    <w:rsid w:val="009036B1"/>
    <w:rsid w:val="0090772A"/>
    <w:rsid w:val="00911499"/>
    <w:rsid w:val="00914EAC"/>
    <w:rsid w:val="00921DA2"/>
    <w:rsid w:val="00927544"/>
    <w:rsid w:val="00942DB8"/>
    <w:rsid w:val="00944422"/>
    <w:rsid w:val="009521EF"/>
    <w:rsid w:val="00955849"/>
    <w:rsid w:val="0096518D"/>
    <w:rsid w:val="009702F2"/>
    <w:rsid w:val="00980A4B"/>
    <w:rsid w:val="009871C1"/>
    <w:rsid w:val="00991ACF"/>
    <w:rsid w:val="009A3A1B"/>
    <w:rsid w:val="009A7440"/>
    <w:rsid w:val="009A7AB4"/>
    <w:rsid w:val="009C172E"/>
    <w:rsid w:val="009C2068"/>
    <w:rsid w:val="009C3B8A"/>
    <w:rsid w:val="009D2E61"/>
    <w:rsid w:val="009D5E34"/>
    <w:rsid w:val="009D6D01"/>
    <w:rsid w:val="009D7809"/>
    <w:rsid w:val="009E1E9B"/>
    <w:rsid w:val="009E2764"/>
    <w:rsid w:val="009F29B5"/>
    <w:rsid w:val="009F526C"/>
    <w:rsid w:val="009F531A"/>
    <w:rsid w:val="00A0120C"/>
    <w:rsid w:val="00A02BCF"/>
    <w:rsid w:val="00A0742C"/>
    <w:rsid w:val="00A122A8"/>
    <w:rsid w:val="00A126D2"/>
    <w:rsid w:val="00A132AE"/>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986"/>
    <w:rsid w:val="00A64526"/>
    <w:rsid w:val="00A65EA2"/>
    <w:rsid w:val="00A661AB"/>
    <w:rsid w:val="00A722BB"/>
    <w:rsid w:val="00A83752"/>
    <w:rsid w:val="00A85AC4"/>
    <w:rsid w:val="00A85CE5"/>
    <w:rsid w:val="00A94C50"/>
    <w:rsid w:val="00A965BA"/>
    <w:rsid w:val="00A96FD5"/>
    <w:rsid w:val="00AA3377"/>
    <w:rsid w:val="00AA3E3E"/>
    <w:rsid w:val="00AB204F"/>
    <w:rsid w:val="00AB297E"/>
    <w:rsid w:val="00AB6C46"/>
    <w:rsid w:val="00AC0B12"/>
    <w:rsid w:val="00AC412D"/>
    <w:rsid w:val="00AC597B"/>
    <w:rsid w:val="00AC5EDD"/>
    <w:rsid w:val="00AD4836"/>
    <w:rsid w:val="00AD7F02"/>
    <w:rsid w:val="00AF1BDA"/>
    <w:rsid w:val="00AF2119"/>
    <w:rsid w:val="00AF52BA"/>
    <w:rsid w:val="00AF76EE"/>
    <w:rsid w:val="00B01C53"/>
    <w:rsid w:val="00B0363D"/>
    <w:rsid w:val="00B0557E"/>
    <w:rsid w:val="00B100E2"/>
    <w:rsid w:val="00B11F38"/>
    <w:rsid w:val="00B179B3"/>
    <w:rsid w:val="00B224C8"/>
    <w:rsid w:val="00B230DF"/>
    <w:rsid w:val="00B27651"/>
    <w:rsid w:val="00B34C0E"/>
    <w:rsid w:val="00B407F5"/>
    <w:rsid w:val="00B43ED8"/>
    <w:rsid w:val="00B525BC"/>
    <w:rsid w:val="00B5572A"/>
    <w:rsid w:val="00B564E9"/>
    <w:rsid w:val="00B655E0"/>
    <w:rsid w:val="00B65E5E"/>
    <w:rsid w:val="00B71374"/>
    <w:rsid w:val="00B73BA7"/>
    <w:rsid w:val="00B73BF1"/>
    <w:rsid w:val="00B81C11"/>
    <w:rsid w:val="00B82E14"/>
    <w:rsid w:val="00B871A9"/>
    <w:rsid w:val="00B875FB"/>
    <w:rsid w:val="00B918D2"/>
    <w:rsid w:val="00B9534E"/>
    <w:rsid w:val="00B95EFD"/>
    <w:rsid w:val="00B97AD4"/>
    <w:rsid w:val="00BA0EF2"/>
    <w:rsid w:val="00BA1DD6"/>
    <w:rsid w:val="00BA2B72"/>
    <w:rsid w:val="00BA5884"/>
    <w:rsid w:val="00BA7CA1"/>
    <w:rsid w:val="00BB65CC"/>
    <w:rsid w:val="00BC137B"/>
    <w:rsid w:val="00BC17A0"/>
    <w:rsid w:val="00BC684C"/>
    <w:rsid w:val="00BD11EA"/>
    <w:rsid w:val="00BD3A15"/>
    <w:rsid w:val="00BD7814"/>
    <w:rsid w:val="00BE011A"/>
    <w:rsid w:val="00BE23DB"/>
    <w:rsid w:val="00BE5A4F"/>
    <w:rsid w:val="00BE6AE9"/>
    <w:rsid w:val="00BF317A"/>
    <w:rsid w:val="00BF37EA"/>
    <w:rsid w:val="00C01B13"/>
    <w:rsid w:val="00C02F99"/>
    <w:rsid w:val="00C044AF"/>
    <w:rsid w:val="00C04F5D"/>
    <w:rsid w:val="00C07AF8"/>
    <w:rsid w:val="00C1629E"/>
    <w:rsid w:val="00C216EC"/>
    <w:rsid w:val="00C248A6"/>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5D49"/>
    <w:rsid w:val="00C80012"/>
    <w:rsid w:val="00C87CC3"/>
    <w:rsid w:val="00C918F8"/>
    <w:rsid w:val="00C91A99"/>
    <w:rsid w:val="00C91FD7"/>
    <w:rsid w:val="00C979C5"/>
    <w:rsid w:val="00CA124E"/>
    <w:rsid w:val="00CA69FE"/>
    <w:rsid w:val="00CA6B82"/>
    <w:rsid w:val="00CA6C34"/>
    <w:rsid w:val="00CB0220"/>
    <w:rsid w:val="00CB0570"/>
    <w:rsid w:val="00CB3CC9"/>
    <w:rsid w:val="00CB465C"/>
    <w:rsid w:val="00CB53BD"/>
    <w:rsid w:val="00CC19C0"/>
    <w:rsid w:val="00CC1B5D"/>
    <w:rsid w:val="00CC1D59"/>
    <w:rsid w:val="00CC40BB"/>
    <w:rsid w:val="00CC5778"/>
    <w:rsid w:val="00CD295D"/>
    <w:rsid w:val="00CD2C3C"/>
    <w:rsid w:val="00CD3AFD"/>
    <w:rsid w:val="00CD75B4"/>
    <w:rsid w:val="00CE32F9"/>
    <w:rsid w:val="00CF0825"/>
    <w:rsid w:val="00CF7B6B"/>
    <w:rsid w:val="00CF7D7B"/>
    <w:rsid w:val="00D00DE6"/>
    <w:rsid w:val="00D02A94"/>
    <w:rsid w:val="00D040CA"/>
    <w:rsid w:val="00D05670"/>
    <w:rsid w:val="00D069C2"/>
    <w:rsid w:val="00D07474"/>
    <w:rsid w:val="00D152EB"/>
    <w:rsid w:val="00D15874"/>
    <w:rsid w:val="00D16AA7"/>
    <w:rsid w:val="00D21AA7"/>
    <w:rsid w:val="00D23DE5"/>
    <w:rsid w:val="00D272E2"/>
    <w:rsid w:val="00D31F1F"/>
    <w:rsid w:val="00D42D7F"/>
    <w:rsid w:val="00D46ADB"/>
    <w:rsid w:val="00D47404"/>
    <w:rsid w:val="00D51C9A"/>
    <w:rsid w:val="00D5264A"/>
    <w:rsid w:val="00D54323"/>
    <w:rsid w:val="00D54B76"/>
    <w:rsid w:val="00D57CE0"/>
    <w:rsid w:val="00D7160E"/>
    <w:rsid w:val="00D730E1"/>
    <w:rsid w:val="00D7313D"/>
    <w:rsid w:val="00D75E1E"/>
    <w:rsid w:val="00D847E5"/>
    <w:rsid w:val="00D85C78"/>
    <w:rsid w:val="00D85D55"/>
    <w:rsid w:val="00D8655D"/>
    <w:rsid w:val="00D86A32"/>
    <w:rsid w:val="00D918B9"/>
    <w:rsid w:val="00D92562"/>
    <w:rsid w:val="00D95BBC"/>
    <w:rsid w:val="00DA1482"/>
    <w:rsid w:val="00DB03A8"/>
    <w:rsid w:val="00DB331A"/>
    <w:rsid w:val="00DB678F"/>
    <w:rsid w:val="00DC5F35"/>
    <w:rsid w:val="00DD2BB1"/>
    <w:rsid w:val="00DE0302"/>
    <w:rsid w:val="00DE507A"/>
    <w:rsid w:val="00DF4EE8"/>
    <w:rsid w:val="00DF4F5C"/>
    <w:rsid w:val="00DF5114"/>
    <w:rsid w:val="00DF57B7"/>
    <w:rsid w:val="00DF7489"/>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70EFD"/>
    <w:rsid w:val="00E716AC"/>
    <w:rsid w:val="00E72587"/>
    <w:rsid w:val="00E728C0"/>
    <w:rsid w:val="00E732EA"/>
    <w:rsid w:val="00E75B72"/>
    <w:rsid w:val="00E76D23"/>
    <w:rsid w:val="00E77CBB"/>
    <w:rsid w:val="00E81867"/>
    <w:rsid w:val="00E96729"/>
    <w:rsid w:val="00E96FA2"/>
    <w:rsid w:val="00E97B1C"/>
    <w:rsid w:val="00EA0EAF"/>
    <w:rsid w:val="00EA2766"/>
    <w:rsid w:val="00EA2F48"/>
    <w:rsid w:val="00EB30E8"/>
    <w:rsid w:val="00EC0B42"/>
    <w:rsid w:val="00EC341F"/>
    <w:rsid w:val="00ED507D"/>
    <w:rsid w:val="00ED5E29"/>
    <w:rsid w:val="00ED71C9"/>
    <w:rsid w:val="00EE29C5"/>
    <w:rsid w:val="00EE369E"/>
    <w:rsid w:val="00EE73A5"/>
    <w:rsid w:val="00EF5CCE"/>
    <w:rsid w:val="00EF64F3"/>
    <w:rsid w:val="00F0212A"/>
    <w:rsid w:val="00F2062D"/>
    <w:rsid w:val="00F2095A"/>
    <w:rsid w:val="00F31B81"/>
    <w:rsid w:val="00F343EC"/>
    <w:rsid w:val="00F37ACF"/>
    <w:rsid w:val="00F4445E"/>
    <w:rsid w:val="00F4452B"/>
    <w:rsid w:val="00F471A8"/>
    <w:rsid w:val="00F50BE9"/>
    <w:rsid w:val="00F516FF"/>
    <w:rsid w:val="00F5773D"/>
    <w:rsid w:val="00F658CD"/>
    <w:rsid w:val="00F7151F"/>
    <w:rsid w:val="00F7491F"/>
    <w:rsid w:val="00F765F1"/>
    <w:rsid w:val="00F831B6"/>
    <w:rsid w:val="00F955C7"/>
    <w:rsid w:val="00F973E6"/>
    <w:rsid w:val="00FA1991"/>
    <w:rsid w:val="00FC3158"/>
    <w:rsid w:val="00FC3E00"/>
    <w:rsid w:val="00FC495B"/>
    <w:rsid w:val="00FC5240"/>
    <w:rsid w:val="00FD02BC"/>
    <w:rsid w:val="00FD5977"/>
    <w:rsid w:val="00FD7644"/>
    <w:rsid w:val="00FE04D9"/>
    <w:rsid w:val="00FE343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F35"/>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semiHidden/>
    <w:unhideWhenUsed/>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rsid w:val="00EC341F"/>
    <w:rPr>
      <w:rFonts w:ascii="Arial" w:eastAsia="SimSun" w:hAnsi="Arial" w:cs="Times New Roman"/>
      <w:kern w:val="0"/>
      <w:sz w:val="36"/>
      <w:szCs w:val="20"/>
      <w:lang w:val="sv-SE"/>
      <w14:ligatures w14:val="none"/>
    </w:rPr>
  </w:style>
  <w:style w:type="character" w:customStyle="1" w:styleId="ListParagraphChar">
    <w:name w:val="List Paragraph Char"/>
    <w:link w:val="ListParagraph"/>
    <w:uiPriority w:val="34"/>
    <w:qFormat/>
    <w:locked/>
    <w:rsid w:val="00EC34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Background</vt:lpstr>
      <vt:lpstr>    Sub-topic 2-1 : UE RF requirements for Type 4 EN-DC/NR-CA</vt:lpstr>
      <vt:lpstr>        &lt;Issue 2-1-1:  How to capture the power imbalance and REFSENS requirements for B</vt:lpstr>
      <vt:lpstr>        &lt;Issue 2-1-2:  Whether to introduce term “Type 4” for pre Rel-19 specifications&gt;</vt:lpstr>
      <vt:lpstr>    Sub-topic 2-2 : UE Capability/UE behavior and network signaling for Type 4 EN-DC</vt:lpstr>
      <vt:lpstr>        &lt;Issue 2-2-3: UE behavior or maxMIMO-layers&gt;4/CC&gt;</vt:lpstr>
      <vt:lpstr>        &lt;Issue 2-2-7: BS signaling framework&gt;</vt:lpstr>
      <vt:lpstr>    Sub-topic 2-3 : Other aspects (incl. clarification of contiguous LTE CCs)</vt:lpstr>
      <vt:lpstr>        &lt;Issue 2-3-1:  UE Capability Type definition for EN-DC and NR-CA&gt;</vt:lpstr>
      <vt:lpstr>Discussion</vt:lpstr>
      <vt:lpstr>        To recap, the behavior of the Rel-18 UE indicating support of Rel-18 Non-colloca</vt:lpstr>
      <vt:lpstr>        </vt:lpstr>
      <vt:lpstr>        </vt:lpstr>
      <vt:lpstr>        &lt;Issue 1-1:  UE Capability Type definition for EN-DC and NR-CA&gt;</vt:lpstr>
      <vt:lpstr>        &lt;Issue 2-1-2:  Whether to introduce term “Type 2” for pre Rel-19 specifications&gt;</vt:lpstr>
      <vt:lpstr>        &lt;Issue 2-2-2:  New BS Signaling to switch between Type 4a/4b and Type 1 6L/8L/CC</vt:lpstr>
      <vt:lpstr>        &lt;Issue 2-2-3:  UE behavior during initial connection between Type 1, Type 2 and </vt:lpstr>
      <vt:lpstr>Conclusion</vt:lpstr>
      <vt:lpstr>Reference</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2025-03-28T11:20:00Z</dcterms:created>
  <dcterms:modified xsi:type="dcterms:W3CDTF">2025-03-28T11:20:00Z</dcterms:modified>
</cp:coreProperties>
</file>