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43F8E607" w:rsidR="009A5D49" w:rsidRPr="00DF65F7"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D40140">
        <w:rPr>
          <w:sz w:val="24"/>
        </w:rPr>
        <w:t>4bis</w:t>
      </w:r>
      <w:r w:rsidR="009A5D49" w:rsidRPr="00952411">
        <w:rPr>
          <w:rFonts w:cs="Arial"/>
          <w:sz w:val="24"/>
          <w:szCs w:val="24"/>
        </w:rPr>
        <w:tab/>
      </w:r>
      <w:r w:rsidR="00BB63B0" w:rsidRPr="00BB63B0">
        <w:rPr>
          <w:rFonts w:cs="Arial"/>
          <w:sz w:val="24"/>
          <w:szCs w:val="24"/>
        </w:rPr>
        <w:t>R4-2503871</w:t>
      </w:r>
      <w:bookmarkStart w:id="0" w:name="_GoBack"/>
      <w:bookmarkEnd w:id="0"/>
    </w:p>
    <w:p w14:paraId="094C0F83" w14:textId="77777777" w:rsidR="00D40140" w:rsidRPr="00F542A0" w:rsidRDefault="00D40140" w:rsidP="00D40140">
      <w:pPr>
        <w:pStyle w:val="Header"/>
        <w:tabs>
          <w:tab w:val="right" w:pos="9781"/>
          <w:tab w:val="right" w:pos="13323"/>
        </w:tabs>
        <w:spacing w:before="60" w:after="60"/>
        <w:outlineLvl w:val="0"/>
        <w:rPr>
          <w:rFonts w:eastAsia="宋体" w:cs="Arial"/>
          <w:b w:val="0"/>
          <w:sz w:val="24"/>
          <w:szCs w:val="24"/>
          <w:lang w:eastAsia="zh-CN"/>
        </w:rPr>
      </w:pPr>
      <w:bookmarkStart w:id="1" w:name="_Hlk194048911"/>
      <w:r>
        <w:rPr>
          <w:rFonts w:eastAsia="宋体" w:cs="Arial"/>
          <w:sz w:val="24"/>
          <w:szCs w:val="24"/>
          <w:lang w:eastAsia="zh-CN"/>
        </w:rPr>
        <w:t>Wuhan</w:t>
      </w:r>
      <w:r w:rsidRPr="00F542A0">
        <w:rPr>
          <w:rFonts w:eastAsia="宋体" w:cs="Arial"/>
          <w:sz w:val="24"/>
          <w:szCs w:val="24"/>
          <w:lang w:eastAsia="zh-CN"/>
        </w:rPr>
        <w:t xml:space="preserve">, </w:t>
      </w:r>
      <w:r>
        <w:rPr>
          <w:rFonts w:eastAsia="宋体" w:cs="Arial"/>
          <w:sz w:val="24"/>
          <w:szCs w:val="24"/>
          <w:lang w:eastAsia="zh-CN"/>
        </w:rPr>
        <w:t>Hubei, China</w:t>
      </w:r>
      <w:r w:rsidRPr="00F542A0">
        <w:rPr>
          <w:rFonts w:eastAsia="宋体" w:cs="Arial"/>
          <w:sz w:val="24"/>
          <w:szCs w:val="24"/>
          <w:lang w:eastAsia="zh-CN"/>
        </w:rPr>
        <w:t xml:space="preserve">, </w:t>
      </w:r>
      <w:r>
        <w:rPr>
          <w:rFonts w:eastAsia="宋体" w:cs="Arial"/>
          <w:sz w:val="24"/>
          <w:szCs w:val="24"/>
          <w:lang w:eastAsia="zh-CN"/>
        </w:rPr>
        <w:t>0</w:t>
      </w:r>
      <w:r w:rsidRPr="00F542A0">
        <w:rPr>
          <w:rFonts w:eastAsia="宋体" w:cs="Arial"/>
          <w:sz w:val="24"/>
          <w:szCs w:val="24"/>
          <w:lang w:eastAsia="zh-CN"/>
        </w:rPr>
        <w:t>7</w:t>
      </w:r>
      <w:r w:rsidRPr="00F542A0">
        <w:rPr>
          <w:rFonts w:eastAsia="宋体" w:cs="Arial"/>
          <w:sz w:val="24"/>
          <w:szCs w:val="24"/>
          <w:vertAlign w:val="superscript"/>
          <w:lang w:eastAsia="zh-CN"/>
        </w:rPr>
        <w:t>th</w:t>
      </w:r>
      <w:r w:rsidRPr="00F542A0">
        <w:rPr>
          <w:rFonts w:eastAsia="宋体" w:cs="Arial"/>
          <w:sz w:val="24"/>
          <w:szCs w:val="24"/>
          <w:lang w:eastAsia="zh-CN"/>
        </w:rPr>
        <w:t xml:space="preserve"> – </w:t>
      </w:r>
      <w:r>
        <w:rPr>
          <w:rFonts w:eastAsia="宋体" w:cs="Arial"/>
          <w:sz w:val="24"/>
          <w:szCs w:val="24"/>
          <w:lang w:eastAsia="zh-CN"/>
        </w:rPr>
        <w:t>11</w:t>
      </w:r>
      <w:r>
        <w:rPr>
          <w:rFonts w:eastAsia="宋体" w:cs="Arial"/>
          <w:sz w:val="24"/>
          <w:szCs w:val="24"/>
          <w:vertAlign w:val="superscript"/>
          <w:lang w:eastAsia="zh-CN"/>
        </w:rPr>
        <w:t>th</w:t>
      </w:r>
      <w:r w:rsidRPr="00F542A0">
        <w:rPr>
          <w:rFonts w:eastAsia="宋体" w:cs="Arial"/>
          <w:sz w:val="24"/>
          <w:szCs w:val="24"/>
          <w:lang w:eastAsia="zh-CN"/>
        </w:rPr>
        <w:t xml:space="preserve"> </w:t>
      </w:r>
      <w:r>
        <w:rPr>
          <w:rFonts w:eastAsia="宋体" w:cs="Arial"/>
          <w:sz w:val="24"/>
          <w:szCs w:val="24"/>
          <w:lang w:eastAsia="zh-CN"/>
        </w:rPr>
        <w:t>April</w:t>
      </w:r>
      <w:r w:rsidRPr="00F542A0">
        <w:rPr>
          <w:rFonts w:eastAsia="宋体" w:cs="Arial"/>
          <w:sz w:val="24"/>
          <w:szCs w:val="24"/>
          <w:lang w:eastAsia="zh-CN"/>
        </w:rPr>
        <w:t>, 2025</w:t>
      </w:r>
    </w:p>
    <w:bookmarkEnd w:id="1"/>
    <w:p w14:paraId="12C19EE5" w14:textId="77777777" w:rsidR="00DE64A1" w:rsidRPr="002D2977" w:rsidRDefault="00DE64A1" w:rsidP="001F4680">
      <w:pPr>
        <w:pStyle w:val="Footer"/>
        <w:jc w:val="left"/>
        <w:rPr>
          <w:noProof w:val="0"/>
        </w:rPr>
      </w:pPr>
    </w:p>
    <w:p w14:paraId="7F9FBBE7" w14:textId="41A2DFE3"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D40140">
        <w:rPr>
          <w:rFonts w:ascii="Arial" w:hAnsi="Arial"/>
          <w:sz w:val="24"/>
          <w:lang w:val="en-US"/>
        </w:rPr>
        <w:t>7.30.3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757A9C2D"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D0F40" w:rsidRPr="00DD0F40">
        <w:rPr>
          <w:rFonts w:ascii="Arial" w:hAnsi="Arial"/>
          <w:sz w:val="24"/>
          <w:lang w:val="en-US"/>
        </w:rPr>
        <w:t>Discussion on RRM impacts for R19 IoT NTN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7D4C5AE8" w14:textId="375B8A67" w:rsidR="008F5FB2" w:rsidRDefault="00DD0F40" w:rsidP="00622EBC">
      <w:pPr>
        <w:rPr>
          <w:rFonts w:eastAsiaTheme="minorEastAsia"/>
          <w:lang w:val="en-US" w:eastAsia="zh-CN"/>
        </w:rPr>
      </w:pPr>
      <w:bookmarkStart w:id="2" w:name="_Hlk131426020"/>
      <w:r>
        <w:rPr>
          <w:rFonts w:eastAsiaTheme="minorEastAsia"/>
          <w:lang w:val="en-US" w:eastAsia="zh-CN"/>
        </w:rPr>
        <w:t>The new WID of NTN IoT was approved in [1] and revised [2]</w:t>
      </w:r>
      <w:r w:rsidR="00C14217">
        <w:rPr>
          <w:rFonts w:eastAsiaTheme="minorEastAsia"/>
          <w:lang w:val="en-US" w:eastAsia="zh-CN"/>
        </w:rPr>
        <w:t>[3]</w:t>
      </w:r>
      <w:r>
        <w:rPr>
          <w:rFonts w:eastAsiaTheme="minorEastAsia"/>
          <w:lang w:val="en-US" w:eastAsia="zh-CN"/>
        </w:rPr>
        <w:t xml:space="preserve">. In this contribution, we provide our </w:t>
      </w:r>
      <w:r w:rsidR="008F5FB2">
        <w:rPr>
          <w:rFonts w:eastAsiaTheme="minorEastAsia" w:hint="eastAsia"/>
          <w:lang w:val="en-US" w:eastAsia="zh-CN"/>
        </w:rPr>
        <w:t>v</w:t>
      </w:r>
      <w:r w:rsidR="008F5FB2">
        <w:rPr>
          <w:rFonts w:eastAsiaTheme="minorEastAsia"/>
          <w:lang w:val="en-US" w:eastAsia="zh-CN"/>
        </w:rPr>
        <w:t>iews based on the latest progress in last RAN4 meeting [4].</w:t>
      </w:r>
    </w:p>
    <w:bookmarkEnd w:id="2"/>
    <w:p w14:paraId="2EBB39AE" w14:textId="0555C125" w:rsidR="00DF0231" w:rsidRDefault="00DF0231" w:rsidP="00DF0231">
      <w:pPr>
        <w:pStyle w:val="Heading1"/>
        <w:numPr>
          <w:ilvl w:val="0"/>
          <w:numId w:val="1"/>
        </w:numPr>
        <w:rPr>
          <w:lang w:val="en-US"/>
        </w:rPr>
      </w:pPr>
      <w:r w:rsidRPr="002D2977">
        <w:rPr>
          <w:lang w:val="en-US"/>
        </w:rPr>
        <w:t>Discussion</w:t>
      </w:r>
    </w:p>
    <w:p w14:paraId="1EE2318F" w14:textId="32E57B61" w:rsidR="009C7F0C" w:rsidRDefault="00C14217" w:rsidP="008F5FB2">
      <w:pPr>
        <w:rPr>
          <w:lang w:eastAsia="zh-CN"/>
        </w:rPr>
      </w:pPr>
      <w:r w:rsidRPr="00C14217">
        <w:rPr>
          <w:lang w:eastAsia="zh-CN"/>
        </w:rPr>
        <w:t xml:space="preserve">In last meeting, </w:t>
      </w:r>
      <w:r w:rsidR="008F5FB2">
        <w:rPr>
          <w:lang w:eastAsia="zh-CN"/>
        </w:rPr>
        <w:t>RAN4 discussed and agreed to include procedural requirements for CB-MSG3.</w:t>
      </w:r>
    </w:p>
    <w:tbl>
      <w:tblPr>
        <w:tblStyle w:val="TableGrid"/>
        <w:tblW w:w="0" w:type="auto"/>
        <w:tblLook w:val="04A0" w:firstRow="1" w:lastRow="0" w:firstColumn="1" w:lastColumn="0" w:noHBand="0" w:noVBand="1"/>
      </w:tblPr>
      <w:tblGrid>
        <w:gridCol w:w="9562"/>
      </w:tblGrid>
      <w:tr w:rsidR="008F5FB2" w14:paraId="60B8697C" w14:textId="77777777" w:rsidTr="008F5FB2">
        <w:tc>
          <w:tcPr>
            <w:tcW w:w="9562" w:type="dxa"/>
          </w:tcPr>
          <w:p w14:paraId="387F2F39" w14:textId="77777777" w:rsidR="008F5FB2" w:rsidRDefault="008F5FB2" w:rsidP="008F5FB2">
            <w:pPr>
              <w:spacing w:after="120"/>
              <w:rPr>
                <w:sz w:val="21"/>
                <w:lang w:eastAsia="zh-CN"/>
              </w:rPr>
            </w:pPr>
            <w:bookmarkStart w:id="3" w:name="OLE_LINK59"/>
            <w:r>
              <w:rPr>
                <w:b/>
                <w:szCs w:val="21"/>
                <w:u w:val="single"/>
              </w:rPr>
              <w:t>Issue 1-1-1: Procedural requirements for CB-MSG3 transmission</w:t>
            </w:r>
            <w:r w:rsidRPr="001245C4">
              <w:rPr>
                <w:sz w:val="21"/>
                <w:lang w:eastAsia="zh-CN"/>
              </w:rPr>
              <w:t xml:space="preserve"> </w:t>
            </w:r>
          </w:p>
          <w:p w14:paraId="02436AF6" w14:textId="77777777" w:rsidR="008F5FB2" w:rsidRPr="001245C4" w:rsidRDefault="008F5FB2" w:rsidP="008F5FB2">
            <w:pPr>
              <w:spacing w:after="120"/>
              <w:rPr>
                <w:sz w:val="21"/>
                <w:lang w:eastAsia="zh-CN"/>
              </w:rPr>
            </w:pPr>
            <w:r w:rsidRPr="001245C4">
              <w:rPr>
                <w:sz w:val="21"/>
                <w:lang w:eastAsia="zh-CN"/>
              </w:rPr>
              <w:t>Agreement:</w:t>
            </w:r>
          </w:p>
          <w:bookmarkEnd w:id="3"/>
          <w:p w14:paraId="6F6B1D41" w14:textId="77777777" w:rsidR="008F5FB2" w:rsidRPr="00C94083" w:rsidRDefault="008F5FB2" w:rsidP="008F5FB2">
            <w:pPr>
              <w:numPr>
                <w:ilvl w:val="0"/>
                <w:numId w:val="43"/>
              </w:numPr>
              <w:spacing w:after="120"/>
              <w:textAlignment w:val="center"/>
              <w:rPr>
                <w:rFonts w:ascii="Calibri Light" w:eastAsia="Times New Roman" w:hAnsi="Calibri Light" w:cs="Calibri Light"/>
                <w:sz w:val="24"/>
                <w:szCs w:val="24"/>
                <w:lang w:eastAsia="zh-CN"/>
              </w:rPr>
            </w:pPr>
            <w:r w:rsidRPr="00C94083">
              <w:rPr>
                <w:rFonts w:eastAsia="Times New Roman"/>
                <w:lang w:eastAsia="zh-CN"/>
              </w:rPr>
              <w:t>Include procedural requirements for CB-MSG3 transmission in a new subclause of 6.6A in TS36.133.</w:t>
            </w:r>
          </w:p>
          <w:p w14:paraId="5FB5E8FF" w14:textId="274F5916" w:rsidR="008F5FB2" w:rsidRPr="008F5FB2" w:rsidRDefault="008F5FB2" w:rsidP="008F5FB2">
            <w:pPr>
              <w:numPr>
                <w:ilvl w:val="1"/>
                <w:numId w:val="43"/>
              </w:numPr>
              <w:spacing w:after="120"/>
              <w:textAlignment w:val="center"/>
              <w:rPr>
                <w:rFonts w:ascii="Calibri Light" w:eastAsia="Times New Roman" w:hAnsi="Calibri Light" w:cs="Calibri Light"/>
                <w:sz w:val="24"/>
                <w:szCs w:val="24"/>
                <w:lang w:eastAsia="zh-CN"/>
              </w:rPr>
            </w:pPr>
            <w:r w:rsidRPr="00C94083">
              <w:rPr>
                <w:rFonts w:eastAsia="Times New Roman"/>
                <w:lang w:eastAsia="zh-CN"/>
              </w:rPr>
              <w:t>Further discuss the content to include in the next meeting.</w:t>
            </w:r>
          </w:p>
        </w:tc>
      </w:tr>
    </w:tbl>
    <w:p w14:paraId="28BB1407" w14:textId="1E73F72B" w:rsidR="008F5FB2" w:rsidRDefault="008F5FB2" w:rsidP="008F5FB2">
      <w:pPr>
        <w:rPr>
          <w:lang w:eastAsia="zh-CN"/>
        </w:rPr>
      </w:pPr>
    </w:p>
    <w:p w14:paraId="61DE015D" w14:textId="1AD46E4C" w:rsidR="008F5FB2" w:rsidRDefault="008F5FB2" w:rsidP="008F5FB2">
      <w:pPr>
        <w:rPr>
          <w:lang w:eastAsia="zh-CN"/>
        </w:rPr>
      </w:pPr>
      <w:r>
        <w:rPr>
          <w:lang w:eastAsia="zh-CN"/>
        </w:rPr>
        <w:t xml:space="preserve">Taking existing section for RA requirements, which is shown as following, we could </w:t>
      </w:r>
      <w:r w:rsidR="00694463">
        <w:rPr>
          <w:lang w:eastAsia="zh-CN"/>
        </w:rPr>
        <w:t>find</w:t>
      </w:r>
      <w:r>
        <w:rPr>
          <w:lang w:eastAsia="zh-CN"/>
        </w:rPr>
        <w:t xml:space="preserve"> that that are exactly </w:t>
      </w:r>
      <w:r w:rsidR="00694463">
        <w:rPr>
          <w:lang w:eastAsia="zh-CN"/>
        </w:rPr>
        <w:t xml:space="preserve">extracted from RAN2 MAC spec. </w:t>
      </w:r>
    </w:p>
    <w:tbl>
      <w:tblPr>
        <w:tblStyle w:val="TableGrid"/>
        <w:tblW w:w="0" w:type="auto"/>
        <w:tblLook w:val="04A0" w:firstRow="1" w:lastRow="0" w:firstColumn="1" w:lastColumn="0" w:noHBand="0" w:noVBand="1"/>
      </w:tblPr>
      <w:tblGrid>
        <w:gridCol w:w="9562"/>
      </w:tblGrid>
      <w:tr w:rsidR="00694463" w14:paraId="52D9002E" w14:textId="77777777" w:rsidTr="00694463">
        <w:tc>
          <w:tcPr>
            <w:tcW w:w="9562" w:type="dxa"/>
          </w:tcPr>
          <w:p w14:paraId="74D1AA86" w14:textId="77777777" w:rsidR="00694463" w:rsidRPr="00694463" w:rsidRDefault="00694463" w:rsidP="0069446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94463">
              <w:rPr>
                <w:rFonts w:ascii="Arial" w:eastAsia="Times New Roman" w:hAnsi="Arial"/>
                <w:sz w:val="28"/>
                <w:lang w:eastAsia="en-GB"/>
              </w:rPr>
              <w:lastRenderedPageBreak/>
              <w:t>6.6A.2</w:t>
            </w:r>
            <w:r w:rsidRPr="00694463">
              <w:rPr>
                <w:rFonts w:ascii="Arial" w:eastAsia="Times New Roman" w:hAnsi="Arial"/>
                <w:sz w:val="28"/>
                <w:lang w:eastAsia="en-GB"/>
              </w:rPr>
              <w:tab/>
              <w:t>Requirements</w:t>
            </w:r>
          </w:p>
          <w:p w14:paraId="2A87C2E1" w14:textId="77777777" w:rsidR="00694463" w:rsidRPr="00694463" w:rsidRDefault="00694463" w:rsidP="00694463">
            <w:pPr>
              <w:overflowPunct w:val="0"/>
              <w:autoSpaceDE w:val="0"/>
              <w:autoSpaceDN w:val="0"/>
              <w:adjustRightInd w:val="0"/>
              <w:textAlignment w:val="baseline"/>
              <w:rPr>
                <w:rFonts w:eastAsia="Times New Roman"/>
                <w:lang w:eastAsia="en-GB"/>
              </w:rPr>
            </w:pPr>
            <w:r w:rsidRPr="00694463">
              <w:rPr>
                <w:rFonts w:eastAsia="Times New Roman"/>
                <w:lang w:eastAsia="en-GB"/>
              </w:rPr>
              <w:t xml:space="preserve">The UE shall have capability to calculate </w:t>
            </w:r>
            <w:r w:rsidRPr="00694463">
              <w:rPr>
                <w:rFonts w:eastAsia="Times New Roman" w:hint="eastAsia"/>
                <w:lang w:eastAsia="en-GB"/>
              </w:rPr>
              <w:t>N</w:t>
            </w:r>
            <w:r w:rsidRPr="00694463">
              <w:rPr>
                <w:rFonts w:eastAsia="Times New Roman"/>
                <w:lang w:eastAsia="en-GB"/>
              </w:rPr>
              <w:t xml:space="preserve">PRACH transmission power according to the </w:t>
            </w:r>
            <w:r w:rsidRPr="00694463">
              <w:rPr>
                <w:rFonts w:eastAsia="Times New Roman" w:hint="eastAsia"/>
                <w:lang w:eastAsia="en-GB"/>
              </w:rPr>
              <w:t>N</w:t>
            </w:r>
            <w:r w:rsidRPr="00694463">
              <w:rPr>
                <w:rFonts w:eastAsia="Times New Roman"/>
                <w:lang w:eastAsia="en-GB"/>
              </w:rPr>
              <w:t>PRACH power formula defined in TS 36.213[3] and apply this power level at the first preamble or additional preambles. The absolute power applied to the first preamble shall have an accuracy as specified in TS 36.10</w:t>
            </w:r>
            <w:r w:rsidRPr="00694463">
              <w:rPr>
                <w:rFonts w:eastAsia="宋体" w:hint="eastAsia"/>
                <w:lang w:eastAsia="en-GB"/>
              </w:rPr>
              <w:t>2</w:t>
            </w:r>
            <w:r w:rsidRPr="00694463">
              <w:rPr>
                <w:rFonts w:eastAsia="Times New Roman"/>
                <w:lang w:eastAsia="en-GB"/>
              </w:rPr>
              <w:t>[</w:t>
            </w:r>
            <w:r w:rsidRPr="00694463">
              <w:rPr>
                <w:rFonts w:eastAsia="宋体" w:hint="eastAsia"/>
                <w:lang w:eastAsia="en-GB"/>
              </w:rPr>
              <w:t>60</w:t>
            </w:r>
            <w:r w:rsidRPr="00694463">
              <w:rPr>
                <w:rFonts w:eastAsia="Times New Roman"/>
                <w:lang w:eastAsia="en-GB"/>
              </w:rPr>
              <w:t>]. The relative power applied to additional preambles shall have an accuracy as specified in 36.10</w:t>
            </w:r>
            <w:r w:rsidRPr="00694463">
              <w:rPr>
                <w:rFonts w:eastAsia="宋体" w:hint="eastAsia"/>
                <w:lang w:eastAsia="en-GB"/>
              </w:rPr>
              <w:t>2</w:t>
            </w:r>
            <w:r w:rsidRPr="00694463">
              <w:rPr>
                <w:rFonts w:eastAsia="Times New Roman"/>
                <w:lang w:eastAsia="en-GB"/>
              </w:rPr>
              <w:t>[</w:t>
            </w:r>
            <w:r w:rsidRPr="00694463">
              <w:rPr>
                <w:rFonts w:eastAsia="宋体" w:hint="eastAsia"/>
                <w:lang w:eastAsia="en-GB"/>
              </w:rPr>
              <w:t>60</w:t>
            </w:r>
            <w:r w:rsidRPr="00694463">
              <w:rPr>
                <w:rFonts w:eastAsia="Times New Roman"/>
                <w:lang w:eastAsia="en-GB"/>
              </w:rPr>
              <w:t>].</w:t>
            </w:r>
          </w:p>
          <w:p w14:paraId="354BF04E" w14:textId="77777777" w:rsidR="00694463" w:rsidRPr="00694463" w:rsidRDefault="00694463" w:rsidP="00694463">
            <w:pPr>
              <w:overflowPunct w:val="0"/>
              <w:autoSpaceDE w:val="0"/>
              <w:autoSpaceDN w:val="0"/>
              <w:adjustRightInd w:val="0"/>
              <w:textAlignment w:val="baseline"/>
              <w:rPr>
                <w:rFonts w:eastAsia="Times New Roman" w:cs="v4.2.0"/>
                <w:lang w:eastAsia="en-GB"/>
              </w:rPr>
            </w:pPr>
            <w:r w:rsidRPr="00694463">
              <w:rPr>
                <w:rFonts w:eastAsia="Times New Roman" w:cs="v4.2.0"/>
                <w:lang w:eastAsia="en-GB"/>
              </w:rPr>
              <w:t xml:space="preserve">The UE shall indicate a </w:t>
            </w:r>
            <w:proofErr w:type="gramStart"/>
            <w:r w:rsidRPr="00694463">
              <w:rPr>
                <w:rFonts w:eastAsia="Times New Roman" w:cs="v4.2.0"/>
                <w:lang w:eastAsia="en-GB"/>
              </w:rPr>
              <w:t>Random Access</w:t>
            </w:r>
            <w:proofErr w:type="gramEnd"/>
            <w:r w:rsidRPr="00694463">
              <w:rPr>
                <w:rFonts w:eastAsia="Times New Roman" w:cs="v4.2.0"/>
                <w:lang w:eastAsia="en-GB"/>
              </w:rPr>
              <w:t xml:space="preserve"> problem to upper layers if the maximum number of preamble transmission counter has been reached for the random access procedure on </w:t>
            </w:r>
            <w:r w:rsidRPr="00694463">
              <w:rPr>
                <w:rFonts w:eastAsia="Times New Roman" w:cs="v4.2.0" w:hint="eastAsia"/>
                <w:lang w:eastAsia="en-GB"/>
              </w:rPr>
              <w:t>target cell</w:t>
            </w:r>
            <w:r w:rsidRPr="00694463">
              <w:rPr>
                <w:rFonts w:eastAsia="Times New Roman" w:cs="v4.2.0"/>
                <w:lang w:eastAsia="en-GB"/>
              </w:rPr>
              <w:t xml:space="preserve"> as specified in clause 5.1.4 in TS 36.321 [17].</w:t>
            </w:r>
          </w:p>
          <w:p w14:paraId="3D4EAD83" w14:textId="77777777" w:rsidR="00694463" w:rsidRPr="00694463" w:rsidRDefault="00694463" w:rsidP="006944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94463">
              <w:rPr>
                <w:rFonts w:ascii="Arial" w:eastAsia="Times New Roman" w:hAnsi="Arial"/>
                <w:sz w:val="24"/>
                <w:lang w:eastAsia="en-GB"/>
              </w:rPr>
              <w:t>6.6A.2.1</w:t>
            </w:r>
            <w:r w:rsidRPr="00694463">
              <w:rPr>
                <w:rFonts w:ascii="Arial" w:eastAsia="Times New Roman" w:hAnsi="Arial"/>
                <w:sz w:val="24"/>
                <w:lang w:eastAsia="en-GB"/>
              </w:rPr>
              <w:tab/>
              <w:t xml:space="preserve">Correct behaviour when receiving </w:t>
            </w:r>
            <w:r w:rsidRPr="00694463">
              <w:rPr>
                <w:rFonts w:ascii="Arial" w:eastAsia="Times New Roman" w:hAnsi="Arial"/>
                <w:noProof/>
                <w:sz w:val="24"/>
                <w:lang w:eastAsia="en-GB"/>
              </w:rPr>
              <w:t>Random Access Response reception</w:t>
            </w:r>
          </w:p>
          <w:p w14:paraId="0E6357E1" w14:textId="77777777" w:rsidR="00694463" w:rsidRPr="00694463" w:rsidRDefault="00694463" w:rsidP="00694463">
            <w:pPr>
              <w:overflowPunct w:val="0"/>
              <w:autoSpaceDE w:val="0"/>
              <w:autoSpaceDN w:val="0"/>
              <w:adjustRightInd w:val="0"/>
              <w:textAlignment w:val="baseline"/>
              <w:rPr>
                <w:rFonts w:eastAsia="Times New Roman"/>
                <w:lang w:eastAsia="en-GB"/>
              </w:rPr>
            </w:pPr>
            <w:r w:rsidRPr="00694463">
              <w:rPr>
                <w:rFonts w:eastAsia="Times New Roman"/>
                <w:lang w:eastAsia="en-GB"/>
              </w:rPr>
              <w:t xml:space="preserve">The UE may stop monitoring for Random Access Response(s) and shall transmit the msg3 if the </w:t>
            </w:r>
            <w:proofErr w:type="gramStart"/>
            <w:r w:rsidRPr="00694463">
              <w:rPr>
                <w:rFonts w:eastAsia="Times New Roman"/>
                <w:lang w:eastAsia="en-GB"/>
              </w:rPr>
              <w:t>Random Access</w:t>
            </w:r>
            <w:proofErr w:type="gramEnd"/>
            <w:r w:rsidRPr="00694463">
              <w:rPr>
                <w:rFonts w:eastAsia="Times New Roman"/>
                <w:lang w:eastAsia="en-GB"/>
              </w:rPr>
              <w:t xml:space="preserve"> Response contains a Random Access Preamble identifier corresponding to the transmitted Random Access Preamble.</w:t>
            </w:r>
          </w:p>
          <w:p w14:paraId="142F0BB0" w14:textId="77777777" w:rsidR="00694463" w:rsidRPr="00694463" w:rsidRDefault="00694463" w:rsidP="00694463">
            <w:pPr>
              <w:overflowPunct w:val="0"/>
              <w:autoSpaceDE w:val="0"/>
              <w:autoSpaceDN w:val="0"/>
              <w:adjustRightInd w:val="0"/>
              <w:textAlignment w:val="baseline"/>
              <w:rPr>
                <w:rFonts w:eastAsia="Times New Roman" w:cs="v4.2.0"/>
                <w:lang w:eastAsia="en-GB"/>
              </w:rPr>
            </w:pPr>
            <w:r w:rsidRPr="00694463">
              <w:rPr>
                <w:rFonts w:eastAsia="Times New Roman" w:cs="v4.2.0"/>
                <w:lang w:eastAsia="en-GB"/>
              </w:rPr>
              <w:t xml:space="preserve">The UE shall re-select a preamble and transmit with the calculated </w:t>
            </w:r>
            <w:r w:rsidRPr="00694463">
              <w:rPr>
                <w:rFonts w:eastAsia="Times New Roman" w:cs="v4.2.0" w:hint="eastAsia"/>
                <w:lang w:eastAsia="en-GB"/>
              </w:rPr>
              <w:t>N</w:t>
            </w:r>
            <w:r w:rsidRPr="00694463">
              <w:rPr>
                <w:rFonts w:eastAsia="Times New Roman" w:cs="v4.2.0"/>
                <w:lang w:eastAsia="en-GB"/>
              </w:rPr>
              <w:t xml:space="preserve">PRACH transmission power when the </w:t>
            </w:r>
            <w:proofErr w:type="spellStart"/>
            <w:r w:rsidRPr="00694463">
              <w:rPr>
                <w:rFonts w:eastAsia="Times New Roman" w:cs="v4.2.0"/>
                <w:lang w:eastAsia="en-GB"/>
              </w:rPr>
              <w:t>backoff</w:t>
            </w:r>
            <w:proofErr w:type="spellEnd"/>
            <w:r w:rsidRPr="00694463">
              <w:rPr>
                <w:rFonts w:eastAsia="Times New Roman" w:cs="v4.2.0"/>
                <w:lang w:eastAsia="en-GB"/>
              </w:rPr>
              <w:t xml:space="preserve"> time expires if</w:t>
            </w:r>
            <w:r w:rsidRPr="00694463">
              <w:rPr>
                <w:rFonts w:eastAsia="Times New Roman"/>
                <w:noProof/>
                <w:lang w:eastAsia="en-GB"/>
              </w:rPr>
              <w:t xml:space="preserve"> all received Random Access Responses contain Random Access Preamble identifiers that do not match the transmitted Random Access Preamble</w:t>
            </w:r>
            <w:r w:rsidRPr="00694463">
              <w:rPr>
                <w:rFonts w:eastAsia="Times New Roman" w:cs="v4.2.0"/>
                <w:lang w:eastAsia="en-GB"/>
              </w:rPr>
              <w:t>.</w:t>
            </w:r>
          </w:p>
          <w:p w14:paraId="6BE01436" w14:textId="77777777" w:rsidR="00694463" w:rsidRPr="00694463" w:rsidRDefault="00694463" w:rsidP="006944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94463">
              <w:rPr>
                <w:rFonts w:ascii="Arial" w:eastAsia="Times New Roman" w:hAnsi="Arial"/>
                <w:sz w:val="24"/>
                <w:lang w:eastAsia="en-GB"/>
              </w:rPr>
              <w:t>6.6A.2.2</w:t>
            </w:r>
            <w:r w:rsidRPr="00694463">
              <w:rPr>
                <w:rFonts w:ascii="Arial" w:eastAsia="Times New Roman" w:hAnsi="Arial"/>
                <w:sz w:val="24"/>
                <w:lang w:eastAsia="en-GB"/>
              </w:rPr>
              <w:tab/>
              <w:t xml:space="preserve">Correct behaviour when not receiving </w:t>
            </w:r>
            <w:r w:rsidRPr="00694463">
              <w:rPr>
                <w:rFonts w:ascii="Arial" w:eastAsia="Times New Roman" w:hAnsi="Arial"/>
                <w:noProof/>
                <w:sz w:val="24"/>
                <w:lang w:eastAsia="en-GB"/>
              </w:rPr>
              <w:t>Random Access Response reception</w:t>
            </w:r>
          </w:p>
          <w:p w14:paraId="0E743B14" w14:textId="77777777" w:rsidR="00694463" w:rsidRPr="00694463" w:rsidRDefault="00694463" w:rsidP="00694463">
            <w:pPr>
              <w:overflowPunct w:val="0"/>
              <w:autoSpaceDE w:val="0"/>
              <w:autoSpaceDN w:val="0"/>
              <w:adjustRightInd w:val="0"/>
              <w:textAlignment w:val="baseline"/>
              <w:rPr>
                <w:rFonts w:eastAsia="Times New Roman" w:cs="v4.2.0"/>
                <w:lang w:eastAsia="en-GB"/>
              </w:rPr>
            </w:pPr>
            <w:r w:rsidRPr="00694463">
              <w:rPr>
                <w:rFonts w:eastAsia="Times New Roman"/>
                <w:lang w:eastAsia="en-GB"/>
              </w:rPr>
              <w:t xml:space="preserve">The UE shall re-select a preamble and transmit </w:t>
            </w:r>
            <w:r w:rsidRPr="00694463">
              <w:rPr>
                <w:rFonts w:eastAsia="Times New Roman" w:cs="v4.2.0"/>
                <w:lang w:eastAsia="en-GB"/>
              </w:rPr>
              <w:t xml:space="preserve">with the calculated </w:t>
            </w:r>
            <w:r w:rsidRPr="00694463">
              <w:rPr>
                <w:rFonts w:eastAsia="Times New Roman" w:cs="v4.2.0" w:hint="eastAsia"/>
                <w:lang w:eastAsia="en-GB"/>
              </w:rPr>
              <w:t>N</w:t>
            </w:r>
            <w:r w:rsidRPr="00694463">
              <w:rPr>
                <w:rFonts w:eastAsia="Times New Roman" w:cs="v4.2.0"/>
                <w:lang w:eastAsia="en-GB"/>
              </w:rPr>
              <w:t>PRACH transmission power</w:t>
            </w:r>
            <w:r w:rsidRPr="00694463">
              <w:rPr>
                <w:rFonts w:eastAsia="Times New Roman"/>
                <w:lang w:eastAsia="en-GB"/>
              </w:rPr>
              <w:t xml:space="preserve"> when </w:t>
            </w:r>
            <w:r w:rsidRPr="00694463">
              <w:rPr>
                <w:rFonts w:eastAsia="Times New Roman"/>
                <w:noProof/>
                <w:lang w:eastAsia="en-GB"/>
              </w:rPr>
              <w:t>the backoff time expires if no Random Access Response is received within the RA Response window</w:t>
            </w:r>
            <w:r w:rsidRPr="00694463">
              <w:rPr>
                <w:rFonts w:eastAsia="Times New Roman"/>
                <w:lang w:eastAsia="en-GB"/>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694463">
                <w:rPr>
                  <w:rFonts w:eastAsia="Times New Roman"/>
                  <w:lang w:eastAsia="en-GB"/>
                </w:rPr>
                <w:t>5.1.4</w:t>
              </w:r>
            </w:smartTag>
            <w:r w:rsidRPr="00694463">
              <w:rPr>
                <w:rFonts w:eastAsia="Times New Roman"/>
                <w:lang w:eastAsia="en-GB"/>
              </w:rPr>
              <w:t xml:space="preserve"> TS 36.321</w:t>
            </w:r>
            <w:r w:rsidRPr="00694463">
              <w:rPr>
                <w:rFonts w:eastAsia="Times New Roman"/>
                <w:noProof/>
                <w:lang w:eastAsia="en-GB"/>
              </w:rPr>
              <w:t>.</w:t>
            </w:r>
          </w:p>
          <w:p w14:paraId="1C0B31A1" w14:textId="77777777" w:rsidR="00694463" w:rsidRPr="00694463" w:rsidRDefault="00694463" w:rsidP="006944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94463">
              <w:rPr>
                <w:rFonts w:ascii="Arial" w:eastAsia="Times New Roman" w:hAnsi="Arial"/>
                <w:sz w:val="24"/>
                <w:lang w:eastAsia="en-GB"/>
              </w:rPr>
              <w:t>6.6A.2.3</w:t>
            </w:r>
            <w:r w:rsidRPr="00694463">
              <w:rPr>
                <w:rFonts w:ascii="Arial" w:eastAsia="Times New Roman" w:hAnsi="Arial"/>
                <w:sz w:val="24"/>
                <w:lang w:eastAsia="en-GB"/>
              </w:rPr>
              <w:tab/>
              <w:t>Correct behaviour when receiving a NACK on msg3</w:t>
            </w:r>
          </w:p>
          <w:p w14:paraId="747BAC46" w14:textId="77777777" w:rsidR="00694463" w:rsidRPr="00694463" w:rsidRDefault="00694463" w:rsidP="00694463">
            <w:pPr>
              <w:overflowPunct w:val="0"/>
              <w:autoSpaceDE w:val="0"/>
              <w:autoSpaceDN w:val="0"/>
              <w:adjustRightInd w:val="0"/>
              <w:textAlignment w:val="baseline"/>
              <w:rPr>
                <w:rFonts w:eastAsia="Times New Roman"/>
                <w:lang w:eastAsia="en-GB"/>
              </w:rPr>
            </w:pPr>
            <w:r w:rsidRPr="00694463">
              <w:rPr>
                <w:rFonts w:eastAsia="Times New Roman"/>
                <w:lang w:eastAsia="en-GB"/>
              </w:rPr>
              <w:t>The UE shall re-transmit the msg3 upon the reception of a NACK on msg3.</w:t>
            </w:r>
          </w:p>
          <w:p w14:paraId="478D01E0" w14:textId="77777777" w:rsidR="00694463" w:rsidRPr="00694463" w:rsidRDefault="00694463" w:rsidP="006944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94463">
              <w:rPr>
                <w:rFonts w:ascii="Arial" w:eastAsia="Times New Roman" w:hAnsi="Arial"/>
                <w:sz w:val="24"/>
                <w:lang w:eastAsia="en-GB"/>
              </w:rPr>
              <w:t>6.6A.2.</w:t>
            </w:r>
            <w:r w:rsidRPr="00694463">
              <w:rPr>
                <w:rFonts w:ascii="Arial" w:eastAsia="Times New Roman" w:hAnsi="Arial" w:hint="eastAsia"/>
                <w:sz w:val="24"/>
                <w:lang w:eastAsia="en-GB"/>
              </w:rPr>
              <w:t>4</w:t>
            </w:r>
            <w:r w:rsidRPr="00694463">
              <w:rPr>
                <w:rFonts w:ascii="Arial" w:eastAsia="Times New Roman" w:hAnsi="Arial"/>
                <w:sz w:val="24"/>
                <w:lang w:eastAsia="en-GB"/>
              </w:rPr>
              <w:tab/>
              <w:t>Correct behaviour when receiving a message over Temporary C-RNTI</w:t>
            </w:r>
          </w:p>
          <w:p w14:paraId="078DBF60" w14:textId="77777777" w:rsidR="00694463" w:rsidRPr="00694463" w:rsidRDefault="00694463" w:rsidP="00694463">
            <w:pPr>
              <w:overflowPunct w:val="0"/>
              <w:autoSpaceDE w:val="0"/>
              <w:autoSpaceDN w:val="0"/>
              <w:adjustRightInd w:val="0"/>
              <w:textAlignment w:val="baseline"/>
              <w:rPr>
                <w:rFonts w:eastAsia="Times New Roman"/>
                <w:lang w:eastAsia="en-GB"/>
              </w:rPr>
            </w:pPr>
            <w:r w:rsidRPr="00694463">
              <w:rPr>
                <w:rFonts w:eastAsia="Times New Roman"/>
                <w:lang w:eastAsia="en-GB"/>
              </w:rPr>
              <w:t>The UE shall send ACK if the Contention Resolution is successful.</w:t>
            </w:r>
          </w:p>
          <w:p w14:paraId="63F386E9" w14:textId="77777777" w:rsidR="00694463" w:rsidRPr="00694463" w:rsidRDefault="00694463" w:rsidP="00694463">
            <w:pPr>
              <w:overflowPunct w:val="0"/>
              <w:autoSpaceDE w:val="0"/>
              <w:autoSpaceDN w:val="0"/>
              <w:adjustRightInd w:val="0"/>
              <w:textAlignment w:val="baseline"/>
              <w:rPr>
                <w:rFonts w:eastAsia="Times New Roman"/>
                <w:lang w:eastAsia="en-GB"/>
              </w:rPr>
            </w:pPr>
            <w:r w:rsidRPr="00694463">
              <w:rPr>
                <w:rFonts w:eastAsia="Times New Roman"/>
                <w:lang w:eastAsia="en-GB"/>
              </w:rPr>
              <w:t xml:space="preserve">The UE shall re-select a preamble and transmit with the calculated NPRACH transmission power when the </w:t>
            </w:r>
            <w:proofErr w:type="spellStart"/>
            <w:r w:rsidRPr="00694463">
              <w:rPr>
                <w:rFonts w:eastAsia="Times New Roman"/>
                <w:lang w:eastAsia="en-GB"/>
              </w:rPr>
              <w:t>backoff</w:t>
            </w:r>
            <w:proofErr w:type="spellEnd"/>
            <w:r w:rsidRPr="00694463">
              <w:rPr>
                <w:rFonts w:eastAsia="Times New Roman"/>
                <w:lang w:eastAsia="en-GB"/>
              </w:rPr>
              <w:t xml:space="preserve"> time expires unless the received message includes a UE Contention Resolution Identity MAC control element and the UE Contention Resolution Identity included in the MAC control element matches the CCCH SDU transmitted in the uplink message.</w:t>
            </w:r>
          </w:p>
          <w:p w14:paraId="108B8BF6" w14:textId="77777777" w:rsidR="00694463" w:rsidRPr="00694463" w:rsidRDefault="00694463" w:rsidP="0069446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694463">
              <w:rPr>
                <w:rFonts w:ascii="Arial" w:eastAsia="Times New Roman" w:hAnsi="Arial"/>
                <w:sz w:val="24"/>
                <w:lang w:eastAsia="en-GB"/>
              </w:rPr>
              <w:t>6.6A.2.</w:t>
            </w:r>
            <w:r w:rsidRPr="00694463">
              <w:rPr>
                <w:rFonts w:ascii="Arial" w:eastAsia="Times New Roman" w:hAnsi="Arial" w:hint="eastAsia"/>
                <w:sz w:val="24"/>
                <w:lang w:eastAsia="en-GB"/>
              </w:rPr>
              <w:t>5</w:t>
            </w:r>
            <w:r w:rsidRPr="00694463">
              <w:rPr>
                <w:rFonts w:ascii="Arial" w:eastAsia="Times New Roman" w:hAnsi="Arial"/>
                <w:sz w:val="24"/>
                <w:lang w:eastAsia="en-GB"/>
              </w:rPr>
              <w:tab/>
              <w:t>Correct behaviour when contention Resolution timer expires</w:t>
            </w:r>
          </w:p>
          <w:p w14:paraId="363CBADA" w14:textId="12DF9F10" w:rsidR="00694463" w:rsidRPr="00694463" w:rsidRDefault="00694463" w:rsidP="00694463">
            <w:pPr>
              <w:overflowPunct w:val="0"/>
              <w:autoSpaceDE w:val="0"/>
              <w:autoSpaceDN w:val="0"/>
              <w:adjustRightInd w:val="0"/>
              <w:textAlignment w:val="baseline"/>
              <w:rPr>
                <w:rFonts w:eastAsia="Times New Roman"/>
                <w:lang w:eastAsia="en-GB"/>
              </w:rPr>
            </w:pPr>
            <w:r w:rsidRPr="00694463">
              <w:rPr>
                <w:rFonts w:eastAsia="Times New Roman"/>
                <w:lang w:eastAsia="en-GB"/>
              </w:rPr>
              <w:t xml:space="preserve">The UE shall re-select a preamble and transmit with the calculated NPRACH transmission power when the </w:t>
            </w:r>
            <w:proofErr w:type="spellStart"/>
            <w:r w:rsidRPr="00694463">
              <w:rPr>
                <w:rFonts w:eastAsia="Times New Roman"/>
                <w:lang w:eastAsia="en-GB"/>
              </w:rPr>
              <w:t>backoff</w:t>
            </w:r>
            <w:proofErr w:type="spellEnd"/>
            <w:r w:rsidRPr="00694463">
              <w:rPr>
                <w:rFonts w:eastAsia="Times New Roman"/>
                <w:lang w:eastAsia="en-GB"/>
              </w:rPr>
              <w:t xml:space="preserve"> time expires if the Contention Resolution Timer expires.</w:t>
            </w:r>
          </w:p>
        </w:tc>
      </w:tr>
    </w:tbl>
    <w:p w14:paraId="721DE9D3" w14:textId="77777777" w:rsidR="00694463" w:rsidRDefault="00694463" w:rsidP="008F5FB2">
      <w:pPr>
        <w:rPr>
          <w:lang w:eastAsia="zh-CN"/>
        </w:rPr>
      </w:pPr>
    </w:p>
    <w:p w14:paraId="69272E5E" w14:textId="33D8FBD0" w:rsidR="00694463" w:rsidRDefault="00694463" w:rsidP="008F5FB2">
      <w:pPr>
        <w:rPr>
          <w:lang w:eastAsia="zh-CN"/>
        </w:rPr>
      </w:pPr>
      <w:r>
        <w:rPr>
          <w:lang w:eastAsia="zh-CN"/>
        </w:rPr>
        <w:t>Based on the progress in last RAN2 meeting, the MAC Running CR is scheduled for post meeting discussion, which is intended to be endorsed in next RAN2 meeting. Thus, for this RAN4 meeting, we could not have solid MAC procedures to define procedural requirements. Thus, it is proposed to comeback in next meeting after the RAN2 progress on MAC Running CR is stable. And another thing should be drawn attention is that, we should avoid coping too much pure procedure requirements which are already clearly defined in RAN2 spec, which is also commented during last RAN4 meetings by several companies.</w:t>
      </w:r>
    </w:p>
    <w:p w14:paraId="2641371A" w14:textId="6CEAC3CE" w:rsidR="00694463" w:rsidRPr="00694463" w:rsidRDefault="00694463" w:rsidP="008F5FB2">
      <w:pPr>
        <w:rPr>
          <w:b/>
          <w:lang w:eastAsia="zh-CN"/>
        </w:rPr>
      </w:pPr>
      <w:r w:rsidRPr="00694463">
        <w:rPr>
          <w:b/>
          <w:lang w:eastAsia="zh-CN"/>
        </w:rPr>
        <w:t xml:space="preserve">Proposal 1: RAN4 to wait until next meeting with more progress on RAN2 MAC CR. </w:t>
      </w:r>
    </w:p>
    <w:p w14:paraId="0566AEA0" w14:textId="6D993000" w:rsidR="00694463" w:rsidRPr="00694463" w:rsidRDefault="00694463" w:rsidP="008F5FB2">
      <w:pPr>
        <w:rPr>
          <w:b/>
          <w:lang w:eastAsia="zh-CN"/>
        </w:rPr>
      </w:pPr>
      <w:r w:rsidRPr="00694463">
        <w:rPr>
          <w:b/>
          <w:lang w:eastAsia="zh-CN"/>
        </w:rPr>
        <w:t>Proposal 2: The procedural requirements for RA should be extracted and aligned with RAN2 MAC spec, and the number of the requirements should be limited.</w:t>
      </w:r>
    </w:p>
    <w:p w14:paraId="28D356E1" w14:textId="77777777" w:rsidR="00694463" w:rsidRDefault="00694463" w:rsidP="008F5FB2">
      <w:pPr>
        <w:rPr>
          <w:lang w:eastAsia="zh-CN"/>
        </w:rPr>
      </w:pPr>
    </w:p>
    <w:p w14:paraId="6AA95E7A" w14:textId="77777777" w:rsidR="00C14217" w:rsidRPr="00C14217" w:rsidRDefault="00C14217" w:rsidP="00805386">
      <w:pPr>
        <w:rPr>
          <w:lang w:eastAsia="zh-CN"/>
        </w:rPr>
      </w:pPr>
    </w:p>
    <w:p w14:paraId="24120099" w14:textId="2715CD7C" w:rsidR="00386BEA" w:rsidRPr="00386BEA" w:rsidRDefault="00DF0231" w:rsidP="00A86270">
      <w:pPr>
        <w:pStyle w:val="Heading1"/>
        <w:numPr>
          <w:ilvl w:val="0"/>
          <w:numId w:val="1"/>
        </w:numPr>
        <w:rPr>
          <w:lang w:val="en-US"/>
        </w:rPr>
      </w:pPr>
      <w:r w:rsidRPr="002D2977">
        <w:rPr>
          <w:lang w:val="en-US"/>
        </w:rPr>
        <w:lastRenderedPageBreak/>
        <w:t>Conclusions</w:t>
      </w:r>
    </w:p>
    <w:p w14:paraId="4B0886A9" w14:textId="77777777" w:rsidR="00694463" w:rsidRPr="00694463" w:rsidRDefault="00694463" w:rsidP="00694463">
      <w:pPr>
        <w:rPr>
          <w:b/>
          <w:lang w:eastAsia="zh-CN"/>
        </w:rPr>
      </w:pPr>
      <w:r w:rsidRPr="00694463">
        <w:rPr>
          <w:b/>
          <w:lang w:eastAsia="zh-CN"/>
        </w:rPr>
        <w:t xml:space="preserve">Proposal 1: RAN4 to wait until next meeting with more progress on RAN2 MAC CR. </w:t>
      </w:r>
    </w:p>
    <w:p w14:paraId="2122DFF5" w14:textId="77777777" w:rsidR="00694463" w:rsidRPr="00694463" w:rsidRDefault="00694463" w:rsidP="00694463">
      <w:pPr>
        <w:rPr>
          <w:b/>
          <w:lang w:eastAsia="zh-CN"/>
        </w:rPr>
      </w:pPr>
      <w:r w:rsidRPr="00694463">
        <w:rPr>
          <w:b/>
          <w:lang w:eastAsia="zh-CN"/>
        </w:rPr>
        <w:t>Proposal 2: The procedural requirements for RA should be extracted and aligned with RAN2 MAC spec, and the number of the requirements should be limited.</w:t>
      </w: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73E63C5" w14:textId="0BEB1149" w:rsidR="00DD0F40" w:rsidRDefault="00850948">
      <w:pPr>
        <w:rPr>
          <w:rFonts w:eastAsiaTheme="minorEastAsia"/>
          <w:lang w:eastAsia="zh-CN"/>
        </w:rPr>
      </w:pPr>
      <w:r>
        <w:rPr>
          <w:rFonts w:eastAsiaTheme="minorEastAsia"/>
          <w:lang w:eastAsia="zh-CN"/>
        </w:rPr>
        <w:t xml:space="preserve">[1] </w:t>
      </w:r>
      <w:r w:rsidR="00DD0F40" w:rsidRPr="00DD0F40">
        <w:rPr>
          <w:rFonts w:eastAsiaTheme="minorEastAsia"/>
          <w:lang w:eastAsia="zh-CN"/>
        </w:rPr>
        <w:t>RP-234077</w:t>
      </w:r>
      <w:r w:rsidR="00DD0F40">
        <w:rPr>
          <w:rFonts w:eastAsiaTheme="minorEastAsia"/>
          <w:lang w:eastAsia="zh-CN"/>
        </w:rPr>
        <w:t xml:space="preserve"> </w:t>
      </w:r>
      <w:r w:rsidR="00DD0F40" w:rsidRPr="00DD0F40">
        <w:rPr>
          <w:rFonts w:eastAsiaTheme="minorEastAsia"/>
          <w:lang w:eastAsia="zh-CN"/>
        </w:rPr>
        <w:t>New WID: Non-Terrestrial Networks (NTN) for Internet of Things (IoT) Phase 3</w:t>
      </w:r>
    </w:p>
    <w:p w14:paraId="4CBC55A2" w14:textId="2056E30D" w:rsidR="007E1DD2" w:rsidRDefault="00DD0F40">
      <w:pPr>
        <w:rPr>
          <w:rFonts w:eastAsiaTheme="minorEastAsia"/>
          <w:lang w:eastAsia="zh-CN"/>
        </w:rPr>
      </w:pPr>
      <w:r>
        <w:t>[2] RP-241624</w:t>
      </w:r>
      <w:r w:rsidRPr="00850948">
        <w:rPr>
          <w:rFonts w:eastAsiaTheme="minorEastAsia"/>
          <w:lang w:eastAsia="zh-CN"/>
        </w:rPr>
        <w:t xml:space="preserve"> </w:t>
      </w:r>
      <w:r w:rsidRPr="00DD0F40">
        <w:rPr>
          <w:rFonts w:eastAsiaTheme="minorEastAsia"/>
          <w:lang w:eastAsia="zh-CN"/>
        </w:rPr>
        <w:t>Revised WID on Non-Terrestrial Networks (NTN) for Internet of Things (IoT) Phase 3</w:t>
      </w:r>
    </w:p>
    <w:p w14:paraId="405126F0" w14:textId="6E0F776D" w:rsidR="00C14217" w:rsidRDefault="00C14217">
      <w:pPr>
        <w:rPr>
          <w:rFonts w:eastAsiaTheme="minorEastAsia"/>
          <w:lang w:eastAsia="zh-CN"/>
        </w:rPr>
      </w:pPr>
      <w:r>
        <w:rPr>
          <w:rFonts w:eastAsiaTheme="minorEastAsia"/>
          <w:lang w:eastAsia="zh-CN"/>
        </w:rPr>
        <w:t xml:space="preserve">[3] </w:t>
      </w:r>
      <w:r w:rsidRPr="00C14217">
        <w:rPr>
          <w:rFonts w:eastAsiaTheme="minorEastAsia"/>
          <w:lang w:eastAsia="zh-CN"/>
        </w:rPr>
        <w:t>RP-242397</w:t>
      </w:r>
      <w:r>
        <w:rPr>
          <w:rFonts w:eastAsiaTheme="minorEastAsia"/>
          <w:lang w:eastAsia="zh-CN"/>
        </w:rPr>
        <w:t xml:space="preserve"> </w:t>
      </w:r>
      <w:r w:rsidRPr="00C14217">
        <w:rPr>
          <w:rFonts w:eastAsiaTheme="minorEastAsia"/>
          <w:lang w:eastAsia="zh-CN"/>
        </w:rPr>
        <w:t>Revised WID on Non-Terrestrial Networks (NTN) for Internet of Things (IoT) Phase 3</w:t>
      </w:r>
    </w:p>
    <w:p w14:paraId="14072DFB" w14:textId="6B90F0E3" w:rsidR="009C7F0C" w:rsidRDefault="00DD0F40" w:rsidP="008F5FB2">
      <w:pPr>
        <w:rPr>
          <w:rFonts w:eastAsiaTheme="minorEastAsia"/>
          <w:lang w:eastAsia="zh-CN"/>
        </w:rPr>
      </w:pPr>
      <w:r>
        <w:rPr>
          <w:rFonts w:eastAsiaTheme="minorEastAsia"/>
          <w:lang w:eastAsia="zh-CN"/>
        </w:rPr>
        <w:t>[</w:t>
      </w:r>
      <w:r w:rsidR="00C14217">
        <w:rPr>
          <w:rFonts w:eastAsiaTheme="minorEastAsia"/>
          <w:lang w:eastAsia="zh-CN"/>
        </w:rPr>
        <w:t>4</w:t>
      </w:r>
      <w:r>
        <w:rPr>
          <w:rFonts w:eastAsiaTheme="minorEastAsia"/>
          <w:lang w:eastAsia="zh-CN"/>
        </w:rPr>
        <w:t>]</w:t>
      </w:r>
      <w:r w:rsidR="008F5FB2">
        <w:rPr>
          <w:rFonts w:eastAsiaTheme="minorEastAsia"/>
          <w:lang w:eastAsia="zh-CN"/>
        </w:rPr>
        <w:t xml:space="preserve"> </w:t>
      </w:r>
      <w:r w:rsidR="008F5FB2" w:rsidRPr="008F5FB2">
        <w:rPr>
          <w:rFonts w:eastAsiaTheme="minorEastAsia"/>
          <w:lang w:eastAsia="zh-CN"/>
        </w:rPr>
        <w:t>R4-2502606</w:t>
      </w:r>
      <w:r w:rsidR="008F5FB2">
        <w:rPr>
          <w:rFonts w:eastAsiaTheme="minorEastAsia"/>
          <w:lang w:eastAsia="zh-CN"/>
        </w:rPr>
        <w:t xml:space="preserve"> </w:t>
      </w:r>
      <w:r w:rsidR="008F5FB2" w:rsidRPr="008F5FB2">
        <w:rPr>
          <w:rFonts w:eastAsiaTheme="minorEastAsia"/>
          <w:lang w:eastAsia="zh-CN"/>
        </w:rPr>
        <w:t>WF on RRM requirements for IoT_NTN_Ph3</w:t>
      </w:r>
      <w:r w:rsidR="008F5FB2">
        <w:rPr>
          <w:rFonts w:eastAsiaTheme="minorEastAsia"/>
          <w:lang w:eastAsia="zh-CN"/>
        </w:rPr>
        <w:t xml:space="preserve"> </w:t>
      </w:r>
    </w:p>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5CA15" w14:textId="77777777" w:rsidR="004A634F" w:rsidRDefault="004A634F">
      <w:pPr>
        <w:spacing w:after="0"/>
      </w:pPr>
      <w:r>
        <w:separator/>
      </w:r>
    </w:p>
  </w:endnote>
  <w:endnote w:type="continuationSeparator" w:id="0">
    <w:p w14:paraId="05B65510" w14:textId="77777777" w:rsidR="004A634F" w:rsidRDefault="004A63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6FDEE" w14:textId="77777777" w:rsidR="004A634F" w:rsidRDefault="004A634F">
      <w:pPr>
        <w:spacing w:after="0"/>
      </w:pPr>
      <w:r>
        <w:separator/>
      </w:r>
    </w:p>
  </w:footnote>
  <w:footnote w:type="continuationSeparator" w:id="0">
    <w:p w14:paraId="33331AED" w14:textId="77777777" w:rsidR="004A634F" w:rsidRDefault="004A63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8C231BD"/>
    <w:multiLevelType w:val="hybridMultilevel"/>
    <w:tmpl w:val="AE4AF2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3543B2"/>
    <w:multiLevelType w:val="multilevel"/>
    <w:tmpl w:val="92E28C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1"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7"/>
  </w:num>
  <w:num w:numId="3">
    <w:abstractNumId w:val="26"/>
  </w:num>
  <w:num w:numId="4">
    <w:abstractNumId w:val="20"/>
  </w:num>
  <w:num w:numId="5">
    <w:abstractNumId w:val="21"/>
  </w:num>
  <w:num w:numId="6">
    <w:abstractNumId w:val="6"/>
  </w:num>
  <w:num w:numId="7">
    <w:abstractNumId w:val="3"/>
  </w:num>
  <w:num w:numId="8">
    <w:abstractNumId w:val="29"/>
  </w:num>
  <w:num w:numId="9">
    <w:abstractNumId w:val="12"/>
  </w:num>
  <w:num w:numId="10">
    <w:abstractNumId w:val="32"/>
  </w:num>
  <w:num w:numId="11">
    <w:abstractNumId w:val="40"/>
  </w:num>
  <w:num w:numId="12">
    <w:abstractNumId w:val="0"/>
  </w:num>
  <w:num w:numId="13">
    <w:abstractNumId w:val="8"/>
  </w:num>
  <w:num w:numId="14">
    <w:abstractNumId w:val="1"/>
  </w:num>
  <w:num w:numId="15">
    <w:abstractNumId w:val="35"/>
  </w:num>
  <w:num w:numId="16">
    <w:abstractNumId w:val="30"/>
  </w:num>
  <w:num w:numId="17">
    <w:abstractNumId w:val="16"/>
  </w:num>
  <w:num w:numId="18">
    <w:abstractNumId w:val="33"/>
  </w:num>
  <w:num w:numId="19">
    <w:abstractNumId w:val="18"/>
  </w:num>
  <w:num w:numId="20">
    <w:abstractNumId w:val="31"/>
  </w:num>
  <w:num w:numId="21">
    <w:abstractNumId w:val="9"/>
  </w:num>
  <w:num w:numId="22">
    <w:abstractNumId w:val="28"/>
  </w:num>
  <w:num w:numId="23">
    <w:abstractNumId w:val="41"/>
  </w:num>
  <w:num w:numId="24">
    <w:abstractNumId w:val="4"/>
  </w:num>
  <w:num w:numId="25">
    <w:abstractNumId w:val="14"/>
  </w:num>
  <w:num w:numId="26">
    <w:abstractNumId w:val="7"/>
  </w:num>
  <w:num w:numId="27">
    <w:abstractNumId w:val="25"/>
  </w:num>
  <w:num w:numId="28">
    <w:abstractNumId w:val="10"/>
  </w:num>
  <w:num w:numId="29">
    <w:abstractNumId w:val="22"/>
  </w:num>
  <w:num w:numId="30">
    <w:abstractNumId w:val="42"/>
  </w:num>
  <w:num w:numId="31">
    <w:abstractNumId w:val="19"/>
  </w:num>
  <w:num w:numId="32">
    <w:abstractNumId w:val="17"/>
  </w:num>
  <w:num w:numId="33">
    <w:abstractNumId w:val="5"/>
  </w:num>
  <w:num w:numId="34">
    <w:abstractNumId w:val="38"/>
  </w:num>
  <w:num w:numId="35">
    <w:abstractNumId w:val="11"/>
  </w:num>
  <w:num w:numId="36">
    <w:abstractNumId w:val="23"/>
  </w:num>
  <w:num w:numId="37">
    <w:abstractNumId w:val="13"/>
  </w:num>
  <w:num w:numId="38">
    <w:abstractNumId w:val="2"/>
  </w:num>
  <w:num w:numId="39">
    <w:abstractNumId w:val="36"/>
  </w:num>
  <w:num w:numId="40">
    <w:abstractNumId w:val="27"/>
  </w:num>
  <w:num w:numId="41">
    <w:abstractNumId w:val="34"/>
  </w:num>
  <w:num w:numId="42">
    <w:abstractNumId w:val="15"/>
  </w:num>
  <w:num w:numId="43">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5B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6B3D"/>
    <w:rsid w:val="001874A6"/>
    <w:rsid w:val="00191CB9"/>
    <w:rsid w:val="0019343D"/>
    <w:rsid w:val="00195B0D"/>
    <w:rsid w:val="001972B6"/>
    <w:rsid w:val="00197964"/>
    <w:rsid w:val="001A0A8D"/>
    <w:rsid w:val="001A1CB3"/>
    <w:rsid w:val="001A1E7C"/>
    <w:rsid w:val="001A5537"/>
    <w:rsid w:val="001A63AD"/>
    <w:rsid w:val="001C4240"/>
    <w:rsid w:val="001C5D98"/>
    <w:rsid w:val="001D01D3"/>
    <w:rsid w:val="001D151D"/>
    <w:rsid w:val="001D154C"/>
    <w:rsid w:val="001D2A26"/>
    <w:rsid w:val="001D3006"/>
    <w:rsid w:val="001D3DF0"/>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4345"/>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C761E"/>
    <w:rsid w:val="003D3094"/>
    <w:rsid w:val="003D3C2B"/>
    <w:rsid w:val="003D6632"/>
    <w:rsid w:val="003D6F09"/>
    <w:rsid w:val="003D7426"/>
    <w:rsid w:val="003D77C1"/>
    <w:rsid w:val="003E0792"/>
    <w:rsid w:val="003E097F"/>
    <w:rsid w:val="003E1B1E"/>
    <w:rsid w:val="003E24D9"/>
    <w:rsid w:val="003E5B81"/>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38C0"/>
    <w:rsid w:val="0045581F"/>
    <w:rsid w:val="00455DD9"/>
    <w:rsid w:val="00455FD0"/>
    <w:rsid w:val="004569BB"/>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34F"/>
    <w:rsid w:val="004A678E"/>
    <w:rsid w:val="004A7CF2"/>
    <w:rsid w:val="004A7F44"/>
    <w:rsid w:val="004B1ECE"/>
    <w:rsid w:val="004B21D9"/>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1FE5"/>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041"/>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4463"/>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543D"/>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032"/>
    <w:rsid w:val="007E14E0"/>
    <w:rsid w:val="007E190C"/>
    <w:rsid w:val="007E1DD2"/>
    <w:rsid w:val="007E2057"/>
    <w:rsid w:val="007E2E8A"/>
    <w:rsid w:val="007E423D"/>
    <w:rsid w:val="007E5F97"/>
    <w:rsid w:val="007E62E3"/>
    <w:rsid w:val="007E67EC"/>
    <w:rsid w:val="007F045C"/>
    <w:rsid w:val="007F178A"/>
    <w:rsid w:val="007F2371"/>
    <w:rsid w:val="007F2E6A"/>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5FB2"/>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28E8"/>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C7F0C"/>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3B0"/>
    <w:rsid w:val="00BB6484"/>
    <w:rsid w:val="00BC0BC9"/>
    <w:rsid w:val="00BC24F8"/>
    <w:rsid w:val="00BC3920"/>
    <w:rsid w:val="00BC428B"/>
    <w:rsid w:val="00BC45EF"/>
    <w:rsid w:val="00BC47AB"/>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BF4D99"/>
    <w:rsid w:val="00C060C3"/>
    <w:rsid w:val="00C06689"/>
    <w:rsid w:val="00C075BD"/>
    <w:rsid w:val="00C07C3B"/>
    <w:rsid w:val="00C11B10"/>
    <w:rsid w:val="00C12151"/>
    <w:rsid w:val="00C12EA5"/>
    <w:rsid w:val="00C14217"/>
    <w:rsid w:val="00C14806"/>
    <w:rsid w:val="00C15E40"/>
    <w:rsid w:val="00C161BE"/>
    <w:rsid w:val="00C239E2"/>
    <w:rsid w:val="00C32655"/>
    <w:rsid w:val="00C338CA"/>
    <w:rsid w:val="00C353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0140"/>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D0915"/>
    <w:rsid w:val="00DD0F40"/>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05D"/>
    <w:rsid w:val="00E706B8"/>
    <w:rsid w:val="00E72064"/>
    <w:rsid w:val="00E7349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7895"/>
    <w:rsid w:val="00EC1B56"/>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B6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DDB50-82B2-49FA-BE40-CADB898D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10460</TotalTime>
  <Pages>3</Pages>
  <Words>697</Words>
  <Characters>3974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28</cp:revision>
  <dcterms:created xsi:type="dcterms:W3CDTF">2022-09-19T08:46:00Z</dcterms:created>
  <dcterms:modified xsi:type="dcterms:W3CDTF">2025-03-28T08:12:00Z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