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1863E" w14:textId="346829B0" w:rsidR="007E1AA4" w:rsidRPr="001C2D88" w:rsidRDefault="007E1AA4" w:rsidP="007E1AA4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112-bis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="005B2ADF" w:rsidRPr="005B2ADF">
        <w:rPr>
          <w:rFonts w:ascii="Arial" w:eastAsiaTheme="minorEastAsia" w:hAnsi="Arial" w:cs="Arial"/>
          <w:b/>
        </w:rPr>
        <w:t>2416483</w:t>
      </w:r>
    </w:p>
    <w:p w14:paraId="5427E458" w14:textId="77777777" w:rsidR="007E1AA4" w:rsidRPr="001C2D88" w:rsidRDefault="007E1AA4" w:rsidP="007E1AA4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Hefei,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China, October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14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bCs/>
        </w:rPr>
        <w:t>18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01D65E78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7E1AA4">
        <w:rPr>
          <w:rFonts w:ascii="Arial" w:eastAsiaTheme="minorEastAsia" w:hAnsi="Arial" w:cs="Arial"/>
          <w:color w:val="000000"/>
          <w:sz w:val="22"/>
        </w:rPr>
        <w:t>6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5027A6">
        <w:rPr>
          <w:rFonts w:ascii="Arial" w:eastAsiaTheme="minorEastAsia" w:hAnsi="Arial" w:cs="Arial"/>
          <w:color w:val="000000"/>
          <w:sz w:val="22"/>
        </w:rPr>
        <w:t>2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895C20">
        <w:rPr>
          <w:rFonts w:ascii="Arial" w:eastAsiaTheme="minorEastAsia" w:hAnsi="Arial" w:cs="Arial"/>
          <w:color w:val="000000"/>
          <w:sz w:val="22"/>
        </w:rPr>
        <w:t>2</w:t>
      </w:r>
      <w:r w:rsidR="007E1AA4">
        <w:rPr>
          <w:rFonts w:ascii="Arial" w:eastAsiaTheme="minorEastAsia" w:hAnsi="Arial" w:cs="Arial"/>
          <w:color w:val="000000"/>
          <w:sz w:val="22"/>
        </w:rPr>
        <w:t>.1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47FF7E9C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895C20">
        <w:rPr>
          <w:rFonts w:ascii="Arial" w:eastAsia="MS Mincho" w:hAnsi="Arial" w:cs="Arial"/>
          <w:sz w:val="22"/>
        </w:rPr>
        <w:t xml:space="preserve">UE RF </w:t>
      </w:r>
      <w:r w:rsidR="005027A6">
        <w:rPr>
          <w:rFonts w:ascii="Arial" w:eastAsia="MS Mincho" w:hAnsi="Arial" w:cs="Arial"/>
          <w:sz w:val="22"/>
        </w:rPr>
        <w:t xml:space="preserve">Tx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</w:t>
      </w:r>
      <w:r w:rsidR="007E1AA4">
        <w:rPr>
          <w:rFonts w:ascii="Arial" w:eastAsia="MS Mincho" w:hAnsi="Arial" w:cs="Arial"/>
          <w:sz w:val="22"/>
        </w:rPr>
        <w:t>NR-</w:t>
      </w:r>
      <w:r w:rsidR="009954E8">
        <w:rPr>
          <w:rFonts w:ascii="Arial" w:eastAsia="MS Mincho" w:hAnsi="Arial" w:cs="Arial"/>
          <w:sz w:val="22"/>
        </w:rPr>
        <w:t>NTN</w:t>
      </w:r>
      <w:r w:rsidR="005027A6">
        <w:rPr>
          <w:rFonts w:ascii="Arial" w:eastAsia="MS Mincho" w:hAnsi="Arial" w:cs="Arial"/>
          <w:sz w:val="22"/>
        </w:rPr>
        <w:t xml:space="preserve"> HPUE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785F771B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D01B04">
        <w:rPr>
          <w:sz w:val="21"/>
          <w:szCs w:val="21"/>
        </w:rPr>
        <w:t>5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5027A6" w:rsidRPr="005027A6">
        <w:rPr>
          <w:sz w:val="21"/>
          <w:szCs w:val="21"/>
        </w:rPr>
        <w:t>High power UE (HPUE)</w:t>
      </w:r>
      <w:r w:rsidR="00D01B04">
        <w:rPr>
          <w:sz w:val="21"/>
          <w:szCs w:val="21"/>
        </w:rPr>
        <w:t xml:space="preserve"> requirements</w:t>
      </w:r>
      <w:r w:rsidR="005027A6" w:rsidRPr="005027A6">
        <w:rPr>
          <w:sz w:val="21"/>
          <w:szCs w:val="21"/>
        </w:rPr>
        <w:t xml:space="preserve"> for </w:t>
      </w:r>
      <w:r w:rsidR="00D01B04">
        <w:rPr>
          <w:sz w:val="21"/>
          <w:szCs w:val="21"/>
        </w:rPr>
        <w:t>NR-</w:t>
      </w:r>
      <w:r w:rsidR="005027A6" w:rsidRPr="005027A6">
        <w:rPr>
          <w:sz w:val="21"/>
          <w:szCs w:val="21"/>
        </w:rPr>
        <w:t>NTN</w:t>
      </w:r>
      <w:r w:rsidR="005027A6">
        <w:rPr>
          <w:sz w:val="21"/>
          <w:szCs w:val="21"/>
        </w:rPr>
        <w:t xml:space="preserve"> </w:t>
      </w:r>
      <w:r>
        <w:rPr>
          <w:sz w:val="21"/>
          <w:szCs w:val="21"/>
        </w:rPr>
        <w:t>with the following objectives:</w:t>
      </w:r>
    </w:p>
    <w:p w14:paraId="4F627C66" w14:textId="77777777" w:rsidR="005027A6" w:rsidRPr="005027A6" w:rsidRDefault="005027A6" w:rsidP="005027A6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high power UE (HPUE) for NR-NTN (Non-Terrestrial Networks) and IoT-NTN (NB-IoT and eMTC based NTN) in FR1-NTN bands and the corresponding LTE NTN bands for the single uplink (UL) carrier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scenario</w:t>
      </w:r>
      <w:proofErr w:type="gramEnd"/>
    </w:p>
    <w:p w14:paraId="104B296D" w14:textId="77777777" w:rsidR="005027A6" w:rsidRPr="005027A6" w:rsidRDefault="005027A6" w:rsidP="005027A6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UE with power class 2 (PC2, 26 dBm) that applies to both handheld and non-handheld based on the co-existence study.</w:t>
      </w:r>
    </w:p>
    <w:p w14:paraId="2E81024E" w14:textId="77777777" w:rsidR="005027A6" w:rsidRPr="005027A6" w:rsidRDefault="005027A6" w:rsidP="005027A6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Support other power classes based on the co-existence and feasibility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study</w:t>
      </w:r>
      <w:proofErr w:type="gramEnd"/>
    </w:p>
    <w:p w14:paraId="26423DA8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Non-</w:t>
      </w:r>
      <w:proofErr w:type="gramStart"/>
      <w:r w:rsidRPr="005027A6">
        <w:rPr>
          <w:rFonts w:eastAsia="MS Mincho"/>
          <w:i/>
          <w:iCs/>
          <w:sz w:val="21"/>
          <w:szCs w:val="21"/>
        </w:rPr>
        <w:t>hand held</w:t>
      </w:r>
      <w:proofErr w:type="gramEnd"/>
      <w:r w:rsidRPr="005027A6">
        <w:rPr>
          <w:rFonts w:eastAsia="MS Mincho"/>
          <w:i/>
          <w:iCs/>
          <w:sz w:val="21"/>
          <w:szCs w:val="21"/>
        </w:rPr>
        <w:t xml:space="preserve"> UE is prioritized</w:t>
      </w:r>
    </w:p>
    <w:p w14:paraId="56442F45" w14:textId="77777777" w:rsidR="005027A6" w:rsidRPr="005027A6" w:rsidRDefault="005027A6" w:rsidP="005027A6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RF requirements for all considered power classes for NR-NTN and IoT-NTN in FR1-NTN bands and the corresponding LTE NTN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10D650B9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Necessary Tx requirements, at least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including</w:t>
      </w:r>
      <w:proofErr w:type="gramEnd"/>
    </w:p>
    <w:p w14:paraId="08E376D8" w14:textId="77777777" w:rsidR="005027A6" w:rsidRPr="005027A6" w:rsidRDefault="005027A6" w:rsidP="005027A6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Investigate and if necessary, specify the solution to address potential SAR (Specific Absorption Rate restriction) requirements for handheld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UE</w:t>
      </w:r>
      <w:proofErr w:type="gramEnd"/>
    </w:p>
    <w:p w14:paraId="1952E156" w14:textId="77777777" w:rsidR="005027A6" w:rsidRPr="005027A6" w:rsidRDefault="005027A6" w:rsidP="005027A6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MPR and A-MPR for the example bands considering the regulation for the corresponding bands, if necessary</w:t>
      </w:r>
    </w:p>
    <w:p w14:paraId="1B9B61CF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Necessary Rx requirements, at least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including</w:t>
      </w:r>
      <w:proofErr w:type="gramEnd"/>
    </w:p>
    <w:p w14:paraId="3303F334" w14:textId="77777777" w:rsidR="005027A6" w:rsidRPr="005027A6" w:rsidRDefault="005027A6" w:rsidP="005027A6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RSD requirements on the example bands, if necessary</w:t>
      </w:r>
    </w:p>
    <w:p w14:paraId="3995E3CA" w14:textId="77777777" w:rsidR="005027A6" w:rsidRPr="005027A6" w:rsidRDefault="005027A6" w:rsidP="005027A6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the necessary signaling to support the above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objectives</w:t>
      </w:r>
      <w:proofErr w:type="gramEnd"/>
    </w:p>
    <w:p w14:paraId="2E5C1AAC" w14:textId="5395C624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</w:t>
      </w:r>
      <w:r w:rsidR="00D01B04">
        <w:rPr>
          <w:sz w:val="21"/>
          <w:szCs w:val="21"/>
        </w:rPr>
        <w:t xml:space="preserve">discuss the </w:t>
      </w:r>
      <w:r w:rsidR="006335D8">
        <w:rPr>
          <w:sz w:val="21"/>
          <w:szCs w:val="21"/>
        </w:rPr>
        <w:t xml:space="preserve">open issues on </w:t>
      </w:r>
      <w:r w:rsidR="00D01B04">
        <w:rPr>
          <w:sz w:val="21"/>
          <w:szCs w:val="21"/>
        </w:rPr>
        <w:t>UE RF</w:t>
      </w:r>
      <w:r w:rsidR="00E07EA8">
        <w:rPr>
          <w:sz w:val="21"/>
          <w:szCs w:val="21"/>
        </w:rPr>
        <w:t xml:space="preserve"> </w:t>
      </w:r>
      <w:r w:rsidR="005027A6">
        <w:rPr>
          <w:sz w:val="21"/>
          <w:szCs w:val="21"/>
        </w:rPr>
        <w:t>Tx</w:t>
      </w:r>
      <w:r w:rsidR="00895C20">
        <w:rPr>
          <w:sz w:val="21"/>
          <w:szCs w:val="21"/>
        </w:rPr>
        <w:t xml:space="preserve"> requirements</w:t>
      </w:r>
      <w:r w:rsidR="00755DC2">
        <w:rPr>
          <w:sz w:val="21"/>
          <w:szCs w:val="21"/>
        </w:rPr>
        <w:t xml:space="preserve"> for </w:t>
      </w:r>
      <w:r w:rsidR="00D01B04">
        <w:rPr>
          <w:sz w:val="21"/>
          <w:szCs w:val="21"/>
        </w:rPr>
        <w:t xml:space="preserve">NR-NTN </w:t>
      </w:r>
      <w:r w:rsidR="00E07EA8">
        <w:rPr>
          <w:sz w:val="21"/>
          <w:szCs w:val="21"/>
        </w:rPr>
        <w:t>HPUE</w:t>
      </w:r>
      <w:r w:rsidR="006335D8">
        <w:rPr>
          <w:sz w:val="21"/>
          <w:szCs w:val="21"/>
        </w:rPr>
        <w:t xml:space="preserve"> from the approved WF </w:t>
      </w:r>
      <w:r w:rsidR="004B082C">
        <w:rPr>
          <w:sz w:val="21"/>
          <w:szCs w:val="21"/>
        </w:rPr>
        <w:t>in</w:t>
      </w:r>
      <w:r w:rsidR="006335D8">
        <w:rPr>
          <w:sz w:val="21"/>
          <w:szCs w:val="21"/>
        </w:rPr>
        <w:t xml:space="preserve"> RAN4#112 [2]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1BFF6A3C" w14:textId="34FE834A" w:rsidR="00A92B01" w:rsidRPr="00A92B01" w:rsidRDefault="00A92B01" w:rsidP="00660EEA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General considerations</w:t>
      </w:r>
    </w:p>
    <w:p w14:paraId="27F8A072" w14:textId="666FC9D9" w:rsidR="009B7051" w:rsidRPr="00660EEA" w:rsidRDefault="006335D8" w:rsidP="00660EEA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>Regarding the scope of this WI</w:t>
      </w:r>
      <w:r w:rsidR="00A92B01">
        <w:rPr>
          <w:bCs/>
          <w:sz w:val="21"/>
          <w:szCs w:val="21"/>
          <w:lang w:eastAsia="ko-KR"/>
        </w:rPr>
        <w:t>, and particularly</w:t>
      </w:r>
      <w:r>
        <w:rPr>
          <w:bCs/>
          <w:sz w:val="21"/>
          <w:szCs w:val="21"/>
          <w:lang w:eastAsia="ko-KR"/>
        </w:rPr>
        <w:t xml:space="preserve"> the </w:t>
      </w:r>
      <w:r w:rsidR="00660EEA">
        <w:rPr>
          <w:bCs/>
          <w:sz w:val="21"/>
          <w:szCs w:val="21"/>
          <w:lang w:eastAsia="ko-KR"/>
        </w:rPr>
        <w:t>power class</w:t>
      </w:r>
      <w:r w:rsidR="00A92B01">
        <w:rPr>
          <w:bCs/>
          <w:sz w:val="21"/>
          <w:szCs w:val="21"/>
          <w:lang w:eastAsia="ko-KR"/>
        </w:rPr>
        <w:t xml:space="preserve"> support</w:t>
      </w:r>
      <w:r w:rsidR="00660EEA">
        <w:rPr>
          <w:bCs/>
          <w:sz w:val="21"/>
          <w:szCs w:val="21"/>
          <w:lang w:eastAsia="ko-KR"/>
        </w:rPr>
        <w:t>, there was a following agreement in the previous meeting [2]:</w:t>
      </w:r>
    </w:p>
    <w:p w14:paraId="75CC9F48" w14:textId="2D40342E" w:rsidR="00660EEA" w:rsidRPr="00660EEA" w:rsidRDefault="00660EEA" w:rsidP="00660EEA">
      <w:pPr>
        <w:rPr>
          <w:b/>
          <w:i/>
          <w:iCs/>
          <w:sz w:val="21"/>
          <w:szCs w:val="21"/>
          <w:u w:val="single"/>
          <w:lang w:eastAsia="ko-KR"/>
        </w:rPr>
      </w:pPr>
      <w:r w:rsidRPr="00660EEA">
        <w:rPr>
          <w:b/>
          <w:i/>
          <w:iCs/>
          <w:sz w:val="21"/>
          <w:szCs w:val="21"/>
          <w:u w:val="single"/>
          <w:lang w:eastAsia="ko-KR"/>
        </w:rPr>
        <w:t>Issue 3-1-3: Consideration of power classes</w:t>
      </w:r>
    </w:p>
    <w:p w14:paraId="46078677" w14:textId="77777777" w:rsidR="00660EEA" w:rsidRPr="00660EEA" w:rsidRDefault="00660EEA" w:rsidP="00660EEA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i/>
          <w:iCs/>
          <w:sz w:val="21"/>
          <w:szCs w:val="21"/>
        </w:rPr>
      </w:pPr>
      <w:r w:rsidRPr="00660EEA">
        <w:rPr>
          <w:rFonts w:eastAsia="SimSun"/>
          <w:b/>
          <w:i/>
          <w:iCs/>
          <w:sz w:val="21"/>
          <w:szCs w:val="21"/>
        </w:rPr>
        <w:t>Agreement</w:t>
      </w:r>
    </w:p>
    <w:p w14:paraId="29BE6011" w14:textId="77777777" w:rsidR="00660EEA" w:rsidRPr="00660EEA" w:rsidRDefault="00660EEA" w:rsidP="00660EEA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660EEA">
        <w:rPr>
          <w:rFonts w:eastAsia="SimSun"/>
          <w:i/>
          <w:iCs/>
          <w:sz w:val="21"/>
          <w:szCs w:val="21"/>
        </w:rPr>
        <w:t xml:space="preserve">All power classes in WID, including Power class 1/1.5/2 for NR-NTN and Power class 1/2 for IoT-NTN, will be further </w:t>
      </w:r>
      <w:proofErr w:type="gramStart"/>
      <w:r w:rsidRPr="00660EEA">
        <w:rPr>
          <w:rFonts w:eastAsia="SimSun"/>
          <w:i/>
          <w:iCs/>
          <w:sz w:val="21"/>
          <w:szCs w:val="21"/>
        </w:rPr>
        <w:t>discussed</w:t>
      </w:r>
      <w:proofErr w:type="gramEnd"/>
    </w:p>
    <w:p w14:paraId="299884B3" w14:textId="2EA46222" w:rsidR="002C1E47" w:rsidRDefault="002C1E47" w:rsidP="002C1E4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According to the WID objectives [1], the main goal of this WI is to specify the power class 2 (PC2, 26dBm) that applies to both handheld and non-handheld UEs based on the co-existence study. Support of other power classes will be based on co-existence and feasibility stud</w:t>
      </w:r>
      <w:r w:rsidR="00E83A39">
        <w:rPr>
          <w:sz w:val="21"/>
          <w:szCs w:val="21"/>
          <w:lang w:eastAsia="ja-JP"/>
        </w:rPr>
        <w:t>ies</w:t>
      </w:r>
      <w:r>
        <w:rPr>
          <w:sz w:val="21"/>
          <w:szCs w:val="21"/>
          <w:lang w:eastAsia="ja-JP"/>
        </w:rPr>
        <w:t xml:space="preserve">, which in our understanding means that their support is not </w:t>
      </w:r>
      <w:r>
        <w:rPr>
          <w:sz w:val="21"/>
          <w:szCs w:val="21"/>
          <w:lang w:eastAsia="ja-JP"/>
        </w:rPr>
        <w:lastRenderedPageBreak/>
        <w:t xml:space="preserve">guaranteed as it will depend on the outcome of </w:t>
      </w:r>
      <w:r w:rsidR="006335D8">
        <w:rPr>
          <w:sz w:val="21"/>
          <w:szCs w:val="21"/>
          <w:lang w:eastAsia="ja-JP"/>
        </w:rPr>
        <w:t>the two studies</w:t>
      </w:r>
      <w:r>
        <w:rPr>
          <w:sz w:val="21"/>
          <w:szCs w:val="21"/>
          <w:lang w:eastAsia="ja-JP"/>
        </w:rPr>
        <w:t>. Therefore, until the feasibility of other power classes is confirmed, we propose that RAN4 should focus on specifying power class 2.</w:t>
      </w:r>
    </w:p>
    <w:p w14:paraId="5B2793D4" w14:textId="77777777" w:rsidR="002C1E47" w:rsidRDefault="002C1E47" w:rsidP="002C1E47">
      <w:pPr>
        <w:rPr>
          <w:sz w:val="21"/>
          <w:szCs w:val="21"/>
          <w:lang w:eastAsia="ja-JP"/>
        </w:rPr>
      </w:pPr>
    </w:p>
    <w:p w14:paraId="185F0CD3" w14:textId="55AF31A7" w:rsidR="002C1E47" w:rsidRDefault="002C1E47" w:rsidP="002C1E47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1: </w:t>
      </w:r>
      <w:r>
        <w:rPr>
          <w:b/>
          <w:bCs/>
          <w:sz w:val="21"/>
          <w:szCs w:val="21"/>
          <w:lang w:eastAsia="ja-JP"/>
        </w:rPr>
        <w:t>U</w:t>
      </w:r>
      <w:r w:rsidRPr="00C01D9E">
        <w:rPr>
          <w:b/>
          <w:bCs/>
          <w:sz w:val="21"/>
          <w:szCs w:val="21"/>
          <w:lang w:eastAsia="ja-JP"/>
        </w:rPr>
        <w:t>ntil the feasibility of other</w:t>
      </w:r>
      <w:r>
        <w:rPr>
          <w:b/>
          <w:bCs/>
          <w:sz w:val="21"/>
          <w:szCs w:val="21"/>
          <w:lang w:eastAsia="ja-JP"/>
        </w:rPr>
        <w:t xml:space="preserve"> </w:t>
      </w:r>
      <w:r w:rsidRPr="00C01D9E">
        <w:rPr>
          <w:b/>
          <w:bCs/>
          <w:sz w:val="21"/>
          <w:szCs w:val="21"/>
          <w:lang w:eastAsia="ja-JP"/>
        </w:rPr>
        <w:t>power classes is confirmed</w:t>
      </w:r>
      <w:r>
        <w:rPr>
          <w:b/>
          <w:bCs/>
          <w:sz w:val="21"/>
          <w:szCs w:val="21"/>
          <w:lang w:eastAsia="ja-JP"/>
        </w:rPr>
        <w:t xml:space="preserve"> based on co-existence and feasibility stud</w:t>
      </w:r>
      <w:r w:rsidR="006335D8">
        <w:rPr>
          <w:b/>
          <w:bCs/>
          <w:sz w:val="21"/>
          <w:szCs w:val="21"/>
          <w:lang w:eastAsia="ja-JP"/>
        </w:rPr>
        <w:t>ies</w:t>
      </w:r>
      <w:r w:rsidRPr="00C01D9E">
        <w:rPr>
          <w:b/>
          <w:bCs/>
          <w:sz w:val="21"/>
          <w:szCs w:val="21"/>
          <w:lang w:eastAsia="ja-JP"/>
        </w:rPr>
        <w:t xml:space="preserve">, we propose that RAN4 </w:t>
      </w:r>
      <w:r>
        <w:rPr>
          <w:b/>
          <w:bCs/>
          <w:sz w:val="21"/>
          <w:szCs w:val="21"/>
          <w:lang w:eastAsia="ja-JP"/>
        </w:rPr>
        <w:t xml:space="preserve">should </w:t>
      </w:r>
      <w:r w:rsidRPr="00C01D9E">
        <w:rPr>
          <w:b/>
          <w:bCs/>
          <w:sz w:val="21"/>
          <w:szCs w:val="21"/>
          <w:lang w:eastAsia="ja-JP"/>
        </w:rPr>
        <w:t>focus on specifyi</w:t>
      </w:r>
      <w:r>
        <w:rPr>
          <w:b/>
          <w:bCs/>
          <w:sz w:val="21"/>
          <w:szCs w:val="21"/>
          <w:lang w:eastAsia="ja-JP"/>
        </w:rPr>
        <w:t>ng</w:t>
      </w:r>
      <w:r w:rsidRPr="00C01D9E">
        <w:rPr>
          <w:b/>
          <w:bCs/>
          <w:sz w:val="21"/>
          <w:szCs w:val="21"/>
          <w:lang w:eastAsia="ja-JP"/>
        </w:rPr>
        <w:t xml:space="preserve"> power class 2.</w:t>
      </w:r>
    </w:p>
    <w:p w14:paraId="0C5F6D88" w14:textId="77777777" w:rsidR="002C1E47" w:rsidRDefault="002C1E47" w:rsidP="002C1E47">
      <w:pPr>
        <w:rPr>
          <w:b/>
          <w:bCs/>
          <w:sz w:val="21"/>
          <w:szCs w:val="21"/>
          <w:lang w:eastAsia="ja-JP"/>
        </w:rPr>
      </w:pPr>
    </w:p>
    <w:p w14:paraId="0C075D7C" w14:textId="33ED8034" w:rsidR="00A92B01" w:rsidRPr="00A92B01" w:rsidRDefault="00A92B01" w:rsidP="002C1E47">
      <w:pPr>
        <w:rPr>
          <w:sz w:val="21"/>
          <w:szCs w:val="21"/>
          <w:lang w:eastAsia="ja-JP"/>
        </w:rPr>
      </w:pPr>
      <w:r w:rsidRPr="00A92B01">
        <w:rPr>
          <w:sz w:val="21"/>
          <w:szCs w:val="21"/>
          <w:lang w:eastAsia="ja-JP"/>
        </w:rPr>
        <w:t>On t</w:t>
      </w:r>
      <w:r>
        <w:rPr>
          <w:sz w:val="21"/>
          <w:szCs w:val="21"/>
          <w:lang w:eastAsia="ja-JP"/>
        </w:rPr>
        <w:t>he HPUE architecture iss</w:t>
      </w:r>
      <w:r w:rsidR="00C05188">
        <w:rPr>
          <w:sz w:val="21"/>
          <w:szCs w:val="21"/>
          <w:lang w:eastAsia="ja-JP"/>
        </w:rPr>
        <w:t>ue</w:t>
      </w:r>
      <w:r>
        <w:rPr>
          <w:sz w:val="21"/>
          <w:szCs w:val="21"/>
          <w:lang w:eastAsia="ja-JP"/>
        </w:rPr>
        <w:t>, the following was agreed [2]:</w:t>
      </w:r>
    </w:p>
    <w:p w14:paraId="30580D92" w14:textId="77777777" w:rsidR="00660EEA" w:rsidRPr="00660EEA" w:rsidRDefault="00660EEA" w:rsidP="00660EEA">
      <w:pPr>
        <w:rPr>
          <w:rFonts w:eastAsia="Malgun Gothic"/>
          <w:b/>
          <w:i/>
          <w:iCs/>
          <w:sz w:val="21"/>
          <w:szCs w:val="21"/>
          <w:u w:val="single"/>
          <w:lang w:eastAsia="ko-KR"/>
        </w:rPr>
      </w:pPr>
      <w:r w:rsidRPr="00660EEA">
        <w:rPr>
          <w:b/>
          <w:i/>
          <w:iCs/>
          <w:sz w:val="21"/>
          <w:szCs w:val="21"/>
          <w:u w:val="single"/>
          <w:lang w:eastAsia="ko-KR"/>
        </w:rPr>
        <w:t>Issue 3-1-5: Consideration of HPUE Architecture</w:t>
      </w:r>
    </w:p>
    <w:p w14:paraId="3D0D718E" w14:textId="77777777" w:rsidR="00660EEA" w:rsidRPr="00660EEA" w:rsidRDefault="00660EEA" w:rsidP="00660EEA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i/>
          <w:iCs/>
          <w:sz w:val="21"/>
          <w:szCs w:val="21"/>
        </w:rPr>
      </w:pPr>
      <w:r w:rsidRPr="00660EEA">
        <w:rPr>
          <w:rFonts w:eastAsia="SimSun"/>
          <w:b/>
          <w:i/>
          <w:iCs/>
          <w:sz w:val="21"/>
          <w:szCs w:val="21"/>
        </w:rPr>
        <w:t>Agreement:</w:t>
      </w:r>
    </w:p>
    <w:p w14:paraId="47CA346B" w14:textId="77777777" w:rsidR="00660EEA" w:rsidRPr="00660EEA" w:rsidRDefault="00660EEA" w:rsidP="00660EEA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660EEA">
        <w:rPr>
          <w:rFonts w:eastAsia="SimSun"/>
          <w:i/>
          <w:iCs/>
          <w:sz w:val="21"/>
          <w:szCs w:val="21"/>
        </w:rPr>
        <w:t>For PC2 (NR NTN), 1 Tx and 2 Tx, are to be considered for requirements.</w:t>
      </w:r>
    </w:p>
    <w:p w14:paraId="3349D2ED" w14:textId="77777777" w:rsidR="00660EEA" w:rsidRPr="00660EEA" w:rsidRDefault="00660EEA" w:rsidP="00660EEA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660EEA">
        <w:rPr>
          <w:rFonts w:eastAsia="SimSun" w:hint="eastAsia"/>
          <w:i/>
          <w:iCs/>
          <w:sz w:val="21"/>
          <w:szCs w:val="21"/>
        </w:rPr>
        <w:t>F</w:t>
      </w:r>
      <w:r w:rsidRPr="00660EEA">
        <w:rPr>
          <w:rFonts w:eastAsia="SimSun"/>
          <w:i/>
          <w:iCs/>
          <w:sz w:val="21"/>
          <w:szCs w:val="21"/>
        </w:rPr>
        <w:t xml:space="preserve">or PC2 IoT NTN, at least 1Tx shall be </w:t>
      </w:r>
      <w:proofErr w:type="gramStart"/>
      <w:r w:rsidRPr="00660EEA">
        <w:rPr>
          <w:rFonts w:eastAsia="SimSun"/>
          <w:i/>
          <w:iCs/>
          <w:sz w:val="21"/>
          <w:szCs w:val="21"/>
        </w:rPr>
        <w:t>considered</w:t>
      </w:r>
      <w:proofErr w:type="gramEnd"/>
      <w:r w:rsidRPr="00660EEA">
        <w:rPr>
          <w:rFonts w:eastAsia="SimSun"/>
          <w:i/>
          <w:iCs/>
          <w:sz w:val="21"/>
          <w:szCs w:val="21"/>
        </w:rPr>
        <w:t xml:space="preserve"> </w:t>
      </w:r>
    </w:p>
    <w:p w14:paraId="322D90B6" w14:textId="77777777" w:rsidR="00660EEA" w:rsidRPr="00660EEA" w:rsidRDefault="00660EEA" w:rsidP="00660EEA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660EEA">
        <w:rPr>
          <w:rFonts w:eastAsia="SimSun" w:hint="eastAsia"/>
          <w:i/>
          <w:iCs/>
          <w:sz w:val="21"/>
          <w:szCs w:val="21"/>
        </w:rPr>
        <w:t>F</w:t>
      </w:r>
      <w:r w:rsidRPr="00660EEA">
        <w:rPr>
          <w:rFonts w:eastAsia="SimSun"/>
          <w:i/>
          <w:iCs/>
          <w:sz w:val="21"/>
          <w:szCs w:val="21"/>
        </w:rPr>
        <w:t>or other PCs (both IoT NTN and NR NTN), FFS</w:t>
      </w:r>
    </w:p>
    <w:p w14:paraId="1BC359C8" w14:textId="77777777" w:rsidR="00660EEA" w:rsidRDefault="00660EEA" w:rsidP="002C1E47">
      <w:pPr>
        <w:rPr>
          <w:b/>
          <w:bCs/>
          <w:sz w:val="21"/>
          <w:szCs w:val="21"/>
          <w:lang w:eastAsia="ja-JP"/>
        </w:rPr>
      </w:pPr>
    </w:p>
    <w:p w14:paraId="5BD8910D" w14:textId="24994C7A" w:rsidR="002C1E47" w:rsidRDefault="00171779" w:rsidP="002C1E4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one of the objectives </w:t>
      </w:r>
      <w:r w:rsidR="006335D8">
        <w:rPr>
          <w:sz w:val="21"/>
          <w:szCs w:val="21"/>
          <w:lang w:eastAsia="ja-JP"/>
        </w:rPr>
        <w:t>for</w:t>
      </w:r>
      <w:r>
        <w:rPr>
          <w:sz w:val="21"/>
          <w:szCs w:val="21"/>
          <w:lang w:eastAsia="ja-JP"/>
        </w:rPr>
        <w:t xml:space="preserve"> the coexistence analysis part, particularly PC1.5 and PC1 are mentioned for NR-NTN. In </w:t>
      </w:r>
      <w:r w:rsidR="006335D8">
        <w:rPr>
          <w:sz w:val="21"/>
          <w:szCs w:val="21"/>
          <w:lang w:eastAsia="ja-JP"/>
        </w:rPr>
        <w:t xml:space="preserve">the UE RF requirements for TN </w:t>
      </w:r>
      <w:r>
        <w:rPr>
          <w:sz w:val="21"/>
          <w:szCs w:val="21"/>
          <w:lang w:eastAsia="ja-JP"/>
        </w:rPr>
        <w:t xml:space="preserve">[2], </w:t>
      </w:r>
      <w:r w:rsidR="006335D8">
        <w:rPr>
          <w:sz w:val="21"/>
          <w:szCs w:val="21"/>
          <w:lang w:eastAsia="ja-JP"/>
        </w:rPr>
        <w:t xml:space="preserve">in </w:t>
      </w:r>
      <w:r>
        <w:rPr>
          <w:sz w:val="21"/>
          <w:szCs w:val="21"/>
          <w:lang w:eastAsia="ja-JP"/>
        </w:rPr>
        <w:t xml:space="preserve">the UE </w:t>
      </w:r>
      <w:r w:rsidR="006335D8">
        <w:rPr>
          <w:sz w:val="21"/>
          <w:szCs w:val="21"/>
          <w:lang w:eastAsia="ja-JP"/>
        </w:rPr>
        <w:t>maximum output power sub-clause</w:t>
      </w:r>
      <w:r>
        <w:rPr>
          <w:sz w:val="21"/>
          <w:szCs w:val="21"/>
          <w:lang w:eastAsia="ja-JP"/>
        </w:rPr>
        <w:t>, PC1.5 is specified for TDD bands only</w:t>
      </w:r>
      <w:r w:rsidR="00660EEA">
        <w:rPr>
          <w:sz w:val="21"/>
          <w:szCs w:val="21"/>
          <w:lang w:eastAsia="ja-JP"/>
        </w:rPr>
        <w:t>, which is achieved using dual Tx only</w:t>
      </w:r>
      <w:r>
        <w:rPr>
          <w:sz w:val="21"/>
          <w:szCs w:val="21"/>
          <w:lang w:eastAsia="ja-JP"/>
        </w:rPr>
        <w:t xml:space="preserve">. </w:t>
      </w:r>
      <w:bookmarkStart w:id="0" w:name="_Hlk174100382"/>
      <w:r w:rsidR="00660EEA">
        <w:rPr>
          <w:sz w:val="21"/>
          <w:szCs w:val="21"/>
          <w:lang w:eastAsia="ja-JP"/>
        </w:rPr>
        <w:t xml:space="preserve">If </w:t>
      </w:r>
      <w:r>
        <w:rPr>
          <w:sz w:val="21"/>
          <w:szCs w:val="21"/>
          <w:lang w:eastAsia="ja-JP"/>
        </w:rPr>
        <w:t xml:space="preserve">PC1.5 </w:t>
      </w:r>
      <w:r w:rsidR="00660EEA">
        <w:rPr>
          <w:sz w:val="21"/>
          <w:szCs w:val="21"/>
          <w:lang w:eastAsia="ja-JP"/>
        </w:rPr>
        <w:t xml:space="preserve">were going to be introduced </w:t>
      </w:r>
      <w:r>
        <w:rPr>
          <w:sz w:val="21"/>
          <w:szCs w:val="21"/>
          <w:lang w:eastAsia="ja-JP"/>
        </w:rPr>
        <w:t xml:space="preserve">for FR1-NTN bands n256, n255 and n254 (which are all FDD bands), </w:t>
      </w:r>
      <w:r w:rsidR="00660EEA">
        <w:rPr>
          <w:sz w:val="21"/>
          <w:szCs w:val="21"/>
          <w:lang w:eastAsia="ja-JP"/>
        </w:rPr>
        <w:t xml:space="preserve">its </w:t>
      </w:r>
      <w:bookmarkStart w:id="1" w:name="_Hlk178664596"/>
      <w:r w:rsidR="00660EEA">
        <w:rPr>
          <w:sz w:val="21"/>
          <w:szCs w:val="21"/>
          <w:lang w:eastAsia="ja-JP"/>
        </w:rPr>
        <w:t xml:space="preserve">feasibility should be confirmed, including </w:t>
      </w:r>
      <w:r w:rsidR="008D2539">
        <w:rPr>
          <w:sz w:val="21"/>
          <w:szCs w:val="21"/>
          <w:lang w:eastAsia="ja-JP"/>
        </w:rPr>
        <w:t xml:space="preserve">an </w:t>
      </w:r>
      <w:r w:rsidR="00660EEA">
        <w:rPr>
          <w:sz w:val="21"/>
          <w:szCs w:val="21"/>
          <w:lang w:eastAsia="ja-JP"/>
        </w:rPr>
        <w:t>investigati</w:t>
      </w:r>
      <w:r w:rsidR="008D2539">
        <w:rPr>
          <w:sz w:val="21"/>
          <w:szCs w:val="21"/>
          <w:lang w:eastAsia="ja-JP"/>
        </w:rPr>
        <w:t>on into why</w:t>
      </w:r>
      <w:r w:rsidR="00660EEA">
        <w:rPr>
          <w:sz w:val="21"/>
          <w:szCs w:val="21"/>
          <w:lang w:eastAsia="ja-JP"/>
        </w:rPr>
        <w:t xml:space="preserve"> it is not </w:t>
      </w:r>
      <w:r w:rsidR="00B14945">
        <w:rPr>
          <w:sz w:val="21"/>
          <w:szCs w:val="21"/>
          <w:lang w:eastAsia="ja-JP"/>
        </w:rPr>
        <w:t>specified for TN FDD bands</w:t>
      </w:r>
      <w:bookmarkEnd w:id="0"/>
      <w:r>
        <w:rPr>
          <w:sz w:val="21"/>
          <w:szCs w:val="21"/>
          <w:lang w:eastAsia="ja-JP"/>
        </w:rPr>
        <w:t>.</w:t>
      </w:r>
      <w:r w:rsidR="008D2539">
        <w:rPr>
          <w:sz w:val="21"/>
          <w:szCs w:val="21"/>
          <w:lang w:eastAsia="ja-JP"/>
        </w:rPr>
        <w:t xml:space="preserve"> In our understanding, the current UEs in the field are not equipped with power amplifiers (PA) of</w:t>
      </w:r>
      <w:r>
        <w:rPr>
          <w:sz w:val="21"/>
          <w:szCs w:val="21"/>
          <w:lang w:eastAsia="ja-JP"/>
        </w:rPr>
        <w:t xml:space="preserve"> </w:t>
      </w:r>
      <w:r w:rsidR="008D2539">
        <w:rPr>
          <w:sz w:val="21"/>
          <w:szCs w:val="21"/>
          <w:lang w:eastAsia="ja-JP"/>
        </w:rPr>
        <w:t xml:space="preserve">29dBm. Hence, if feasibility of PC1.5 is confirmed for this WI, only </w:t>
      </w:r>
      <w:r w:rsidR="00B14945">
        <w:rPr>
          <w:sz w:val="21"/>
          <w:szCs w:val="21"/>
          <w:lang w:eastAsia="ja-JP"/>
        </w:rPr>
        <w:t xml:space="preserve">dual Tx </w:t>
      </w:r>
      <w:bookmarkEnd w:id="1"/>
      <w:r w:rsidR="008D2539">
        <w:rPr>
          <w:sz w:val="21"/>
          <w:szCs w:val="21"/>
          <w:lang w:eastAsia="ja-JP"/>
        </w:rPr>
        <w:t>architecture should be considered</w:t>
      </w:r>
      <w:r w:rsidR="00B14945">
        <w:rPr>
          <w:sz w:val="21"/>
          <w:szCs w:val="21"/>
          <w:lang w:eastAsia="ja-JP"/>
        </w:rPr>
        <w:t>.</w:t>
      </w:r>
    </w:p>
    <w:p w14:paraId="2C1DD29F" w14:textId="77777777" w:rsidR="00171779" w:rsidRDefault="00171779" w:rsidP="002C1E47">
      <w:pPr>
        <w:rPr>
          <w:sz w:val="21"/>
          <w:szCs w:val="21"/>
          <w:lang w:eastAsia="ja-JP"/>
        </w:rPr>
      </w:pPr>
    </w:p>
    <w:p w14:paraId="5A66EC5F" w14:textId="50CB56BE" w:rsidR="00B14945" w:rsidRDefault="00171779" w:rsidP="00171779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2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 xml:space="preserve">Since PC1.5 is specified for TN TDD bands only, </w:t>
      </w:r>
      <w:r w:rsidR="00B14945">
        <w:rPr>
          <w:b/>
          <w:bCs/>
          <w:sz w:val="21"/>
          <w:szCs w:val="21"/>
          <w:lang w:eastAsia="ja-JP"/>
        </w:rPr>
        <w:t xml:space="preserve">the </w:t>
      </w:r>
      <w:r w:rsidR="00B14945" w:rsidRPr="00B14945">
        <w:rPr>
          <w:b/>
          <w:bCs/>
          <w:sz w:val="21"/>
          <w:szCs w:val="21"/>
          <w:lang w:eastAsia="ja-JP"/>
        </w:rPr>
        <w:t>feasibility</w:t>
      </w:r>
      <w:r w:rsidR="00B14945">
        <w:rPr>
          <w:b/>
          <w:bCs/>
          <w:sz w:val="21"/>
          <w:szCs w:val="21"/>
          <w:lang w:eastAsia="ja-JP"/>
        </w:rPr>
        <w:t xml:space="preserve"> for PC1.5 for NTN FDD bands should </w:t>
      </w:r>
      <w:r w:rsidR="00B14945" w:rsidRPr="00B14945">
        <w:rPr>
          <w:b/>
          <w:bCs/>
          <w:sz w:val="21"/>
          <w:szCs w:val="21"/>
          <w:lang w:eastAsia="ja-JP"/>
        </w:rPr>
        <w:t>be confirmed</w:t>
      </w:r>
      <w:r w:rsidR="00B14945">
        <w:rPr>
          <w:b/>
          <w:bCs/>
          <w:sz w:val="21"/>
          <w:szCs w:val="21"/>
          <w:lang w:eastAsia="ja-JP"/>
        </w:rPr>
        <w:t xml:space="preserve"> first</w:t>
      </w:r>
      <w:r w:rsidR="00B14945" w:rsidRPr="00B14945">
        <w:rPr>
          <w:b/>
          <w:bCs/>
          <w:sz w:val="21"/>
          <w:szCs w:val="21"/>
          <w:lang w:eastAsia="ja-JP"/>
        </w:rPr>
        <w:t xml:space="preserve">, including </w:t>
      </w:r>
      <w:r w:rsidR="008D2539" w:rsidRPr="008D2539">
        <w:rPr>
          <w:b/>
          <w:bCs/>
          <w:sz w:val="21"/>
          <w:szCs w:val="21"/>
          <w:lang w:eastAsia="ja-JP"/>
        </w:rPr>
        <w:t>an investigation into why it is not specified for TN FDD bands</w:t>
      </w:r>
      <w:r w:rsidR="00B14945" w:rsidRPr="00B14945">
        <w:rPr>
          <w:b/>
          <w:bCs/>
          <w:sz w:val="21"/>
          <w:szCs w:val="21"/>
          <w:lang w:eastAsia="ja-JP"/>
        </w:rPr>
        <w:t xml:space="preserve">. </w:t>
      </w:r>
      <w:r w:rsidR="008D2539">
        <w:rPr>
          <w:b/>
          <w:bCs/>
          <w:sz w:val="21"/>
          <w:szCs w:val="21"/>
          <w:lang w:eastAsia="ja-JP"/>
        </w:rPr>
        <w:t>I</w:t>
      </w:r>
      <w:r w:rsidR="008D2539" w:rsidRPr="008D2539">
        <w:rPr>
          <w:b/>
          <w:bCs/>
          <w:sz w:val="21"/>
          <w:szCs w:val="21"/>
          <w:lang w:eastAsia="ja-JP"/>
        </w:rPr>
        <w:t xml:space="preserve">f </w:t>
      </w:r>
      <w:r w:rsidR="008D2539">
        <w:rPr>
          <w:b/>
          <w:bCs/>
          <w:sz w:val="21"/>
          <w:szCs w:val="21"/>
          <w:lang w:eastAsia="ja-JP"/>
        </w:rPr>
        <w:t xml:space="preserve">its </w:t>
      </w:r>
      <w:r w:rsidR="008D2539" w:rsidRPr="008D2539">
        <w:rPr>
          <w:b/>
          <w:bCs/>
          <w:sz w:val="21"/>
          <w:szCs w:val="21"/>
          <w:lang w:eastAsia="ja-JP"/>
        </w:rPr>
        <w:t>feasibility is confirmed for this WI, only dual Tx architecture should be considered</w:t>
      </w:r>
      <w:r w:rsidRPr="00C01D9E">
        <w:rPr>
          <w:b/>
          <w:bCs/>
          <w:sz w:val="21"/>
          <w:szCs w:val="21"/>
          <w:lang w:eastAsia="ja-JP"/>
        </w:rPr>
        <w:t>.</w:t>
      </w:r>
    </w:p>
    <w:p w14:paraId="4095EDF9" w14:textId="6855D3A0" w:rsidR="00A92B01" w:rsidRPr="00A92B01" w:rsidRDefault="00A92B01" w:rsidP="00171779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Feasibility</w:t>
      </w:r>
    </w:p>
    <w:p w14:paraId="49F5E6B2" w14:textId="4297218E" w:rsidR="00A92B01" w:rsidRPr="00A92B01" w:rsidRDefault="00A92B01" w:rsidP="00B14945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>Regarding the NR-NTN HPUE feasibility for power classes other than PC2, the following was agreed [2]:</w:t>
      </w:r>
    </w:p>
    <w:p w14:paraId="1F065031" w14:textId="494DD51F" w:rsidR="00B14945" w:rsidRPr="00B14945" w:rsidRDefault="00B14945" w:rsidP="00B14945">
      <w:pPr>
        <w:rPr>
          <w:b/>
          <w:i/>
          <w:iCs/>
          <w:sz w:val="21"/>
          <w:szCs w:val="21"/>
          <w:u w:val="single"/>
          <w:lang w:eastAsia="ko-KR"/>
        </w:rPr>
      </w:pPr>
      <w:r w:rsidRPr="00B14945">
        <w:rPr>
          <w:b/>
          <w:i/>
          <w:iCs/>
          <w:sz w:val="21"/>
          <w:szCs w:val="21"/>
          <w:u w:val="single"/>
          <w:lang w:eastAsia="ko-KR"/>
        </w:rPr>
        <w:t>Issue 3-2-1: NR-NTN HPUE feasibility for different power classes</w:t>
      </w:r>
    </w:p>
    <w:p w14:paraId="503F3533" w14:textId="77777777" w:rsidR="00B14945" w:rsidRPr="00B14945" w:rsidRDefault="00B14945" w:rsidP="00B14945">
      <w:pPr>
        <w:rPr>
          <w:b/>
          <w:i/>
          <w:iCs/>
          <w:sz w:val="21"/>
          <w:szCs w:val="21"/>
          <w:u w:val="single"/>
          <w:lang w:eastAsia="ko-KR"/>
        </w:rPr>
      </w:pPr>
      <w:r w:rsidRPr="00B14945">
        <w:rPr>
          <w:b/>
          <w:i/>
          <w:iCs/>
          <w:sz w:val="21"/>
          <w:szCs w:val="21"/>
          <w:u w:val="single"/>
          <w:lang w:eastAsia="ko-KR"/>
        </w:rPr>
        <w:t xml:space="preserve">Issue 3-2-2: NB-IoT based IoT-NTN HPUE feasibility for different power </w:t>
      </w:r>
      <w:proofErr w:type="gramStart"/>
      <w:r w:rsidRPr="00B14945">
        <w:rPr>
          <w:b/>
          <w:i/>
          <w:iCs/>
          <w:sz w:val="21"/>
          <w:szCs w:val="21"/>
          <w:u w:val="single"/>
          <w:lang w:eastAsia="ko-KR"/>
        </w:rPr>
        <w:t>classes</w:t>
      </w:r>
      <w:proofErr w:type="gramEnd"/>
    </w:p>
    <w:p w14:paraId="23E8D7B8" w14:textId="77777777" w:rsidR="00B14945" w:rsidRPr="00B14945" w:rsidRDefault="00B14945" w:rsidP="00B14945">
      <w:pPr>
        <w:rPr>
          <w:b/>
          <w:i/>
          <w:iCs/>
          <w:sz w:val="21"/>
          <w:szCs w:val="21"/>
          <w:u w:val="single"/>
          <w:lang w:eastAsia="ko-KR"/>
        </w:rPr>
      </w:pPr>
      <w:r w:rsidRPr="00B14945">
        <w:rPr>
          <w:b/>
          <w:i/>
          <w:iCs/>
          <w:sz w:val="21"/>
          <w:szCs w:val="21"/>
          <w:u w:val="single"/>
          <w:lang w:eastAsia="ko-KR"/>
        </w:rPr>
        <w:t xml:space="preserve">Issue 3-2-3: eMTC based IoT-NTN HPUE feasibility for different power </w:t>
      </w:r>
      <w:proofErr w:type="gramStart"/>
      <w:r w:rsidRPr="00B14945">
        <w:rPr>
          <w:b/>
          <w:i/>
          <w:iCs/>
          <w:sz w:val="21"/>
          <w:szCs w:val="21"/>
          <w:u w:val="single"/>
          <w:lang w:eastAsia="ko-KR"/>
        </w:rPr>
        <w:t>classes</w:t>
      </w:r>
      <w:proofErr w:type="gramEnd"/>
    </w:p>
    <w:p w14:paraId="36A880CA" w14:textId="77777777" w:rsidR="00B14945" w:rsidRPr="00B14945" w:rsidRDefault="00B14945" w:rsidP="00B14945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i/>
          <w:iCs/>
          <w:sz w:val="21"/>
          <w:szCs w:val="21"/>
        </w:rPr>
      </w:pPr>
      <w:r w:rsidRPr="00B14945">
        <w:rPr>
          <w:rFonts w:eastAsia="SimSun"/>
          <w:b/>
          <w:i/>
          <w:iCs/>
          <w:sz w:val="21"/>
          <w:szCs w:val="21"/>
        </w:rPr>
        <w:t>Agreement of Issue 3-2-1 to Issue 3-2-3:</w:t>
      </w:r>
    </w:p>
    <w:p w14:paraId="7961A224" w14:textId="77777777" w:rsidR="00B14945" w:rsidRPr="00B14945" w:rsidRDefault="00B14945" w:rsidP="00B14945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B14945">
        <w:rPr>
          <w:rFonts w:eastAsia="SimSun" w:hint="eastAsia"/>
          <w:i/>
          <w:iCs/>
          <w:sz w:val="21"/>
          <w:szCs w:val="21"/>
        </w:rPr>
        <w:t>F</w:t>
      </w:r>
      <w:r w:rsidRPr="00B14945">
        <w:rPr>
          <w:rFonts w:eastAsia="SimSun"/>
          <w:i/>
          <w:iCs/>
          <w:sz w:val="21"/>
          <w:szCs w:val="21"/>
        </w:rPr>
        <w:t>or PC2, it is feasible to support both handheld and non-handheld devices.</w:t>
      </w:r>
    </w:p>
    <w:p w14:paraId="07AD50ED" w14:textId="34A9FF71" w:rsidR="00B14945" w:rsidRPr="00B14945" w:rsidRDefault="00B14945" w:rsidP="00171779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B14945">
        <w:rPr>
          <w:rFonts w:eastAsia="SimSun"/>
          <w:i/>
          <w:iCs/>
          <w:sz w:val="21"/>
          <w:szCs w:val="21"/>
        </w:rPr>
        <w:t>FFS other power classes for applicable device type.</w:t>
      </w:r>
    </w:p>
    <w:p w14:paraId="7B48BC0C" w14:textId="77777777" w:rsidR="00171779" w:rsidRDefault="00171779" w:rsidP="002C1E47">
      <w:pPr>
        <w:rPr>
          <w:sz w:val="21"/>
          <w:szCs w:val="21"/>
          <w:lang w:eastAsia="ja-JP"/>
        </w:rPr>
      </w:pPr>
    </w:p>
    <w:p w14:paraId="40CB77D0" w14:textId="7E95C173" w:rsidR="00171779" w:rsidRDefault="00C23869" w:rsidP="002C1E4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When it comes to UE type, according to the WID objectives both handheld and non-handheld UEs are in the scope, where for other than PC2 high power classes “non-handheld UE is prioritized”. In TS38.101-1 [</w:t>
      </w:r>
      <w:r w:rsidR="00D840B0">
        <w:rPr>
          <w:sz w:val="21"/>
          <w:szCs w:val="21"/>
          <w:lang w:eastAsia="ja-JP"/>
        </w:rPr>
        <w:t>3</w:t>
      </w:r>
      <w:r>
        <w:rPr>
          <w:sz w:val="21"/>
          <w:szCs w:val="21"/>
          <w:lang w:eastAsia="ja-JP"/>
        </w:rPr>
        <w:t>] “Table 6.2-1: UE Power Class”, there is a note that “</w:t>
      </w:r>
      <w:r w:rsidRPr="00C23869">
        <w:rPr>
          <w:sz w:val="21"/>
          <w:szCs w:val="21"/>
          <w:lang w:eastAsia="ja-JP"/>
        </w:rPr>
        <w:t>Generally, PC1 UE is not targeted for smartphone form factor.</w:t>
      </w:r>
      <w:r>
        <w:rPr>
          <w:sz w:val="21"/>
          <w:szCs w:val="21"/>
          <w:lang w:eastAsia="ja-JP"/>
        </w:rPr>
        <w:t xml:space="preserve">” As the starting point, the same assumption should hold for </w:t>
      </w:r>
      <w:r w:rsidR="00B14945">
        <w:rPr>
          <w:sz w:val="21"/>
          <w:szCs w:val="21"/>
          <w:lang w:eastAsia="ja-JP"/>
        </w:rPr>
        <w:t>NR-</w:t>
      </w:r>
      <w:r>
        <w:rPr>
          <w:sz w:val="21"/>
          <w:szCs w:val="21"/>
          <w:lang w:eastAsia="ja-JP"/>
        </w:rPr>
        <w:t>NTN</w:t>
      </w:r>
      <w:r w:rsidR="008D2539">
        <w:rPr>
          <w:sz w:val="21"/>
          <w:szCs w:val="21"/>
          <w:lang w:eastAsia="ja-JP"/>
        </w:rPr>
        <w:t xml:space="preserve"> in FR1-NTN operating bands</w:t>
      </w:r>
      <w:r>
        <w:rPr>
          <w:sz w:val="21"/>
          <w:szCs w:val="21"/>
          <w:lang w:eastAsia="ja-JP"/>
        </w:rPr>
        <w:t>.</w:t>
      </w:r>
      <w:r w:rsidR="00B14945">
        <w:rPr>
          <w:sz w:val="21"/>
          <w:szCs w:val="21"/>
          <w:lang w:eastAsia="ja-JP"/>
        </w:rPr>
        <w:t xml:space="preserve"> Thus</w:t>
      </w:r>
      <w:r>
        <w:rPr>
          <w:sz w:val="21"/>
          <w:szCs w:val="21"/>
          <w:lang w:eastAsia="ja-JP"/>
        </w:rPr>
        <w:t>, unless NTN handheld UEs prove to be able to support PC1 and there is a specific need to introduce it, we propose to target PC1 for non-handheld UEs only.</w:t>
      </w:r>
    </w:p>
    <w:p w14:paraId="33959C9A" w14:textId="77777777" w:rsidR="00C23869" w:rsidRDefault="00C23869" w:rsidP="002C1E47">
      <w:pPr>
        <w:rPr>
          <w:sz w:val="21"/>
          <w:szCs w:val="21"/>
          <w:lang w:eastAsia="ja-JP"/>
        </w:rPr>
      </w:pPr>
    </w:p>
    <w:p w14:paraId="29EF3950" w14:textId="6BF6B5D4" w:rsidR="00A92B01" w:rsidRDefault="00C23869" w:rsidP="00C23869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3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proofErr w:type="gramStart"/>
      <w:r>
        <w:rPr>
          <w:b/>
          <w:bCs/>
          <w:sz w:val="21"/>
          <w:szCs w:val="21"/>
          <w:lang w:eastAsia="ja-JP"/>
        </w:rPr>
        <w:t>Similar to</w:t>
      </w:r>
      <w:proofErr w:type="gramEnd"/>
      <w:r>
        <w:rPr>
          <w:b/>
          <w:bCs/>
          <w:sz w:val="21"/>
          <w:szCs w:val="21"/>
          <w:lang w:eastAsia="ja-JP"/>
        </w:rPr>
        <w:t xml:space="preserve"> FR1 TN, </w:t>
      </w:r>
      <w:r w:rsidR="00BE5BF9">
        <w:rPr>
          <w:b/>
          <w:bCs/>
          <w:sz w:val="21"/>
          <w:szCs w:val="21"/>
          <w:lang w:eastAsia="ja-JP"/>
        </w:rPr>
        <w:t xml:space="preserve">for </w:t>
      </w:r>
      <w:r w:rsidR="00B14945">
        <w:rPr>
          <w:b/>
          <w:bCs/>
          <w:sz w:val="21"/>
          <w:szCs w:val="21"/>
          <w:lang w:eastAsia="ja-JP"/>
        </w:rPr>
        <w:t>NR</w:t>
      </w:r>
      <w:r w:rsidR="00BE5BF9">
        <w:rPr>
          <w:b/>
          <w:bCs/>
          <w:sz w:val="21"/>
          <w:szCs w:val="21"/>
          <w:lang w:eastAsia="ja-JP"/>
        </w:rPr>
        <w:t xml:space="preserve">-NTN </w:t>
      </w:r>
      <w:r w:rsidR="008D2539">
        <w:rPr>
          <w:b/>
          <w:bCs/>
          <w:sz w:val="21"/>
          <w:szCs w:val="21"/>
          <w:lang w:eastAsia="ja-JP"/>
        </w:rPr>
        <w:t xml:space="preserve">in FR1-NTN </w:t>
      </w:r>
      <w:r>
        <w:rPr>
          <w:b/>
          <w:bCs/>
          <w:sz w:val="21"/>
          <w:szCs w:val="21"/>
          <w:lang w:eastAsia="ja-JP"/>
        </w:rPr>
        <w:t>PC1 should be targeted for non-handheld UEs only</w:t>
      </w:r>
      <w:r w:rsidRPr="00C01D9E">
        <w:rPr>
          <w:b/>
          <w:bCs/>
          <w:sz w:val="21"/>
          <w:szCs w:val="21"/>
          <w:lang w:eastAsia="ja-JP"/>
        </w:rPr>
        <w:t>.</w:t>
      </w:r>
    </w:p>
    <w:p w14:paraId="44FF1319" w14:textId="49C5467D" w:rsidR="00B14945" w:rsidRPr="00A92B01" w:rsidRDefault="00A92B01" w:rsidP="00C23869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Detailed requirements</w:t>
      </w:r>
    </w:p>
    <w:p w14:paraId="50A343D2" w14:textId="5B7303DF" w:rsidR="00A92B01" w:rsidRPr="00A92B01" w:rsidRDefault="00A92B01" w:rsidP="00B14945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On the nominal MOP and the </w:t>
      </w:r>
      <w:r w:rsidR="00EB16AC">
        <w:rPr>
          <w:bCs/>
          <w:sz w:val="21"/>
          <w:szCs w:val="21"/>
          <w:lang w:eastAsia="ko-KR"/>
        </w:rPr>
        <w:t>tolerance,</w:t>
      </w:r>
      <w:r>
        <w:rPr>
          <w:bCs/>
          <w:sz w:val="21"/>
          <w:szCs w:val="21"/>
          <w:lang w:eastAsia="ko-KR"/>
        </w:rPr>
        <w:t xml:space="preserve"> the following was agreed as a starting point [2]:</w:t>
      </w:r>
    </w:p>
    <w:p w14:paraId="093452D3" w14:textId="285E9C6A" w:rsidR="00B14945" w:rsidRPr="00B14945" w:rsidRDefault="00B14945" w:rsidP="00B14945">
      <w:pPr>
        <w:rPr>
          <w:b/>
          <w:i/>
          <w:iCs/>
          <w:sz w:val="21"/>
          <w:szCs w:val="21"/>
          <w:u w:val="single"/>
          <w:lang w:eastAsia="ko-KR"/>
        </w:rPr>
      </w:pPr>
      <w:r w:rsidRPr="00B14945">
        <w:rPr>
          <w:b/>
          <w:i/>
          <w:iCs/>
          <w:sz w:val="21"/>
          <w:szCs w:val="21"/>
          <w:u w:val="single"/>
          <w:lang w:eastAsia="ko-KR"/>
        </w:rPr>
        <w:t xml:space="preserve">Issue 3-3-1: </w:t>
      </w:r>
      <w:r w:rsidRPr="00B14945">
        <w:rPr>
          <w:rFonts w:hint="eastAsia"/>
          <w:b/>
          <w:i/>
          <w:iCs/>
          <w:sz w:val="21"/>
          <w:szCs w:val="21"/>
          <w:u w:val="single"/>
        </w:rPr>
        <w:t>M</w:t>
      </w:r>
      <w:r w:rsidRPr="00B14945">
        <w:rPr>
          <w:b/>
          <w:i/>
          <w:iCs/>
          <w:sz w:val="21"/>
          <w:szCs w:val="21"/>
          <w:u w:val="single"/>
        </w:rPr>
        <w:t>aximum output power</w:t>
      </w:r>
    </w:p>
    <w:p w14:paraId="375A1310" w14:textId="77777777" w:rsidR="00B14945" w:rsidRPr="00B14945" w:rsidRDefault="00B14945" w:rsidP="00B14945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i/>
          <w:iCs/>
          <w:sz w:val="21"/>
          <w:szCs w:val="21"/>
        </w:rPr>
      </w:pPr>
      <w:r w:rsidRPr="00B14945">
        <w:rPr>
          <w:rFonts w:eastAsia="SimSun"/>
          <w:b/>
          <w:i/>
          <w:iCs/>
          <w:sz w:val="21"/>
          <w:szCs w:val="21"/>
        </w:rPr>
        <w:t>Agreement</w:t>
      </w:r>
    </w:p>
    <w:p w14:paraId="159A1F50" w14:textId="77777777" w:rsidR="00B14945" w:rsidRPr="00B14945" w:rsidRDefault="00B14945" w:rsidP="00B14945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B14945">
        <w:rPr>
          <w:rFonts w:eastAsia="SimSun"/>
          <w:i/>
          <w:iCs/>
          <w:sz w:val="21"/>
          <w:szCs w:val="21"/>
        </w:rPr>
        <w:t>Re-use NR TN TS 38.101-1 nominal MOP and +2/-3 tolerance can be considered as starting point for PC2/1.5/1 for NTN HPUE including NR-NTN and IoT-NTN.</w:t>
      </w:r>
    </w:p>
    <w:p w14:paraId="7A518159" w14:textId="4D6D947B" w:rsidR="00E2215C" w:rsidRPr="00E2215C" w:rsidRDefault="00E2215C" w:rsidP="00C23869">
      <w:pPr>
        <w:rPr>
          <w:sz w:val="21"/>
          <w:szCs w:val="21"/>
          <w:lang w:eastAsia="ja-JP"/>
        </w:rPr>
      </w:pPr>
      <w:r w:rsidRPr="00E2215C">
        <w:rPr>
          <w:sz w:val="21"/>
          <w:szCs w:val="21"/>
          <w:lang w:eastAsia="ja-JP"/>
        </w:rPr>
        <w:lastRenderedPageBreak/>
        <w:t>In our</w:t>
      </w:r>
      <w:r>
        <w:rPr>
          <w:sz w:val="21"/>
          <w:szCs w:val="21"/>
          <w:lang w:eastAsia="ja-JP"/>
        </w:rPr>
        <w:t xml:space="preserve"> view, +2/-3 tolerance can be confirmed for PC2 for NTN HPUE</w:t>
      </w:r>
      <w:r w:rsidR="00256A13">
        <w:rPr>
          <w:sz w:val="21"/>
          <w:szCs w:val="21"/>
          <w:lang w:eastAsia="ja-JP"/>
        </w:rPr>
        <w:t>, which is typically the case for TN PC2</w:t>
      </w:r>
      <w:r>
        <w:rPr>
          <w:sz w:val="21"/>
          <w:szCs w:val="21"/>
          <w:lang w:eastAsia="ja-JP"/>
        </w:rPr>
        <w:t>. Once the feasibility for PC1.5/PC1 is confirmed, the RAN4 can come back to this issue and check whether the same requirements can be applied.</w:t>
      </w:r>
    </w:p>
    <w:p w14:paraId="5172A35C" w14:textId="77777777" w:rsidR="00E2215C" w:rsidRDefault="00E2215C" w:rsidP="00C23869">
      <w:pPr>
        <w:rPr>
          <w:b/>
          <w:bCs/>
          <w:sz w:val="21"/>
          <w:szCs w:val="21"/>
          <w:lang w:eastAsia="ja-JP"/>
        </w:rPr>
      </w:pPr>
    </w:p>
    <w:p w14:paraId="0EDB2C04" w14:textId="54543BEE" w:rsidR="00B14945" w:rsidRDefault="00B14945" w:rsidP="00C23869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 xml:space="preserve">Proposal 4: </w:t>
      </w:r>
      <w:r w:rsidRPr="00B14945">
        <w:rPr>
          <w:b/>
          <w:bCs/>
          <w:sz w:val="21"/>
          <w:szCs w:val="21"/>
          <w:lang w:eastAsia="ja-JP"/>
        </w:rPr>
        <w:t xml:space="preserve">Re-use NR TN TS 38.101-1 nominal MOP and +2/-3 tolerance for PC2 for NR-NTN </w:t>
      </w:r>
      <w:r>
        <w:rPr>
          <w:b/>
          <w:bCs/>
          <w:sz w:val="21"/>
          <w:szCs w:val="21"/>
          <w:lang w:eastAsia="ja-JP"/>
        </w:rPr>
        <w:t>HPUE.</w:t>
      </w:r>
    </w:p>
    <w:p w14:paraId="252C0424" w14:textId="77777777" w:rsidR="00C23869" w:rsidRPr="002C1E47" w:rsidRDefault="00C23869" w:rsidP="002C1E47">
      <w:pPr>
        <w:rPr>
          <w:sz w:val="21"/>
          <w:szCs w:val="21"/>
          <w:lang w:eastAsia="ja-JP"/>
        </w:rPr>
      </w:pPr>
    </w:p>
    <w:p w14:paraId="2206AE80" w14:textId="1755014F" w:rsidR="00B14945" w:rsidRDefault="00A92B01" w:rsidP="00C2386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Regarding the SAR requirements issue,</w:t>
      </w:r>
      <w:r w:rsidR="00B14945">
        <w:rPr>
          <w:sz w:val="21"/>
          <w:szCs w:val="21"/>
          <w:lang w:eastAsia="ja-JP"/>
        </w:rPr>
        <w:t xml:space="preserve"> the following was agreed</w:t>
      </w:r>
      <w:r>
        <w:rPr>
          <w:sz w:val="21"/>
          <w:szCs w:val="21"/>
          <w:lang w:eastAsia="ja-JP"/>
        </w:rPr>
        <w:t xml:space="preserve"> [2]</w:t>
      </w:r>
      <w:r w:rsidR="00B14945">
        <w:rPr>
          <w:sz w:val="21"/>
          <w:szCs w:val="21"/>
          <w:lang w:eastAsia="ja-JP"/>
        </w:rPr>
        <w:t>:</w:t>
      </w:r>
    </w:p>
    <w:p w14:paraId="1CB623C7" w14:textId="77777777" w:rsidR="00B14945" w:rsidRPr="00B14945" w:rsidRDefault="00B14945" w:rsidP="00B14945">
      <w:pPr>
        <w:rPr>
          <w:b/>
          <w:i/>
          <w:iCs/>
          <w:sz w:val="21"/>
          <w:szCs w:val="21"/>
          <w:u w:val="single"/>
        </w:rPr>
      </w:pPr>
      <w:r w:rsidRPr="00B14945">
        <w:rPr>
          <w:b/>
          <w:i/>
          <w:iCs/>
          <w:sz w:val="21"/>
          <w:szCs w:val="21"/>
          <w:u w:val="single"/>
        </w:rPr>
        <w:t>Issue 3-3-4: SAR for handheld</w:t>
      </w:r>
    </w:p>
    <w:p w14:paraId="12874012" w14:textId="77777777" w:rsidR="00B14945" w:rsidRPr="00B14945" w:rsidRDefault="00B14945" w:rsidP="00B14945">
      <w:pPr>
        <w:rPr>
          <w:b/>
          <w:bCs/>
          <w:i/>
          <w:iCs/>
          <w:sz w:val="21"/>
          <w:szCs w:val="21"/>
        </w:rPr>
      </w:pPr>
      <w:r w:rsidRPr="00B14945">
        <w:rPr>
          <w:b/>
          <w:bCs/>
          <w:i/>
          <w:iCs/>
          <w:sz w:val="21"/>
          <w:szCs w:val="21"/>
        </w:rPr>
        <w:t xml:space="preserve">Agreement: </w:t>
      </w:r>
    </w:p>
    <w:p w14:paraId="69B19D8C" w14:textId="77777777" w:rsidR="00B14945" w:rsidRPr="00B14945" w:rsidRDefault="00B14945" w:rsidP="00B14945">
      <w:pPr>
        <w:pStyle w:val="ListParagraph"/>
        <w:numPr>
          <w:ilvl w:val="0"/>
          <w:numId w:val="21"/>
        </w:numPr>
        <w:spacing w:after="180"/>
        <w:ind w:firstLineChars="0"/>
        <w:rPr>
          <w:i/>
          <w:iCs/>
          <w:sz w:val="21"/>
          <w:szCs w:val="21"/>
        </w:rPr>
      </w:pPr>
      <w:r w:rsidRPr="00B14945">
        <w:rPr>
          <w:i/>
          <w:iCs/>
          <w:sz w:val="21"/>
          <w:szCs w:val="21"/>
        </w:rPr>
        <w:t xml:space="preserve">Using P-MPR as the starting point </w:t>
      </w:r>
    </w:p>
    <w:p w14:paraId="5DF5E7BD" w14:textId="77777777" w:rsidR="00B14945" w:rsidRPr="00B14945" w:rsidRDefault="00B14945" w:rsidP="00B14945">
      <w:pPr>
        <w:pStyle w:val="ListParagraph"/>
        <w:numPr>
          <w:ilvl w:val="0"/>
          <w:numId w:val="21"/>
        </w:numPr>
        <w:spacing w:after="180"/>
        <w:ind w:firstLineChars="0"/>
        <w:rPr>
          <w:i/>
          <w:iCs/>
          <w:sz w:val="21"/>
          <w:szCs w:val="21"/>
        </w:rPr>
      </w:pPr>
      <w:r w:rsidRPr="00B14945">
        <w:rPr>
          <w:i/>
          <w:iCs/>
          <w:sz w:val="21"/>
          <w:szCs w:val="21"/>
        </w:rPr>
        <w:t xml:space="preserve">The other solutions are not </w:t>
      </w:r>
      <w:proofErr w:type="gramStart"/>
      <w:r w:rsidRPr="00B14945">
        <w:rPr>
          <w:i/>
          <w:iCs/>
          <w:sz w:val="21"/>
          <w:szCs w:val="21"/>
        </w:rPr>
        <w:t>precluded</w:t>
      </w:r>
      <w:proofErr w:type="gramEnd"/>
    </w:p>
    <w:p w14:paraId="3DC81C5F" w14:textId="77777777" w:rsidR="00B14945" w:rsidRPr="005B2ADF" w:rsidRDefault="00B14945" w:rsidP="00B14945">
      <w:pPr>
        <w:pStyle w:val="ListParagraph"/>
        <w:numPr>
          <w:ilvl w:val="1"/>
          <w:numId w:val="21"/>
        </w:numPr>
        <w:spacing w:after="180"/>
        <w:ind w:firstLineChars="0"/>
        <w:rPr>
          <w:i/>
          <w:iCs/>
          <w:sz w:val="21"/>
          <w:szCs w:val="21"/>
        </w:rPr>
      </w:pPr>
      <w:r w:rsidRPr="005B2ADF">
        <w:rPr>
          <w:i/>
          <w:iCs/>
          <w:sz w:val="21"/>
          <w:szCs w:val="21"/>
        </w:rPr>
        <w:t xml:space="preserve">E.g., the solution similar to TN duty cycle based on UE capability and network </w:t>
      </w:r>
      <w:proofErr w:type="gramStart"/>
      <w:r w:rsidRPr="005B2ADF">
        <w:rPr>
          <w:i/>
          <w:iCs/>
          <w:sz w:val="21"/>
          <w:szCs w:val="21"/>
        </w:rPr>
        <w:t>scheduling</w:t>
      </w:r>
      <w:proofErr w:type="gramEnd"/>
    </w:p>
    <w:p w14:paraId="71A331B0" w14:textId="77777777" w:rsidR="00B14945" w:rsidRDefault="00B14945" w:rsidP="00C23869">
      <w:pPr>
        <w:rPr>
          <w:sz w:val="21"/>
          <w:szCs w:val="21"/>
          <w:lang w:eastAsia="ja-JP"/>
        </w:rPr>
      </w:pPr>
    </w:p>
    <w:p w14:paraId="5341FF6F" w14:textId="0C278D0A" w:rsidR="00C23869" w:rsidRDefault="00C23869" w:rsidP="00C2386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TS38.101-1 [</w:t>
      </w:r>
      <w:r w:rsidR="00D840B0">
        <w:rPr>
          <w:sz w:val="21"/>
          <w:szCs w:val="21"/>
          <w:lang w:eastAsia="ja-JP"/>
        </w:rPr>
        <w:t>3</w:t>
      </w:r>
      <w:r>
        <w:rPr>
          <w:sz w:val="21"/>
          <w:szCs w:val="21"/>
          <w:lang w:eastAsia="ja-JP"/>
        </w:rPr>
        <w:t xml:space="preserve">] clause “6.2.1 UE maximum output power”, </w:t>
      </w:r>
      <w:r w:rsidRPr="00C23869">
        <w:rPr>
          <w:sz w:val="21"/>
          <w:szCs w:val="21"/>
          <w:lang w:eastAsia="ja-JP"/>
        </w:rPr>
        <w:t>Specific Absorption Rate restriction</w:t>
      </w:r>
      <w:r>
        <w:rPr>
          <w:sz w:val="21"/>
          <w:szCs w:val="21"/>
          <w:lang w:eastAsia="ja-JP"/>
        </w:rPr>
        <w:t xml:space="preserve"> (SAR) requirements are specified for PC2 and PC1.5. </w:t>
      </w:r>
      <w:r w:rsidR="005826C3">
        <w:rPr>
          <w:sz w:val="21"/>
          <w:szCs w:val="21"/>
          <w:lang w:eastAsia="ja-JP"/>
        </w:rPr>
        <w:t>The solution relying on the “UL duty cycle” is optional. For FDD bands it is not specified how</w:t>
      </w:r>
      <w:r w:rsidR="009B7051">
        <w:rPr>
          <w:sz w:val="21"/>
          <w:szCs w:val="21"/>
          <w:lang w:eastAsia="ja-JP"/>
        </w:rPr>
        <w:t xml:space="preserve"> exactly</w:t>
      </w:r>
      <w:r w:rsidR="005826C3">
        <w:rPr>
          <w:sz w:val="21"/>
          <w:szCs w:val="21"/>
          <w:lang w:eastAsia="ja-JP"/>
        </w:rPr>
        <w:t xml:space="preserve"> the UE implements such a solution, since it is only stated that “</w:t>
      </w:r>
      <w:r w:rsidR="005826C3" w:rsidRPr="005826C3">
        <w:rPr>
          <w:sz w:val="21"/>
          <w:szCs w:val="21"/>
          <w:lang w:eastAsia="ja-JP"/>
        </w:rPr>
        <w:t xml:space="preserve">the percentage of uplink symbols transmitted in a certain evaluation period is larger than </w:t>
      </w:r>
      <w:r w:rsidR="005826C3">
        <w:rPr>
          <w:sz w:val="21"/>
          <w:szCs w:val="21"/>
          <w:lang w:eastAsia="ja-JP"/>
        </w:rPr>
        <w:t>X</w:t>
      </w:r>
      <w:r w:rsidR="005826C3" w:rsidRPr="005826C3">
        <w:rPr>
          <w:sz w:val="21"/>
          <w:szCs w:val="21"/>
          <w:lang w:eastAsia="ja-JP"/>
        </w:rPr>
        <w:t>% (The exact evaluation period is no less than one radio frame);</w:t>
      </w:r>
      <w:r w:rsidR="005826C3">
        <w:rPr>
          <w:sz w:val="21"/>
          <w:szCs w:val="21"/>
          <w:lang w:eastAsia="ja-JP"/>
        </w:rPr>
        <w:t>”</w:t>
      </w:r>
      <w:r w:rsidR="005826C3" w:rsidRPr="005826C3">
        <w:rPr>
          <w:sz w:val="21"/>
          <w:szCs w:val="21"/>
          <w:lang w:eastAsia="ja-JP"/>
        </w:rPr>
        <w:t xml:space="preserve"> </w:t>
      </w:r>
      <w:r w:rsidR="005826C3">
        <w:rPr>
          <w:sz w:val="21"/>
          <w:szCs w:val="21"/>
          <w:lang w:eastAsia="ja-JP"/>
        </w:rPr>
        <w:t xml:space="preserve">This period could be anything from one radio frame to many radio frames, and the network is not aware of </w:t>
      </w:r>
      <w:r w:rsidR="009B7051">
        <w:rPr>
          <w:sz w:val="21"/>
          <w:szCs w:val="21"/>
          <w:lang w:eastAsia="ja-JP"/>
        </w:rPr>
        <w:t>how the UE makes that choice</w:t>
      </w:r>
      <w:r w:rsidR="005826C3">
        <w:rPr>
          <w:sz w:val="21"/>
          <w:szCs w:val="21"/>
          <w:lang w:eastAsia="ja-JP"/>
        </w:rPr>
        <w:t>.</w:t>
      </w:r>
    </w:p>
    <w:p w14:paraId="4DFDDEB6" w14:textId="77777777" w:rsidR="00C23869" w:rsidRDefault="00C23869" w:rsidP="00C23869">
      <w:pPr>
        <w:rPr>
          <w:sz w:val="21"/>
          <w:szCs w:val="21"/>
          <w:lang w:eastAsia="ja-JP"/>
        </w:rPr>
      </w:pPr>
    </w:p>
    <w:p w14:paraId="371CAABF" w14:textId="3677B279" w:rsidR="00C23869" w:rsidRDefault="009B7051" w:rsidP="00C2386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On another hand, a</w:t>
      </w:r>
      <w:r w:rsidR="00C23869">
        <w:rPr>
          <w:sz w:val="21"/>
          <w:szCs w:val="21"/>
          <w:lang w:eastAsia="ja-JP"/>
        </w:rPr>
        <w:t xml:space="preserve">s part of the discussion on the scope of this WI, there were some ideas </w:t>
      </w:r>
      <w:r w:rsidR="006C5C91">
        <w:rPr>
          <w:sz w:val="21"/>
          <w:szCs w:val="21"/>
          <w:lang w:eastAsia="ja-JP"/>
        </w:rPr>
        <w:t xml:space="preserve">shared </w:t>
      </w:r>
      <w:r w:rsidR="00C23869">
        <w:rPr>
          <w:sz w:val="21"/>
          <w:szCs w:val="21"/>
          <w:lang w:eastAsia="ja-JP"/>
        </w:rPr>
        <w:t xml:space="preserve">that perhaps </w:t>
      </w:r>
      <w:r w:rsidR="006C5C91">
        <w:rPr>
          <w:sz w:val="21"/>
          <w:szCs w:val="21"/>
          <w:lang w:eastAsia="ja-JP"/>
        </w:rPr>
        <w:t>UEs do not have to comply with</w:t>
      </w:r>
      <w:r w:rsidR="00C23869">
        <w:rPr>
          <w:sz w:val="21"/>
          <w:szCs w:val="21"/>
          <w:lang w:eastAsia="ja-JP"/>
        </w:rPr>
        <w:t xml:space="preserve"> </w:t>
      </w:r>
      <w:r w:rsidR="006C5C91">
        <w:rPr>
          <w:sz w:val="21"/>
          <w:szCs w:val="21"/>
          <w:lang w:eastAsia="ja-JP"/>
        </w:rPr>
        <w:t xml:space="preserve">SAR requirements at least in some extreme use cases. For example, </w:t>
      </w:r>
      <w:r w:rsidR="00B2716D">
        <w:rPr>
          <w:sz w:val="21"/>
          <w:szCs w:val="21"/>
          <w:lang w:eastAsia="ja-JP"/>
        </w:rPr>
        <w:t xml:space="preserve">one could argue that </w:t>
      </w:r>
      <w:r w:rsidR="006C5C91">
        <w:rPr>
          <w:sz w:val="21"/>
          <w:szCs w:val="21"/>
          <w:lang w:eastAsia="ja-JP"/>
        </w:rPr>
        <w:t xml:space="preserve">in </w:t>
      </w:r>
      <w:proofErr w:type="gramStart"/>
      <w:r w:rsidR="006C5C91">
        <w:rPr>
          <w:sz w:val="21"/>
          <w:szCs w:val="21"/>
          <w:lang w:eastAsia="ja-JP"/>
        </w:rPr>
        <w:t>an emergency situation</w:t>
      </w:r>
      <w:proofErr w:type="gramEnd"/>
      <w:r w:rsidR="006C5C91">
        <w:rPr>
          <w:sz w:val="21"/>
          <w:szCs w:val="21"/>
          <w:lang w:eastAsia="ja-JP"/>
        </w:rPr>
        <w:t xml:space="preserve"> in a very remote area where a TN is not available, the ability to establish </w:t>
      </w:r>
      <w:r>
        <w:rPr>
          <w:sz w:val="21"/>
          <w:szCs w:val="21"/>
          <w:lang w:eastAsia="ja-JP"/>
        </w:rPr>
        <w:t>a</w:t>
      </w:r>
      <w:r w:rsidR="006C5C91">
        <w:rPr>
          <w:sz w:val="21"/>
          <w:szCs w:val="21"/>
          <w:lang w:eastAsia="ja-JP"/>
        </w:rPr>
        <w:t xml:space="preserve"> reliable communication with a FR1-NTN </w:t>
      </w:r>
      <w:r>
        <w:rPr>
          <w:sz w:val="21"/>
          <w:szCs w:val="21"/>
          <w:lang w:eastAsia="ja-JP"/>
        </w:rPr>
        <w:t xml:space="preserve">high </w:t>
      </w:r>
      <w:r w:rsidR="006C5C91">
        <w:rPr>
          <w:sz w:val="21"/>
          <w:szCs w:val="21"/>
          <w:lang w:eastAsia="ja-JP"/>
        </w:rPr>
        <w:t>power class outweighs the risk to the health by exposing to more than recommended strength of</w:t>
      </w:r>
      <w:r>
        <w:rPr>
          <w:sz w:val="21"/>
          <w:szCs w:val="21"/>
          <w:lang w:eastAsia="ja-JP"/>
        </w:rPr>
        <w:t xml:space="preserve"> the</w:t>
      </w:r>
      <w:r w:rsidR="006C5C91">
        <w:rPr>
          <w:sz w:val="21"/>
          <w:szCs w:val="21"/>
          <w:lang w:eastAsia="ja-JP"/>
        </w:rPr>
        <w:t xml:space="preserve"> EMF. </w:t>
      </w:r>
      <w:r w:rsidR="00B2716D">
        <w:rPr>
          <w:sz w:val="21"/>
          <w:szCs w:val="21"/>
          <w:lang w:eastAsia="ja-JP"/>
        </w:rPr>
        <w:t xml:space="preserve">However, in our view, since SAR requirements are regulatory ones which always need to be respected, these requirements should be specified for handheld UEs and </w:t>
      </w:r>
      <w:r>
        <w:rPr>
          <w:sz w:val="21"/>
          <w:szCs w:val="21"/>
          <w:lang w:eastAsia="ja-JP"/>
        </w:rPr>
        <w:t>there should be</w:t>
      </w:r>
      <w:r w:rsidR="00B2716D">
        <w:rPr>
          <w:sz w:val="21"/>
          <w:szCs w:val="21"/>
          <w:lang w:eastAsia="ja-JP"/>
        </w:rPr>
        <w:t xml:space="preserve"> no exceptions when it comes to their applicability.</w:t>
      </w:r>
    </w:p>
    <w:p w14:paraId="270FDDB5" w14:textId="77777777" w:rsidR="00B2716D" w:rsidRDefault="00B2716D" w:rsidP="00C23869">
      <w:pPr>
        <w:rPr>
          <w:sz w:val="21"/>
          <w:szCs w:val="21"/>
          <w:lang w:eastAsia="ja-JP"/>
        </w:rPr>
      </w:pPr>
    </w:p>
    <w:p w14:paraId="2CDBB724" w14:textId="25C92C7F" w:rsidR="00B2716D" w:rsidRDefault="00B2716D" w:rsidP="00B2716D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 w:rsidR="00E35BD8">
        <w:rPr>
          <w:b/>
          <w:bCs/>
          <w:sz w:val="21"/>
          <w:szCs w:val="21"/>
          <w:lang w:eastAsia="ja-JP"/>
        </w:rPr>
        <w:t>5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 w:rsidR="005826C3">
        <w:rPr>
          <w:b/>
          <w:bCs/>
          <w:sz w:val="21"/>
          <w:szCs w:val="21"/>
          <w:lang w:eastAsia="ja-JP"/>
        </w:rPr>
        <w:t xml:space="preserve">For </w:t>
      </w:r>
      <w:r w:rsidR="009B7051">
        <w:rPr>
          <w:b/>
          <w:bCs/>
          <w:sz w:val="21"/>
          <w:szCs w:val="21"/>
          <w:lang w:eastAsia="ja-JP"/>
        </w:rPr>
        <w:t xml:space="preserve">the compliance with </w:t>
      </w:r>
      <w:r w:rsidR="005826C3">
        <w:rPr>
          <w:b/>
          <w:bCs/>
          <w:sz w:val="21"/>
          <w:szCs w:val="21"/>
          <w:lang w:eastAsia="ja-JP"/>
        </w:rPr>
        <w:t xml:space="preserve">SAR requirements for handheld UEs, only P-MPR mechanism shall be used since the </w:t>
      </w:r>
      <w:r w:rsidR="009B7051">
        <w:rPr>
          <w:b/>
          <w:bCs/>
          <w:sz w:val="21"/>
          <w:szCs w:val="21"/>
          <w:lang w:eastAsia="ja-JP"/>
        </w:rPr>
        <w:t>“</w:t>
      </w:r>
      <w:r w:rsidR="005826C3">
        <w:rPr>
          <w:b/>
          <w:bCs/>
          <w:sz w:val="21"/>
          <w:szCs w:val="21"/>
          <w:lang w:eastAsia="ja-JP"/>
        </w:rPr>
        <w:t>UL duty cycle</w:t>
      </w:r>
      <w:r w:rsidR="009B7051">
        <w:rPr>
          <w:b/>
          <w:bCs/>
          <w:sz w:val="21"/>
          <w:szCs w:val="21"/>
          <w:lang w:eastAsia="ja-JP"/>
        </w:rPr>
        <w:t>”</w:t>
      </w:r>
      <w:r w:rsidR="005826C3">
        <w:rPr>
          <w:b/>
          <w:bCs/>
          <w:sz w:val="21"/>
          <w:szCs w:val="21"/>
          <w:lang w:eastAsia="ja-JP"/>
        </w:rPr>
        <w:t xml:space="preserve"> </w:t>
      </w:r>
      <w:r w:rsidR="009B7051">
        <w:rPr>
          <w:b/>
          <w:bCs/>
          <w:sz w:val="21"/>
          <w:szCs w:val="21"/>
          <w:lang w:eastAsia="ja-JP"/>
        </w:rPr>
        <w:t>based</w:t>
      </w:r>
      <w:r w:rsidR="005826C3">
        <w:rPr>
          <w:b/>
          <w:bCs/>
          <w:sz w:val="21"/>
          <w:szCs w:val="21"/>
          <w:lang w:eastAsia="ja-JP"/>
        </w:rPr>
        <w:t xml:space="preserve"> solutions </w:t>
      </w:r>
      <w:r w:rsidR="009B7051">
        <w:rPr>
          <w:b/>
          <w:bCs/>
          <w:sz w:val="21"/>
          <w:szCs w:val="21"/>
          <w:lang w:eastAsia="ja-JP"/>
        </w:rPr>
        <w:t>have turned out to be in</w:t>
      </w:r>
      <w:r w:rsidR="005826C3">
        <w:rPr>
          <w:b/>
          <w:bCs/>
          <w:sz w:val="21"/>
          <w:szCs w:val="21"/>
          <w:lang w:eastAsia="ja-JP"/>
        </w:rPr>
        <w:t xml:space="preserve">efficient for </w:t>
      </w:r>
      <w:r w:rsidR="009B7051">
        <w:rPr>
          <w:b/>
          <w:bCs/>
          <w:sz w:val="21"/>
          <w:szCs w:val="21"/>
          <w:lang w:eastAsia="ja-JP"/>
        </w:rPr>
        <w:t xml:space="preserve">TN </w:t>
      </w:r>
      <w:r w:rsidR="005826C3">
        <w:rPr>
          <w:b/>
          <w:bCs/>
          <w:sz w:val="21"/>
          <w:szCs w:val="21"/>
          <w:lang w:eastAsia="ja-JP"/>
        </w:rPr>
        <w:t>FDD bands</w:t>
      </w:r>
      <w:r>
        <w:rPr>
          <w:b/>
          <w:bCs/>
          <w:sz w:val="21"/>
          <w:szCs w:val="21"/>
          <w:lang w:eastAsia="ja-JP"/>
        </w:rPr>
        <w:t>.</w:t>
      </w:r>
    </w:p>
    <w:p w14:paraId="4FC600FA" w14:textId="77777777" w:rsidR="00A92B01" w:rsidRDefault="00A92B01" w:rsidP="007777FE">
      <w:pPr>
        <w:rPr>
          <w:sz w:val="21"/>
          <w:szCs w:val="21"/>
          <w:lang w:eastAsia="ja-JP"/>
        </w:rPr>
      </w:pPr>
    </w:p>
    <w:p w14:paraId="6C951CC1" w14:textId="1B475160" w:rsidR="00A92B01" w:rsidRDefault="00A92B01" w:rsidP="007777F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On the SEM issue, there was a question whether to reuse the existing requirements from PC3:</w:t>
      </w:r>
    </w:p>
    <w:p w14:paraId="79F89A9D" w14:textId="0BBC3EE8" w:rsidR="007777FE" w:rsidRPr="007777FE" w:rsidRDefault="007777FE" w:rsidP="007777FE">
      <w:pPr>
        <w:rPr>
          <w:b/>
          <w:i/>
          <w:iCs/>
          <w:sz w:val="21"/>
          <w:szCs w:val="21"/>
          <w:u w:val="single"/>
          <w:lang w:eastAsia="ko-KR"/>
        </w:rPr>
      </w:pPr>
      <w:r w:rsidRPr="007777FE">
        <w:rPr>
          <w:b/>
          <w:i/>
          <w:iCs/>
          <w:sz w:val="21"/>
          <w:szCs w:val="21"/>
          <w:u w:val="single"/>
          <w:lang w:eastAsia="ko-KR"/>
        </w:rPr>
        <w:t xml:space="preserve">Issue 3-3-5: </w:t>
      </w:r>
      <w:r w:rsidRPr="007777FE">
        <w:rPr>
          <w:b/>
          <w:i/>
          <w:iCs/>
          <w:sz w:val="21"/>
          <w:szCs w:val="21"/>
          <w:u w:val="single"/>
        </w:rPr>
        <w:t>SEM</w:t>
      </w:r>
    </w:p>
    <w:p w14:paraId="515084B3" w14:textId="77777777" w:rsidR="007777FE" w:rsidRPr="007777FE" w:rsidRDefault="007777FE" w:rsidP="007777FE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i/>
          <w:iCs/>
          <w:sz w:val="21"/>
          <w:szCs w:val="21"/>
        </w:rPr>
      </w:pPr>
      <w:r w:rsidRPr="007777FE">
        <w:rPr>
          <w:rFonts w:eastAsia="SimSun"/>
          <w:b/>
          <w:i/>
          <w:iCs/>
          <w:sz w:val="21"/>
          <w:szCs w:val="21"/>
        </w:rPr>
        <w:t>Agreement:</w:t>
      </w:r>
    </w:p>
    <w:p w14:paraId="18FFB70C" w14:textId="77777777" w:rsidR="007777FE" w:rsidRPr="007777FE" w:rsidRDefault="007777FE" w:rsidP="007777FE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7777FE">
        <w:rPr>
          <w:rFonts w:eastAsia="SimSun" w:hint="eastAsia"/>
          <w:i/>
          <w:iCs/>
          <w:sz w:val="21"/>
          <w:szCs w:val="21"/>
        </w:rPr>
        <w:t>F</w:t>
      </w:r>
      <w:r w:rsidRPr="007777FE">
        <w:rPr>
          <w:rFonts w:eastAsia="SimSun"/>
          <w:i/>
          <w:iCs/>
          <w:sz w:val="21"/>
          <w:szCs w:val="21"/>
        </w:rPr>
        <w:t xml:space="preserve">or NR-NTN: further discuss whether to reuse existing SEM requirements from PC3 to other </w:t>
      </w:r>
      <w:proofErr w:type="gramStart"/>
      <w:r w:rsidRPr="007777FE">
        <w:rPr>
          <w:rFonts w:eastAsia="SimSun"/>
          <w:i/>
          <w:iCs/>
          <w:sz w:val="21"/>
          <w:szCs w:val="21"/>
        </w:rPr>
        <w:t>PCs</w:t>
      </w:r>
      <w:proofErr w:type="gramEnd"/>
    </w:p>
    <w:p w14:paraId="251E100B" w14:textId="77777777" w:rsidR="007777FE" w:rsidRPr="007777FE" w:rsidRDefault="007777FE" w:rsidP="007777FE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7777FE">
        <w:rPr>
          <w:rFonts w:eastAsia="SimSun"/>
          <w:i/>
          <w:iCs/>
          <w:sz w:val="21"/>
          <w:szCs w:val="21"/>
        </w:rPr>
        <w:t xml:space="preserve">For IoT-NTN: further discuss whether to reuse existing SEM requirements from PC3 to other </w:t>
      </w:r>
      <w:proofErr w:type="gramStart"/>
      <w:r w:rsidRPr="007777FE">
        <w:rPr>
          <w:rFonts w:eastAsia="SimSun"/>
          <w:i/>
          <w:iCs/>
          <w:sz w:val="21"/>
          <w:szCs w:val="21"/>
        </w:rPr>
        <w:t>PCs</w:t>
      </w:r>
      <w:proofErr w:type="gramEnd"/>
    </w:p>
    <w:p w14:paraId="0BD09203" w14:textId="3388C96B" w:rsidR="009716D1" w:rsidRPr="007777FE" w:rsidRDefault="007777FE" w:rsidP="00C23869">
      <w:pPr>
        <w:rPr>
          <w:b/>
          <w:bCs/>
          <w:sz w:val="21"/>
          <w:szCs w:val="21"/>
          <w:lang w:eastAsia="en-GB"/>
        </w:rPr>
      </w:pPr>
      <w:r w:rsidRPr="007777FE">
        <w:rPr>
          <w:b/>
          <w:bCs/>
          <w:sz w:val="21"/>
          <w:szCs w:val="21"/>
          <w:lang w:eastAsia="en-GB"/>
        </w:rPr>
        <w:t xml:space="preserve">Proposal </w:t>
      </w:r>
      <w:r w:rsidR="00E35BD8">
        <w:rPr>
          <w:b/>
          <w:bCs/>
          <w:sz w:val="21"/>
          <w:szCs w:val="21"/>
          <w:lang w:eastAsia="en-GB"/>
        </w:rPr>
        <w:t>6</w:t>
      </w:r>
      <w:r w:rsidRPr="007777FE">
        <w:rPr>
          <w:b/>
          <w:bCs/>
          <w:sz w:val="21"/>
          <w:szCs w:val="21"/>
          <w:lang w:eastAsia="en-GB"/>
        </w:rPr>
        <w:t>: Since for NR-TN</w:t>
      </w:r>
      <w:r w:rsidR="009B7051">
        <w:rPr>
          <w:b/>
          <w:bCs/>
          <w:sz w:val="21"/>
          <w:szCs w:val="21"/>
          <w:lang w:eastAsia="en-GB"/>
        </w:rPr>
        <w:t xml:space="preserve"> the</w:t>
      </w:r>
      <w:r w:rsidRPr="007777FE">
        <w:rPr>
          <w:b/>
          <w:bCs/>
          <w:sz w:val="21"/>
          <w:szCs w:val="21"/>
          <w:lang w:eastAsia="en-GB"/>
        </w:rPr>
        <w:t xml:space="preserve"> SEM requirements do not depend on the PC, the existing SEM requirements from PC3 can be applied to other PCs.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1F1D891B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="006F3CDA">
        <w:rPr>
          <w:rFonts w:ascii="Arial" w:eastAsiaTheme="minorHAnsi" w:hAnsi="Arial" w:cstheme="minorBidi"/>
          <w:sz w:val="20"/>
          <w:szCs w:val="22"/>
        </w:rPr>
        <w:t>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139D484C" w14:textId="77777777" w:rsidR="000D216E" w:rsidRDefault="000D216E" w:rsidP="000D216E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1: </w:t>
      </w:r>
      <w:r>
        <w:rPr>
          <w:b/>
          <w:bCs/>
          <w:sz w:val="21"/>
          <w:szCs w:val="21"/>
          <w:lang w:eastAsia="ja-JP"/>
        </w:rPr>
        <w:t>U</w:t>
      </w:r>
      <w:r w:rsidRPr="00C01D9E">
        <w:rPr>
          <w:b/>
          <w:bCs/>
          <w:sz w:val="21"/>
          <w:szCs w:val="21"/>
          <w:lang w:eastAsia="ja-JP"/>
        </w:rPr>
        <w:t>ntil the feasibility of other</w:t>
      </w:r>
      <w:r>
        <w:rPr>
          <w:b/>
          <w:bCs/>
          <w:sz w:val="21"/>
          <w:szCs w:val="21"/>
          <w:lang w:eastAsia="ja-JP"/>
        </w:rPr>
        <w:t xml:space="preserve"> </w:t>
      </w:r>
      <w:r w:rsidRPr="00C01D9E">
        <w:rPr>
          <w:b/>
          <w:bCs/>
          <w:sz w:val="21"/>
          <w:szCs w:val="21"/>
          <w:lang w:eastAsia="ja-JP"/>
        </w:rPr>
        <w:t>power classes is confirmed</w:t>
      </w:r>
      <w:r>
        <w:rPr>
          <w:b/>
          <w:bCs/>
          <w:sz w:val="21"/>
          <w:szCs w:val="21"/>
          <w:lang w:eastAsia="ja-JP"/>
        </w:rPr>
        <w:t xml:space="preserve"> based on co-existence and feasibility studies</w:t>
      </w:r>
      <w:r w:rsidRPr="00C01D9E">
        <w:rPr>
          <w:b/>
          <w:bCs/>
          <w:sz w:val="21"/>
          <w:szCs w:val="21"/>
          <w:lang w:eastAsia="ja-JP"/>
        </w:rPr>
        <w:t xml:space="preserve">, we propose that RAN4 </w:t>
      </w:r>
      <w:r>
        <w:rPr>
          <w:b/>
          <w:bCs/>
          <w:sz w:val="21"/>
          <w:szCs w:val="21"/>
          <w:lang w:eastAsia="ja-JP"/>
        </w:rPr>
        <w:t xml:space="preserve">should </w:t>
      </w:r>
      <w:r w:rsidRPr="00C01D9E">
        <w:rPr>
          <w:b/>
          <w:bCs/>
          <w:sz w:val="21"/>
          <w:szCs w:val="21"/>
          <w:lang w:eastAsia="ja-JP"/>
        </w:rPr>
        <w:t>focus on specifyi</w:t>
      </w:r>
      <w:r>
        <w:rPr>
          <w:b/>
          <w:bCs/>
          <w:sz w:val="21"/>
          <w:szCs w:val="21"/>
          <w:lang w:eastAsia="ja-JP"/>
        </w:rPr>
        <w:t>ng</w:t>
      </w:r>
      <w:r w:rsidRPr="00C01D9E">
        <w:rPr>
          <w:b/>
          <w:bCs/>
          <w:sz w:val="21"/>
          <w:szCs w:val="21"/>
          <w:lang w:eastAsia="ja-JP"/>
        </w:rPr>
        <w:t xml:space="preserve"> power class 2.</w:t>
      </w:r>
    </w:p>
    <w:p w14:paraId="1B6199A3" w14:textId="77777777" w:rsidR="006F3CDA" w:rsidRDefault="006F3CDA" w:rsidP="00EA22B6">
      <w:pPr>
        <w:rPr>
          <w:b/>
          <w:bCs/>
          <w:sz w:val="21"/>
          <w:szCs w:val="21"/>
          <w:lang w:eastAsia="ja-JP"/>
        </w:rPr>
      </w:pPr>
    </w:p>
    <w:p w14:paraId="641632E4" w14:textId="77777777" w:rsidR="000D216E" w:rsidRDefault="000D216E" w:rsidP="000D216E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2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 xml:space="preserve">Since PC1.5 is specified for TN TDD bands only, the </w:t>
      </w:r>
      <w:r w:rsidRPr="00B14945">
        <w:rPr>
          <w:b/>
          <w:bCs/>
          <w:sz w:val="21"/>
          <w:szCs w:val="21"/>
          <w:lang w:eastAsia="ja-JP"/>
        </w:rPr>
        <w:t>feasibility</w:t>
      </w:r>
      <w:r>
        <w:rPr>
          <w:b/>
          <w:bCs/>
          <w:sz w:val="21"/>
          <w:szCs w:val="21"/>
          <w:lang w:eastAsia="ja-JP"/>
        </w:rPr>
        <w:t xml:space="preserve"> for PC1.5 for NTN FDD bands should </w:t>
      </w:r>
      <w:r w:rsidRPr="00B14945">
        <w:rPr>
          <w:b/>
          <w:bCs/>
          <w:sz w:val="21"/>
          <w:szCs w:val="21"/>
          <w:lang w:eastAsia="ja-JP"/>
        </w:rPr>
        <w:t>be confirmed</w:t>
      </w:r>
      <w:r>
        <w:rPr>
          <w:b/>
          <w:bCs/>
          <w:sz w:val="21"/>
          <w:szCs w:val="21"/>
          <w:lang w:eastAsia="ja-JP"/>
        </w:rPr>
        <w:t xml:space="preserve"> first</w:t>
      </w:r>
      <w:r w:rsidRPr="00B14945">
        <w:rPr>
          <w:b/>
          <w:bCs/>
          <w:sz w:val="21"/>
          <w:szCs w:val="21"/>
          <w:lang w:eastAsia="ja-JP"/>
        </w:rPr>
        <w:t xml:space="preserve">, including </w:t>
      </w:r>
      <w:r w:rsidRPr="008D2539">
        <w:rPr>
          <w:b/>
          <w:bCs/>
          <w:sz w:val="21"/>
          <w:szCs w:val="21"/>
          <w:lang w:eastAsia="ja-JP"/>
        </w:rPr>
        <w:t>an investigation into why it is not specified for TN FDD bands</w:t>
      </w:r>
      <w:r w:rsidRPr="00B14945">
        <w:rPr>
          <w:b/>
          <w:bCs/>
          <w:sz w:val="21"/>
          <w:szCs w:val="21"/>
          <w:lang w:eastAsia="ja-JP"/>
        </w:rPr>
        <w:t xml:space="preserve">. </w:t>
      </w:r>
      <w:r>
        <w:rPr>
          <w:b/>
          <w:bCs/>
          <w:sz w:val="21"/>
          <w:szCs w:val="21"/>
          <w:lang w:eastAsia="ja-JP"/>
        </w:rPr>
        <w:t>I</w:t>
      </w:r>
      <w:r w:rsidRPr="008D2539">
        <w:rPr>
          <w:b/>
          <w:bCs/>
          <w:sz w:val="21"/>
          <w:szCs w:val="21"/>
          <w:lang w:eastAsia="ja-JP"/>
        </w:rPr>
        <w:t xml:space="preserve">f </w:t>
      </w:r>
      <w:r>
        <w:rPr>
          <w:b/>
          <w:bCs/>
          <w:sz w:val="21"/>
          <w:szCs w:val="21"/>
          <w:lang w:eastAsia="ja-JP"/>
        </w:rPr>
        <w:t xml:space="preserve">its </w:t>
      </w:r>
      <w:r w:rsidRPr="008D2539">
        <w:rPr>
          <w:b/>
          <w:bCs/>
          <w:sz w:val="21"/>
          <w:szCs w:val="21"/>
          <w:lang w:eastAsia="ja-JP"/>
        </w:rPr>
        <w:t>feasibility is confirmed for this WI, only dual Tx architecture should be considered</w:t>
      </w:r>
      <w:r w:rsidRPr="00C01D9E">
        <w:rPr>
          <w:b/>
          <w:bCs/>
          <w:sz w:val="21"/>
          <w:szCs w:val="21"/>
          <w:lang w:eastAsia="ja-JP"/>
        </w:rPr>
        <w:t>.</w:t>
      </w:r>
    </w:p>
    <w:p w14:paraId="2DD317D5" w14:textId="77777777" w:rsidR="006F3CDA" w:rsidRDefault="006F3CDA" w:rsidP="00EA22B6">
      <w:pPr>
        <w:rPr>
          <w:b/>
          <w:bCs/>
          <w:sz w:val="21"/>
          <w:szCs w:val="21"/>
          <w:lang w:eastAsia="ja-JP"/>
        </w:rPr>
      </w:pPr>
    </w:p>
    <w:p w14:paraId="243EB3C3" w14:textId="77777777" w:rsidR="00E35BD8" w:rsidRDefault="00E35BD8" w:rsidP="00E35BD8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3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proofErr w:type="gramStart"/>
      <w:r>
        <w:rPr>
          <w:b/>
          <w:bCs/>
          <w:sz w:val="21"/>
          <w:szCs w:val="21"/>
          <w:lang w:eastAsia="ja-JP"/>
        </w:rPr>
        <w:t>Similar to</w:t>
      </w:r>
      <w:proofErr w:type="gramEnd"/>
      <w:r>
        <w:rPr>
          <w:b/>
          <w:bCs/>
          <w:sz w:val="21"/>
          <w:szCs w:val="21"/>
          <w:lang w:eastAsia="ja-JP"/>
        </w:rPr>
        <w:t xml:space="preserve"> FR1 TN, for NR-NTN in FR1-NTN PC1 should be targeted for non-handheld UEs only</w:t>
      </w:r>
      <w:r w:rsidRPr="00C01D9E">
        <w:rPr>
          <w:b/>
          <w:bCs/>
          <w:sz w:val="21"/>
          <w:szCs w:val="21"/>
          <w:lang w:eastAsia="ja-JP"/>
        </w:rPr>
        <w:t>.</w:t>
      </w:r>
    </w:p>
    <w:p w14:paraId="12368981" w14:textId="77777777" w:rsidR="006F3CDA" w:rsidRDefault="006F3CDA" w:rsidP="00EA22B6">
      <w:pPr>
        <w:rPr>
          <w:b/>
          <w:bCs/>
          <w:sz w:val="21"/>
          <w:szCs w:val="21"/>
          <w:lang w:eastAsia="ja-JP"/>
        </w:rPr>
      </w:pPr>
    </w:p>
    <w:p w14:paraId="608A63F2" w14:textId="77777777" w:rsidR="00E35BD8" w:rsidRDefault="00E35BD8" w:rsidP="00E35BD8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 xml:space="preserve">Proposal 4: </w:t>
      </w:r>
      <w:r w:rsidRPr="00B14945">
        <w:rPr>
          <w:b/>
          <w:bCs/>
          <w:sz w:val="21"/>
          <w:szCs w:val="21"/>
          <w:lang w:eastAsia="ja-JP"/>
        </w:rPr>
        <w:t xml:space="preserve">Re-use NR TN TS 38.101-1 nominal MOP and +2/-3 tolerance for PC2 for NR-NTN </w:t>
      </w:r>
      <w:r>
        <w:rPr>
          <w:b/>
          <w:bCs/>
          <w:sz w:val="21"/>
          <w:szCs w:val="21"/>
          <w:lang w:eastAsia="ja-JP"/>
        </w:rPr>
        <w:t>HPUE.</w:t>
      </w:r>
    </w:p>
    <w:p w14:paraId="19E54BCD" w14:textId="77777777" w:rsidR="007777FE" w:rsidRDefault="007777FE" w:rsidP="00EA22B6">
      <w:pPr>
        <w:rPr>
          <w:b/>
          <w:bCs/>
          <w:sz w:val="21"/>
          <w:szCs w:val="21"/>
          <w:lang w:eastAsia="ja-JP"/>
        </w:rPr>
      </w:pPr>
    </w:p>
    <w:p w14:paraId="343CD3DE" w14:textId="77777777" w:rsidR="00E35BD8" w:rsidRDefault="00E35BD8" w:rsidP="00E35BD8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5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 the compliance with SAR requirements for handheld UEs, only P-MPR mechanism shall be used since the “UL duty cycle” based solutions have turned out to be inefficient for TN FDD bands.</w:t>
      </w:r>
    </w:p>
    <w:p w14:paraId="52F81961" w14:textId="77777777" w:rsidR="00E35BD8" w:rsidRDefault="00E35BD8" w:rsidP="00E35BD8">
      <w:pPr>
        <w:rPr>
          <w:b/>
          <w:bCs/>
          <w:sz w:val="21"/>
          <w:szCs w:val="21"/>
          <w:lang w:eastAsia="ja-JP"/>
        </w:rPr>
      </w:pPr>
    </w:p>
    <w:p w14:paraId="7A0F7348" w14:textId="77ED50E4" w:rsidR="00E35BD8" w:rsidRDefault="00E35BD8" w:rsidP="00E35BD8">
      <w:pPr>
        <w:rPr>
          <w:b/>
          <w:bCs/>
          <w:sz w:val="21"/>
          <w:szCs w:val="21"/>
          <w:lang w:eastAsia="en-GB"/>
        </w:rPr>
      </w:pPr>
      <w:r w:rsidRPr="007777FE">
        <w:rPr>
          <w:b/>
          <w:bCs/>
          <w:sz w:val="21"/>
          <w:szCs w:val="21"/>
          <w:lang w:eastAsia="en-GB"/>
        </w:rPr>
        <w:t xml:space="preserve">Proposal </w:t>
      </w:r>
      <w:r>
        <w:rPr>
          <w:b/>
          <w:bCs/>
          <w:sz w:val="21"/>
          <w:szCs w:val="21"/>
          <w:lang w:eastAsia="en-GB"/>
        </w:rPr>
        <w:t>6</w:t>
      </w:r>
      <w:r w:rsidRPr="007777FE">
        <w:rPr>
          <w:b/>
          <w:bCs/>
          <w:sz w:val="21"/>
          <w:szCs w:val="21"/>
          <w:lang w:eastAsia="en-GB"/>
        </w:rPr>
        <w:t>: Since for NR-TN</w:t>
      </w:r>
      <w:r>
        <w:rPr>
          <w:b/>
          <w:bCs/>
          <w:sz w:val="21"/>
          <w:szCs w:val="21"/>
          <w:lang w:eastAsia="en-GB"/>
        </w:rPr>
        <w:t xml:space="preserve"> the</w:t>
      </w:r>
      <w:r w:rsidRPr="007777FE">
        <w:rPr>
          <w:b/>
          <w:bCs/>
          <w:sz w:val="21"/>
          <w:szCs w:val="21"/>
          <w:lang w:eastAsia="en-GB"/>
        </w:rPr>
        <w:t xml:space="preserve"> SEM requirements do not depend on the PC, the existing SEM requirements from PC3 can be applied to other PCs.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4CCB89E7" w14:textId="4DBC0271" w:rsidR="00F649CE" w:rsidRPr="00DB233E" w:rsidRDefault="00F649CE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2" w:name="_Ref129967845"/>
      <w:r w:rsidRPr="00713173">
        <w:rPr>
          <w:sz w:val="22"/>
          <w:szCs w:val="22"/>
          <w:lang w:val="en-GB"/>
        </w:rPr>
        <w:t>RP-24</w:t>
      </w:r>
      <w:r w:rsidR="006A2D4D">
        <w:rPr>
          <w:sz w:val="22"/>
          <w:szCs w:val="22"/>
          <w:lang w:val="en-GB"/>
        </w:rPr>
        <w:t>1</w:t>
      </w:r>
      <w:r w:rsidR="00960B37">
        <w:rPr>
          <w:sz w:val="22"/>
          <w:szCs w:val="22"/>
          <w:lang w:val="en-GB"/>
        </w:rPr>
        <w:t>9</w:t>
      </w:r>
      <w:r w:rsidR="00755DC2">
        <w:rPr>
          <w:sz w:val="22"/>
          <w:szCs w:val="22"/>
          <w:lang w:val="en-GB"/>
        </w:rPr>
        <w:t>8</w:t>
      </w:r>
      <w:r w:rsidR="00960B37">
        <w:rPr>
          <w:sz w:val="22"/>
          <w:szCs w:val="22"/>
          <w:lang w:val="en-GB"/>
        </w:rPr>
        <w:t>5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="00960B37"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</w:t>
      </w:r>
      <w:r w:rsidR="00960B37">
        <w:rPr>
          <w:sz w:val="22"/>
          <w:szCs w:val="22"/>
          <w:lang w:val="en-GB"/>
        </w:rPr>
        <w:t>5</w:t>
      </w:r>
      <w:r w:rsidRPr="00713173">
        <w:rPr>
          <w:sz w:val="22"/>
          <w:szCs w:val="22"/>
        </w:rPr>
        <w:t>.</w:t>
      </w:r>
      <w:bookmarkEnd w:id="2"/>
    </w:p>
    <w:p w14:paraId="7922DEC0" w14:textId="106160DE" w:rsidR="00DB233E" w:rsidRPr="00DB233E" w:rsidRDefault="00DB233E" w:rsidP="00F649CE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>
        <w:rPr>
          <w:iCs/>
          <w:sz w:val="22"/>
          <w:szCs w:val="22"/>
        </w:rPr>
        <w:t>2414452, “</w:t>
      </w:r>
      <w:r w:rsidRPr="00DB233E">
        <w:rPr>
          <w:iCs/>
          <w:sz w:val="22"/>
          <w:szCs w:val="22"/>
        </w:rPr>
        <w:t>WF on UE RF requirements for NTN HPUE</w:t>
      </w:r>
      <w:r>
        <w:rPr>
          <w:iCs/>
          <w:sz w:val="22"/>
          <w:szCs w:val="22"/>
        </w:rPr>
        <w:t>”, Samsung, RAN4#112.</w:t>
      </w:r>
    </w:p>
    <w:p w14:paraId="7DFB4B6A" w14:textId="4C1760CB" w:rsidR="00713173" w:rsidRPr="009F35FA" w:rsidRDefault="00F649CE" w:rsidP="00CF2487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C23869">
        <w:rPr>
          <w:sz w:val="22"/>
          <w:szCs w:val="22"/>
        </w:rPr>
        <w:t>3GPP TS 38.101-</w:t>
      </w:r>
      <w:r w:rsidR="00C23869" w:rsidRPr="00C23869">
        <w:rPr>
          <w:sz w:val="22"/>
          <w:szCs w:val="22"/>
        </w:rPr>
        <w:t>1</w:t>
      </w:r>
      <w:r w:rsidRPr="00C23869">
        <w:rPr>
          <w:sz w:val="22"/>
          <w:szCs w:val="22"/>
        </w:rPr>
        <w:t xml:space="preserve"> V18.</w:t>
      </w:r>
      <w:r w:rsidR="00D6494F">
        <w:rPr>
          <w:sz w:val="22"/>
          <w:szCs w:val="22"/>
        </w:rPr>
        <w:t>7</w:t>
      </w:r>
      <w:r w:rsidRPr="00C23869">
        <w:rPr>
          <w:sz w:val="22"/>
          <w:szCs w:val="22"/>
        </w:rPr>
        <w:t xml:space="preserve">.0, “NR; </w:t>
      </w:r>
      <w:r w:rsidR="00C23869" w:rsidRPr="00C23869">
        <w:rPr>
          <w:sz w:val="22"/>
          <w:szCs w:val="22"/>
        </w:rPr>
        <w:t>User Equipment (UE) radio transmission and reception;</w:t>
      </w:r>
      <w:r w:rsidR="00C23869">
        <w:rPr>
          <w:sz w:val="22"/>
          <w:szCs w:val="22"/>
        </w:rPr>
        <w:t xml:space="preserve"> </w:t>
      </w:r>
      <w:r w:rsidR="00C23869" w:rsidRPr="00C23869">
        <w:rPr>
          <w:sz w:val="22"/>
          <w:szCs w:val="22"/>
        </w:rPr>
        <w:t>Part 1: Range 1 Standalone</w:t>
      </w:r>
      <w:r w:rsidRPr="00C23869">
        <w:rPr>
          <w:sz w:val="22"/>
          <w:szCs w:val="22"/>
        </w:rPr>
        <w:t>”</w:t>
      </w:r>
    </w:p>
    <w:p w14:paraId="4F992F70" w14:textId="4CC860E9" w:rsidR="006977D1" w:rsidRPr="007777FE" w:rsidRDefault="006977D1" w:rsidP="007777FE">
      <w:pPr>
        <w:jc w:val="both"/>
        <w:rPr>
          <w:rFonts w:ascii="Arial" w:hAnsi="Arial" w:cs="Arial"/>
          <w:iCs/>
          <w:sz w:val="22"/>
          <w:szCs w:val="22"/>
        </w:rPr>
      </w:pPr>
    </w:p>
    <w:sectPr w:rsidR="006977D1" w:rsidRPr="007777F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7"/>
  </w:num>
  <w:num w:numId="2" w16cid:durableId="206456521">
    <w:abstractNumId w:val="10"/>
  </w:num>
  <w:num w:numId="3" w16cid:durableId="2114860448">
    <w:abstractNumId w:val="4"/>
  </w:num>
  <w:num w:numId="4" w16cid:durableId="236524273">
    <w:abstractNumId w:val="11"/>
  </w:num>
  <w:num w:numId="5" w16cid:durableId="124935407">
    <w:abstractNumId w:val="12"/>
  </w:num>
  <w:num w:numId="6" w16cid:durableId="910846781">
    <w:abstractNumId w:val="15"/>
  </w:num>
  <w:num w:numId="7" w16cid:durableId="730082185">
    <w:abstractNumId w:val="14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3"/>
  </w:num>
  <w:num w:numId="11" w16cid:durableId="1213073752">
    <w:abstractNumId w:val="6"/>
  </w:num>
  <w:num w:numId="12" w16cid:durableId="341251335">
    <w:abstractNumId w:val="17"/>
  </w:num>
  <w:num w:numId="13" w16cid:durableId="338388040">
    <w:abstractNumId w:val="19"/>
  </w:num>
  <w:num w:numId="14" w16cid:durableId="683022094">
    <w:abstractNumId w:val="5"/>
  </w:num>
  <w:num w:numId="15" w16cid:durableId="5983684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8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41158224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0E56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16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A13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1E47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1D94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082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26C3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2ADF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5D8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0EEA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C91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7FE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AA4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539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1C3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0B37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B7051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2B01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4945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01A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5BF9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1D9E"/>
    <w:rsid w:val="00C0274D"/>
    <w:rsid w:val="00C0288F"/>
    <w:rsid w:val="00C0432A"/>
    <w:rsid w:val="00C047AC"/>
    <w:rsid w:val="00C05188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1B04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94F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0B0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33E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15C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BD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3A39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16AC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796C3A-CC82-4036-8901-58DD65B2B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F04A2D-8FD6-41D4-8CAB-B7B62B6505C3}">
  <ds:schemaRefs>
    <ds:schemaRef ds:uri="9b239327-9e80-40e4-b1b7-4394fed77a33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2f282d3b-eb4a-4b09-b61f-b9593442e286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d8762117-8292-4133-b1c7-eab5c6487cfd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2055</TotalTime>
  <Pages>4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9511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125</cp:revision>
  <cp:lastPrinted>2022-08-19T16:29:00Z</cp:lastPrinted>
  <dcterms:created xsi:type="dcterms:W3CDTF">2024-04-08T15:06:00Z</dcterms:created>
  <dcterms:modified xsi:type="dcterms:W3CDTF">2024-10-07T15:13:00Z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