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112bis</w:t>
      </w:r>
      <w:r>
        <w:rPr>
          <w:rFonts w:ascii="Arial" w:hAnsi="Arial" w:eastAsia="MS Mincho"/>
          <w:b/>
          <w:color w:val="auto"/>
          <w:sz w:val="24"/>
        </w:rPr>
        <w:tab/>
      </w:r>
      <w:r>
        <w:rPr>
          <w:rFonts w:ascii="Arial" w:hAnsi="Arial"/>
          <w:b/>
          <w:color w:val="auto"/>
          <w:sz w:val="24"/>
          <w:lang w:eastAsia="zh-CN"/>
        </w:rPr>
        <w:t>R4-2416381</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impacts on requirements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6.18.2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overflowPunct/>
              <w:spacing w:after="0"/>
              <w:jc w:val="both"/>
              <w:textAlignment w:val="auto"/>
              <w:rPr>
                <w:bCs/>
                <w:sz w:val="20"/>
                <w:szCs w:val="20"/>
                <w:lang w:val="en-US"/>
              </w:rPr>
            </w:pPr>
            <w:r>
              <w:rPr>
                <w:rFonts w:eastAsia="Calibri"/>
                <w:bCs/>
                <w:sz w:val="20"/>
                <w:szCs w:val="20"/>
                <w:lang w:val="en-US"/>
              </w:rPr>
              <w:t>Study and evaluate potential benefits and gains of AI/ML aided mobility for network triggered L3-based handover, considering the following aspects:</w:t>
            </w:r>
          </w:p>
          <w:p>
            <w:pPr>
              <w:widowControl w:val="0"/>
              <w:numPr>
                <w:ilvl w:val="0"/>
                <w:numId w:val="4"/>
              </w:numPr>
              <w:overflowPunct/>
              <w:autoSpaceDE/>
              <w:autoSpaceDN/>
              <w:adjustRightInd/>
              <w:spacing w:after="0"/>
              <w:jc w:val="both"/>
              <w:textAlignment w:val="auto"/>
              <w:rPr>
                <w:bCs/>
                <w:sz w:val="20"/>
                <w:szCs w:val="20"/>
                <w:lang w:val="en-US"/>
              </w:rPr>
            </w:pPr>
            <w:r>
              <w:rPr>
                <w:rFonts w:eastAsia="Calibri"/>
                <w:bCs/>
                <w:sz w:val="20"/>
                <w:szCs w:val="20"/>
                <w:lang w:val="en-US"/>
              </w:rPr>
              <w:t xml:space="preserve">AI/ML based RRM measurement and event prediction, </w:t>
            </w:r>
          </w:p>
          <w:p>
            <w:pPr>
              <w:widowControl w:val="0"/>
              <w:numPr>
                <w:ilvl w:val="1"/>
                <w:numId w:val="4"/>
              </w:numPr>
              <w:overflowPunct/>
              <w:autoSpaceDE/>
              <w:autoSpaceDN/>
              <w:adjustRightInd/>
              <w:spacing w:after="0"/>
              <w:jc w:val="both"/>
              <w:textAlignment w:val="auto"/>
              <w:rPr>
                <w:rFonts w:eastAsia="等线"/>
                <w:bCs/>
                <w:sz w:val="20"/>
                <w:szCs w:val="20"/>
                <w:lang w:val="en-US"/>
              </w:rPr>
            </w:pPr>
            <w:r>
              <w:rPr>
                <w:rFonts w:eastAsia="Calibri"/>
                <w:bCs/>
                <w:sz w:val="20"/>
                <w:szCs w:val="20"/>
                <w:lang w:val="en-US"/>
              </w:rPr>
              <w:t>Cell-level measurement prediction including intra and inter-frequency (UE sided and NW sided model) [RAN2]</w:t>
            </w:r>
          </w:p>
          <w:p>
            <w:pPr>
              <w:widowControl w:val="0"/>
              <w:numPr>
                <w:ilvl w:val="2"/>
                <w:numId w:val="4"/>
              </w:numPr>
              <w:overflowPunct/>
              <w:autoSpaceDE/>
              <w:autoSpaceDN/>
              <w:adjustRightInd/>
              <w:spacing w:after="0"/>
              <w:jc w:val="both"/>
              <w:textAlignment w:val="auto"/>
              <w:rPr>
                <w:rFonts w:eastAsia="等线"/>
                <w:bCs/>
                <w:sz w:val="20"/>
                <w:szCs w:val="20"/>
                <w:lang w:val="en-US"/>
              </w:rPr>
            </w:pPr>
            <w:r>
              <w:rPr>
                <w:rFonts w:eastAsia="Calibri"/>
                <w:bCs/>
                <w:sz w:val="20"/>
                <w:szCs w:val="20"/>
                <w:lang w:val="en-US"/>
              </w:rPr>
              <w:t>Inter-cell Beam-level measurement prediction for L3 Mobility (UE sided and NW sided model) [RAN2]</w:t>
            </w:r>
          </w:p>
          <w:p>
            <w:pPr>
              <w:widowControl w:val="0"/>
              <w:numPr>
                <w:ilvl w:val="1"/>
                <w:numId w:val="4"/>
              </w:numPr>
              <w:overflowPunct/>
              <w:autoSpaceDE/>
              <w:autoSpaceDN/>
              <w:adjustRightInd/>
              <w:spacing w:after="0"/>
              <w:jc w:val="both"/>
              <w:textAlignment w:val="auto"/>
              <w:rPr>
                <w:bCs/>
                <w:sz w:val="20"/>
                <w:szCs w:val="20"/>
                <w:lang w:val="en-US"/>
              </w:rPr>
            </w:pPr>
            <w:r>
              <w:rPr>
                <w:rFonts w:eastAsia="Calibri"/>
                <w:bCs/>
                <w:sz w:val="20"/>
                <w:szCs w:val="20"/>
                <w:lang w:val="en-US"/>
              </w:rPr>
              <w:t>HO failure/RLF prediction (UE sided model) [RAN2]</w:t>
            </w:r>
          </w:p>
          <w:p>
            <w:pPr>
              <w:widowControl w:val="0"/>
              <w:numPr>
                <w:ilvl w:val="1"/>
                <w:numId w:val="4"/>
              </w:numPr>
              <w:overflowPunct/>
              <w:autoSpaceDE/>
              <w:autoSpaceDN/>
              <w:adjustRightInd/>
              <w:spacing w:after="0"/>
              <w:jc w:val="both"/>
              <w:textAlignment w:val="auto"/>
              <w:rPr>
                <w:bCs/>
                <w:sz w:val="20"/>
                <w:szCs w:val="20"/>
                <w:lang w:val="en-US"/>
              </w:rPr>
            </w:pPr>
            <w:r>
              <w:rPr>
                <w:rFonts w:eastAsia="Calibri"/>
                <w:bCs/>
                <w:sz w:val="20"/>
                <w:szCs w:val="20"/>
                <w:lang w:val="en-US"/>
              </w:rPr>
              <w:t>Measurement events prediction (UE sided model) [RAN2]</w:t>
            </w:r>
          </w:p>
          <w:p>
            <w:pPr>
              <w:widowControl w:val="0"/>
              <w:numPr>
                <w:ilvl w:val="0"/>
                <w:numId w:val="4"/>
              </w:numPr>
              <w:overflowPunct/>
              <w:autoSpaceDE/>
              <w:autoSpaceDN/>
              <w:adjustRightInd/>
              <w:spacing w:after="0"/>
              <w:jc w:val="both"/>
              <w:textAlignment w:val="auto"/>
              <w:rPr>
                <w:bCs/>
                <w:sz w:val="20"/>
                <w:szCs w:val="20"/>
                <w:lang w:val="en-US"/>
              </w:rPr>
            </w:pPr>
            <w:r>
              <w:rPr>
                <w:bCs/>
                <w:sz w:val="20"/>
                <w:szCs w:val="20"/>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bCs/>
                <w:sz w:val="20"/>
                <w:szCs w:val="20"/>
                <w:lang w:val="en-US"/>
              </w:rPr>
            </w:pPr>
          </w:p>
          <w:p>
            <w:pPr>
              <w:widowControl w:val="0"/>
              <w:numPr>
                <w:ilvl w:val="0"/>
                <w:numId w:val="4"/>
              </w:numPr>
              <w:overflowPunct/>
              <w:autoSpaceDE/>
              <w:autoSpaceDN/>
              <w:adjustRightInd/>
              <w:spacing w:after="0"/>
              <w:jc w:val="both"/>
              <w:textAlignment w:val="auto"/>
              <w:rPr>
                <w:bCs/>
                <w:sz w:val="20"/>
                <w:szCs w:val="20"/>
              </w:rPr>
            </w:pPr>
            <w:r>
              <w:rPr>
                <w:rFonts w:eastAsia="等线"/>
                <w:bCs/>
                <w:sz w:val="20"/>
                <w:szCs w:val="20"/>
              </w:rPr>
              <w:t xml:space="preserve">The evaluation of the AI/ML aided mobility benefits should consider </w:t>
            </w:r>
            <w:r>
              <w:rPr>
                <w:bCs/>
                <w:sz w:val="20"/>
                <w:szCs w:val="20"/>
              </w:rPr>
              <w:t>HO performance KPIs (e.g., Ping-pong HO, HOF/RLF,</w:t>
            </w:r>
            <w:r>
              <w:rPr>
                <w:rFonts w:hint="eastAsia"/>
                <w:bCs/>
                <w:sz w:val="20"/>
                <w:szCs w:val="20"/>
              </w:rPr>
              <w:t xml:space="preserve"> </w:t>
            </w:r>
            <w:r>
              <w:rPr>
                <w:bCs/>
                <w:sz w:val="20"/>
                <w:szCs w:val="20"/>
              </w:rPr>
              <w:t>Time of stay, Handover interruption, prediction accuracy, and measurement reduction) etc.) and complexity tradeoffs [RAN2]</w:t>
            </w:r>
          </w:p>
          <w:p>
            <w:pPr>
              <w:widowControl w:val="0"/>
              <w:numPr>
                <w:ilvl w:val="1"/>
                <w:numId w:val="4"/>
              </w:numPr>
              <w:overflowPunct/>
              <w:autoSpaceDE/>
              <w:autoSpaceDN/>
              <w:adjustRightInd/>
              <w:spacing w:after="0"/>
              <w:jc w:val="both"/>
              <w:textAlignment w:val="auto"/>
              <w:rPr>
                <w:bCs/>
                <w:sz w:val="20"/>
                <w:szCs w:val="20"/>
              </w:rPr>
            </w:pPr>
            <w:r>
              <w:rPr>
                <w:rFonts w:hint="eastAsia"/>
                <w:bCs/>
                <w:sz w:val="20"/>
                <w:szCs w:val="20"/>
              </w:rPr>
              <w:t>N</w:t>
            </w:r>
            <w:r>
              <w:rPr>
                <w:bCs/>
                <w:sz w:val="20"/>
                <w:szCs w:val="20"/>
              </w:rPr>
              <w:t>OTE: Simulation assumption and methodology can leverage TR 38.901, 38.843 and 36.839. And leave the detail discussion to RAN2</w:t>
            </w:r>
          </w:p>
          <w:p>
            <w:pPr>
              <w:widowControl w:val="0"/>
              <w:numPr>
                <w:ilvl w:val="0"/>
                <w:numId w:val="4"/>
              </w:numPr>
              <w:overflowPunct/>
              <w:autoSpaceDE/>
              <w:autoSpaceDN/>
              <w:adjustRightInd/>
              <w:spacing w:after="0"/>
              <w:jc w:val="both"/>
              <w:textAlignment w:val="auto"/>
              <w:rPr>
                <w:bCs/>
                <w:sz w:val="20"/>
                <w:szCs w:val="20"/>
              </w:rPr>
            </w:pPr>
            <w:r>
              <w:rPr>
                <w:bCs/>
                <w:sz w:val="20"/>
                <w:szCs w:val="20"/>
              </w:rPr>
              <w:t xml:space="preserve">Potential AI mobility specific enhancement should be based on the Rel19 AI/ML-air interface WID general framework (e.g. LCM, performance monitoring etc) [RAN2]  </w:t>
            </w:r>
          </w:p>
          <w:p>
            <w:pPr>
              <w:widowControl w:val="0"/>
              <w:numPr>
                <w:ilvl w:val="1"/>
                <w:numId w:val="4"/>
              </w:numPr>
              <w:overflowPunct/>
              <w:autoSpaceDE/>
              <w:autoSpaceDN/>
              <w:adjustRightInd/>
              <w:spacing w:after="0"/>
              <w:jc w:val="both"/>
              <w:textAlignment w:val="auto"/>
              <w:rPr>
                <w:bCs/>
                <w:sz w:val="20"/>
                <w:szCs w:val="20"/>
              </w:rPr>
            </w:pPr>
            <w:r>
              <w:rPr>
                <w:bCs/>
                <w:sz w:val="20"/>
                <w:szCs w:val="20"/>
              </w:rPr>
              <w:t xml:space="preserve">NOTE: This would only be treated after sufficient progress is made in the Rel-19 AI/ML air interface WID </w:t>
            </w:r>
          </w:p>
          <w:p>
            <w:pPr>
              <w:widowControl w:val="0"/>
              <w:numPr>
                <w:ilvl w:val="0"/>
                <w:numId w:val="4"/>
              </w:numPr>
              <w:overflowPunct/>
              <w:autoSpaceDE/>
              <w:autoSpaceDN/>
              <w:adjustRightInd/>
              <w:spacing w:after="0"/>
              <w:ind w:hanging="357"/>
              <w:jc w:val="both"/>
              <w:textAlignment w:val="auto"/>
              <w:rPr>
                <w:bCs/>
                <w:sz w:val="20"/>
                <w:szCs w:val="20"/>
              </w:rPr>
            </w:pPr>
            <w:r>
              <w:rPr>
                <w:bCs/>
                <w:sz w:val="20"/>
                <w:szCs w:val="20"/>
              </w:rPr>
              <w:t xml:space="preserve">Potential specification impacts of </w:t>
            </w:r>
            <w:r>
              <w:rPr>
                <w:rFonts w:eastAsia="Calibri"/>
                <w:bCs/>
                <w:sz w:val="20"/>
                <w:szCs w:val="20"/>
                <w:lang w:val="en-US"/>
              </w:rPr>
              <w:t>AI/ML aided mobility [RAN2]</w:t>
            </w:r>
          </w:p>
          <w:p>
            <w:pPr>
              <w:widowControl w:val="0"/>
              <w:numPr>
                <w:ilvl w:val="0"/>
                <w:numId w:val="4"/>
              </w:numPr>
              <w:overflowPunct/>
              <w:autoSpaceDE/>
              <w:autoSpaceDN/>
              <w:adjustRightInd/>
              <w:spacing w:after="0"/>
              <w:ind w:hanging="357"/>
              <w:jc w:val="both"/>
              <w:textAlignment w:val="auto"/>
              <w:rPr>
                <w:bCs/>
                <w:sz w:val="20"/>
                <w:szCs w:val="20"/>
                <w:highlight w:val="green"/>
              </w:rPr>
            </w:pPr>
            <w:bookmarkStart w:id="0" w:name="_Hlk153472406"/>
            <w:r>
              <w:rPr>
                <w:bCs/>
                <w:sz w:val="20"/>
                <w:szCs w:val="20"/>
                <w:highlight w:val="green"/>
                <w:lang w:eastAsia="zh-CN"/>
              </w:rPr>
              <w:t>Evaluate testability, interoperability,</w:t>
            </w:r>
            <w:bookmarkEnd w:id="0"/>
            <w:r>
              <w:rPr>
                <w:bCs/>
                <w:sz w:val="20"/>
                <w:szCs w:val="20"/>
                <w:highlight w:val="green"/>
                <w:lang w:eastAsia="zh-CN"/>
              </w:rPr>
              <w:t xml:space="preserve"> and </w:t>
            </w:r>
            <w:r>
              <w:rPr>
                <w:bCs/>
                <w:sz w:val="20"/>
                <w:szCs w:val="20"/>
                <w:highlight w:val="green"/>
              </w:rPr>
              <w:t>impacts on RRM requirements and performance</w:t>
            </w:r>
            <w:r>
              <w:rPr>
                <w:bCs/>
                <w:sz w:val="20"/>
                <w:szCs w:val="20"/>
                <w:highlight w:val="green"/>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green"/>
                <w:lang w:val="en-US"/>
              </w:rPr>
            </w:pPr>
            <w:r>
              <w:rPr>
                <w:rFonts w:hint="eastAsia"/>
                <w:bCs/>
                <w:sz w:val="20"/>
                <w:szCs w:val="20"/>
                <w:highlight w:val="green"/>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green"/>
                <w:lang w:val="en-US"/>
              </w:rPr>
            </w:pPr>
            <w:r>
              <w:rPr>
                <w:rFonts w:hint="eastAsia"/>
                <w:bCs/>
                <w:sz w:val="20"/>
                <w:szCs w:val="20"/>
                <w:highlight w:val="green"/>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green"/>
                <w:lang w:val="en-US"/>
              </w:rPr>
            </w:pPr>
            <w:r>
              <w:rPr>
                <w:rFonts w:hint="eastAsia"/>
                <w:bCs/>
                <w:sz w:val="20"/>
                <w:szCs w:val="20"/>
                <w:highlight w:val="green"/>
                <w:lang w:val="en-US"/>
              </w:rPr>
              <w:t>N</w:t>
            </w:r>
            <w:r>
              <w:rPr>
                <w:bCs/>
                <w:sz w:val="20"/>
                <w:szCs w:val="20"/>
                <w:highlight w:val="green"/>
                <w:lang w:val="en-US"/>
              </w:rPr>
              <w:t>OTE</w:t>
            </w:r>
            <w:r>
              <w:rPr>
                <w:rFonts w:hint="eastAsia"/>
                <w:bCs/>
                <w:sz w:val="20"/>
                <w:szCs w:val="20"/>
                <w:highlight w:val="green"/>
                <w:lang w:val="en-US"/>
              </w:rPr>
              <w:t xml:space="preserve"> </w:t>
            </w:r>
            <w:r>
              <w:rPr>
                <w:bCs/>
                <w:sz w:val="20"/>
                <w:szCs w:val="20"/>
                <w:highlight w:val="green"/>
                <w:lang w:val="en-US"/>
              </w:rPr>
              <w:t>4</w:t>
            </w:r>
            <w:r>
              <w:rPr>
                <w:rFonts w:hint="eastAsia"/>
                <w:bCs/>
                <w:sz w:val="20"/>
                <w:szCs w:val="20"/>
                <w:highlight w:val="green"/>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green"/>
                <w:lang w:val="en-US"/>
              </w:rPr>
            </w:pPr>
            <w:r>
              <w:rPr>
                <w:rFonts w:hint="eastAsia"/>
                <w:bCs/>
                <w:sz w:val="20"/>
                <w:szCs w:val="20"/>
                <w:highlight w:val="green"/>
                <w:lang w:val="en-US"/>
              </w:rPr>
              <w:t>N</w:t>
            </w:r>
            <w:r>
              <w:rPr>
                <w:bCs/>
                <w:sz w:val="20"/>
                <w:szCs w:val="20"/>
                <w:highlight w:val="green"/>
                <w:lang w:val="en-US"/>
              </w:rPr>
              <w:t>OTE</w:t>
            </w:r>
            <w:r>
              <w:rPr>
                <w:rFonts w:hint="eastAsia"/>
                <w:bCs/>
                <w:sz w:val="20"/>
                <w:szCs w:val="20"/>
                <w:highlight w:val="green"/>
                <w:lang w:val="en-US"/>
              </w:rPr>
              <w:t xml:space="preserve"> </w:t>
            </w:r>
            <w:r>
              <w:rPr>
                <w:bCs/>
                <w:sz w:val="20"/>
                <w:szCs w:val="20"/>
                <w:highlight w:val="green"/>
                <w:lang w:val="en-US"/>
              </w:rPr>
              <w:t>5</w:t>
            </w:r>
            <w:r>
              <w:rPr>
                <w:rFonts w:hint="eastAsia"/>
                <w:bCs/>
                <w:sz w:val="20"/>
                <w:szCs w:val="20"/>
                <w:highlight w:val="green"/>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initial views on </w:t>
      </w:r>
      <w:r>
        <w:rPr>
          <w:rFonts w:hint="eastAsia"/>
          <w:bCs/>
          <w:sz w:val="22"/>
          <w:szCs w:val="28"/>
          <w:u w:val="none"/>
          <w:lang w:val="en-US"/>
        </w:rPr>
        <w:t>requirements</w:t>
      </w:r>
      <w:r>
        <w:rPr>
          <w:rFonts w:hint="eastAsia" w:eastAsia="宋体"/>
          <w:bCs/>
          <w:sz w:val="22"/>
          <w:szCs w:val="28"/>
          <w:u w:val="none"/>
          <w:lang w:val="en-US" w:eastAsia="zh-CN"/>
        </w:rPr>
        <w:t xml:space="preserve"> </w:t>
      </w:r>
      <w:r>
        <w:rPr>
          <w:rFonts w:hint="eastAsia"/>
          <w:bCs/>
          <w:sz w:val="22"/>
          <w:szCs w:val="28"/>
          <w:u w:val="none"/>
          <w:lang w:val="en-US"/>
        </w:rPr>
        <w:t>impacts based on RAN2 assumptions</w:t>
      </w:r>
      <w:r>
        <w:rPr>
          <w:rFonts w:hint="eastAsia" w:eastAsia="宋体"/>
          <w:color w:val="auto"/>
          <w:sz w:val="20"/>
          <w:szCs w:val="20"/>
          <w:lang w:val="en-US" w:eastAsia="zh-CN"/>
        </w:rPr>
        <w:t xml:space="preserve"> of AI/ML for mobility from the RRM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rPr>
          <w:rFonts w:hint="eastAsia" w:eastAsia="宋体"/>
          <w:color w:val="auto"/>
          <w:lang w:val="en-US" w:eastAsia="zh-CN"/>
        </w:rPr>
      </w:pPr>
      <w:r>
        <w:rPr>
          <w:rFonts w:hint="eastAsia" w:eastAsia="宋体"/>
          <w:color w:val="auto"/>
          <w:lang w:val="en-US" w:eastAsia="zh-CN"/>
        </w:rPr>
        <w:t xml:space="preserve">According to the WID, the existing L3 handover mechanism is kind of reactive scheme and handover is triggered and executed based on reported historical measurement results or measurement event. With the deployment of network, </w:t>
      </w:r>
      <w:r>
        <w:rPr>
          <w:iCs/>
          <w:lang w:eastAsia="zh-CN"/>
        </w:rPr>
        <w:t xml:space="preserve">it could be problematic when either UE’s mobility is high or among micro cells of high density or both for existing services or future services e.g. XR, </w:t>
      </w:r>
      <w:r>
        <w:rPr>
          <w:iCs/>
          <w:highlight w:val="none"/>
          <w:lang w:eastAsia="zh-CN"/>
        </w:rPr>
        <w:t>where such reactive scheme may result in more unintended event</w:t>
      </w:r>
      <w:r>
        <w:rPr>
          <w:iCs/>
          <w:lang w:eastAsia="zh-CN"/>
        </w:rPr>
        <w:t xml:space="preserve"> e.g., handover failure, radio link failure, Ping-Pong phenomenon, throughput loss or too early/late handover etc.</w:t>
      </w:r>
      <w:r>
        <w:rPr>
          <w:rFonts w:hint="eastAsia"/>
          <w:iCs/>
          <w:lang w:val="en-US" w:eastAsia="zh-CN"/>
        </w:rPr>
        <w:t xml:space="preserve"> To improve mobility performance, </w:t>
      </w:r>
      <w:r>
        <w:rPr>
          <w:iCs/>
          <w:lang w:eastAsia="zh-CN"/>
        </w:rPr>
        <w:t>mechanism based on AI/ML algorithm has the potential to enable proactive scheme.</w:t>
      </w:r>
      <w:r>
        <w:rPr>
          <w:rFonts w:hint="eastAsia"/>
          <w:iCs/>
          <w:lang w:val="en-US" w:eastAsia="zh-CN"/>
        </w:rPr>
        <w:t xml:space="preserve"> </w:t>
      </w:r>
    </w:p>
    <w:p>
      <w:pPr>
        <w:pStyle w:val="3"/>
        <w:rPr>
          <w:rFonts w:hint="default"/>
          <w:lang w:val="en-US" w:eastAsia="zh-CN"/>
        </w:rPr>
      </w:pPr>
      <w:r>
        <w:rPr>
          <w:rFonts w:hint="eastAsia"/>
          <w:lang w:val="en-US" w:eastAsia="zh-CN"/>
        </w:rPr>
        <w:t xml:space="preserve">2.1 </w:t>
      </w:r>
      <w:r>
        <w:rPr>
          <w:rFonts w:eastAsia="Calibri"/>
          <w:bCs/>
          <w:sz w:val="22"/>
          <w:szCs w:val="28"/>
          <w:lang w:val="en-US"/>
        </w:rPr>
        <w:t>Cell-level measurement prediction</w:t>
      </w:r>
    </w:p>
    <w:p>
      <w:pPr>
        <w:spacing w:before="157" w:beforeLines="50"/>
        <w:rPr>
          <w:rFonts w:hint="eastAsia"/>
          <w:iCs/>
          <w:lang w:val="en-US" w:eastAsia="zh-CN"/>
        </w:rPr>
      </w:pPr>
      <w:r>
        <w:rPr>
          <w:rFonts w:hint="eastAsia"/>
          <w:iCs/>
          <w:lang w:val="en-US" w:eastAsia="zh-CN"/>
        </w:rPr>
        <w:t xml:space="preserve">In R18 AI/ML for air, there were </w:t>
      </w:r>
      <w:r>
        <w:rPr>
          <w:rFonts w:hint="eastAsia" w:eastAsia="宋体"/>
          <w:color w:val="auto"/>
          <w:sz w:val="20"/>
          <w:szCs w:val="20"/>
          <w:highlight w:val="none"/>
          <w:lang w:val="en-US" w:eastAsia="zh-CN"/>
        </w:rPr>
        <w:t xml:space="preserve">several typical use cases incorporated, including CSI feedback enhancement, beam management enhancement and positioning enhancement. </w:t>
      </w:r>
      <w:r>
        <w:rPr>
          <w:iCs/>
          <w:lang w:eastAsia="zh-CN"/>
        </w:rPr>
        <w:t>Since L3 measurement is based on filtering of L1 measurement, the study of AI/ML for air can be leveraged for mobility purpose</w:t>
      </w:r>
      <w:r>
        <w:rPr>
          <w:rFonts w:hint="eastAsia"/>
          <w:iCs/>
          <w:lang w:val="en-US" w:eastAsia="zh-CN"/>
        </w:rPr>
        <w:t xml:space="preserve">. Majority of </w:t>
      </w:r>
      <w:r>
        <w:rPr>
          <w:iCs/>
          <w:lang w:eastAsia="zh-CN"/>
        </w:rPr>
        <w:t xml:space="preserve">the study of </w:t>
      </w:r>
      <w:r>
        <w:rPr>
          <w:rFonts w:hint="eastAsia"/>
          <w:iCs/>
          <w:lang w:val="en-US" w:eastAsia="zh-CN"/>
        </w:rPr>
        <w:t xml:space="preserve">beam management in </w:t>
      </w:r>
      <w:r>
        <w:rPr>
          <w:iCs/>
          <w:lang w:eastAsia="zh-CN"/>
        </w:rPr>
        <w:t>AI/ML for air</w:t>
      </w:r>
      <w:r>
        <w:rPr>
          <w:rFonts w:hint="eastAsia"/>
          <w:iCs/>
          <w:lang w:val="en-US" w:eastAsia="zh-CN"/>
        </w:rPr>
        <w:t xml:space="preserve"> can be reused when we extend L1 beam measurement from serving cell to neighbor cell. </w:t>
      </w:r>
    </w:p>
    <w:p>
      <w:pPr>
        <w:pStyle w:val="57"/>
        <w:spacing w:before="157" w:beforeLines="50"/>
        <w:ind w:left="0" w:firstLine="0"/>
        <w:rPr>
          <w:rFonts w:hint="eastAsia" w:eastAsia="宋体"/>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 xml:space="preserve">s noted that both cell level measurement prediction and beam level measurement prediction are within the scope of RRM measurement prediction. </w:t>
      </w:r>
      <w:r>
        <w:rPr>
          <w:rFonts w:hint="eastAsia" w:eastAsia="宋体"/>
          <w:color w:val="auto"/>
          <w:lang w:val="en-US" w:eastAsia="zh-CN"/>
        </w:rPr>
        <w:t xml:space="preserve">We can observe that there are three cases need to be considered for cell level measurement. For case 1, beam level results are predicted first and then cell level results are derived. For case 2 and case 3, cell level results are predicted directly. </w:t>
      </w:r>
      <w:r>
        <w:rPr>
          <w:rFonts w:hint="eastAsia" w:eastAsia="宋体"/>
          <w:lang w:val="en-US" w:eastAsia="zh-CN"/>
        </w:rPr>
        <w:t>For beam level measurement prediction, it is under discussion in RAN2.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ind w:left="0" w:firstLine="0"/>
              <w:rPr>
                <w:i w:val="0"/>
                <w:iCs/>
              </w:rPr>
            </w:pPr>
            <w:r>
              <w:rPr>
                <w:rFonts w:hint="eastAsia"/>
              </w:rPr>
              <w:t xml:space="preserve">=&gt; </w:t>
            </w:r>
            <w:r>
              <w:rPr>
                <w:rFonts w:hint="eastAsia"/>
                <w:i w:val="0"/>
                <w:iCs/>
              </w:rPr>
              <w:t>Cell level measurement prediction model</w:t>
            </w:r>
          </w:p>
          <w:p>
            <w:pPr>
              <w:pStyle w:val="58"/>
              <w:ind w:left="362" w:leftChars="100" w:hanging="162" w:hangingChars="81"/>
              <w:rPr>
                <w:i w:val="0"/>
                <w:iCs/>
              </w:rPr>
            </w:pPr>
            <w:r>
              <w:rPr>
                <w:i w:val="0"/>
                <w:iCs/>
              </w:rPr>
              <w:t>For cell level measurement prediction model, at least consider the following cases:</w:t>
            </w:r>
          </w:p>
          <w:p>
            <w:pPr>
              <w:pStyle w:val="58"/>
              <w:ind w:left="726"/>
              <w:rPr>
                <w:i w:val="0"/>
                <w:iCs/>
              </w:rPr>
            </w:pPr>
            <w:r>
              <w:rPr>
                <w:i w:val="0"/>
                <w:iCs/>
              </w:rPr>
              <w:t xml:space="preserve">Case 1: To predict beam level results, then generate cell level results based on the predicted beam results; </w:t>
            </w:r>
          </w:p>
          <w:p>
            <w:pPr>
              <w:pStyle w:val="58"/>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p>
            <w:pPr>
              <w:pStyle w:val="57"/>
              <w:ind w:left="726"/>
              <w:rPr>
                <w:rFonts w:hint="eastAsia"/>
              </w:rPr>
            </w:pPr>
          </w:p>
          <w:p>
            <w:pPr>
              <w:pStyle w:val="57"/>
              <w:numPr>
                <w:ilvl w:val="-1"/>
                <w:numId w:val="0"/>
              </w:numPr>
              <w:ind w:left="0" w:firstLine="0"/>
              <w:rPr>
                <w:rFonts w:hint="eastAsia"/>
              </w:rPr>
            </w:pPr>
            <w:r>
              <w:rPr>
                <w:rFonts w:hint="eastAsia"/>
              </w:rPr>
              <w:t xml:space="preserve">=&gt; Companies can consider to do L3 filtered beam level results for any of this cases.  L3 filtered beam level prediction cases are lower priority.  </w:t>
            </w:r>
          </w:p>
          <w:p>
            <w:pPr>
              <w:pStyle w:val="57"/>
              <w:ind w:left="726"/>
              <w:rPr>
                <w:rFonts w:hint="eastAsia"/>
              </w:rPr>
            </w:pPr>
            <w:r>
              <w:rPr>
                <w:rFonts w:hint="eastAsia"/>
              </w:rPr>
              <w:t>Case 1: To predict L1 filtered beam level results, then generate L3 filtered results based on the predicted L1 beam results.</w:t>
            </w:r>
          </w:p>
          <w:p>
            <w:pPr>
              <w:pStyle w:val="57"/>
              <w:ind w:left="726"/>
              <w:rPr>
                <w:rFonts w:hint="eastAsia"/>
              </w:rPr>
            </w:pPr>
            <w:r>
              <w:rPr>
                <w:rFonts w:hint="eastAsia"/>
              </w:rPr>
              <w:t>Case 2: To directly predict L3 filtered beam level results based on the L3 beam level measurement results.</w:t>
            </w:r>
          </w:p>
          <w:p>
            <w:pPr>
              <w:pStyle w:val="57"/>
              <w:ind w:left="726"/>
              <w:rPr>
                <w:rFonts w:hint="eastAsia"/>
              </w:rPr>
            </w:pPr>
            <w:r>
              <w:rPr>
                <w:rFonts w:hint="eastAsia"/>
              </w:rPr>
              <w:t>Case 3: To directly predict L3 filtered beam level results based on the L1 beam level measurement results.</w:t>
            </w:r>
          </w:p>
          <w:p>
            <w:pPr>
              <w:pStyle w:val="57"/>
              <w:ind w:left="726"/>
            </w:pPr>
          </w:p>
          <w:p>
            <w:pPr>
              <w:pStyle w:val="57"/>
              <w:numPr>
                <w:ilvl w:val="-1"/>
                <w:numId w:val="0"/>
              </w:numPr>
              <w:ind w:left="0" w:firstLine="0"/>
              <w:rPr>
                <w:rFonts w:hint="eastAsia"/>
              </w:rPr>
            </w:pPr>
            <w:r>
              <w:rPr>
                <w:rFonts w:hint="eastAsia"/>
              </w:rPr>
              <w:t>=&gt; Spatial domain prediction ---RAN2 agreements</w:t>
            </w:r>
          </w:p>
          <w:p>
            <w:pPr>
              <w:pStyle w:val="57"/>
              <w:numPr>
                <w:ilvl w:val="0"/>
                <w:numId w:val="0"/>
              </w:numPr>
              <w:ind w:left="200" w:leftChars="100" w:firstLine="0"/>
              <w:rPr>
                <w:rFonts w:hint="eastAsia"/>
              </w:rPr>
            </w:pPr>
            <w:r>
              <w:rPr>
                <w:rFonts w:hint="eastAsia"/>
              </w:rPr>
              <w:t xml:space="preserve">We will consider intra-frequency intra and inter-cell spatial domain measurement predictions, for beam and cell level measurements. </w:t>
            </w:r>
          </w:p>
          <w:p>
            <w:pPr>
              <w:pStyle w:val="57"/>
              <w:numPr>
                <w:ilvl w:val="-1"/>
                <w:numId w:val="0"/>
              </w:numPr>
              <w:ind w:left="0" w:firstLine="0"/>
            </w:pPr>
          </w:p>
        </w:tc>
      </w:tr>
    </w:tbl>
    <w:p>
      <w:pPr>
        <w:pStyle w:val="57"/>
        <w:spacing w:before="157" w:beforeLines="50"/>
        <w:ind w:left="0" w:firstLine="0"/>
        <w:rPr>
          <w:rFonts w:hint="default" w:eastAsia="宋体"/>
          <w:lang w:val="en-US" w:eastAsia="zh-CN"/>
        </w:rPr>
      </w:pPr>
      <w:r>
        <w:rPr>
          <w:rFonts w:hint="eastAsia" w:eastAsia="宋体"/>
          <w:lang w:val="en-US" w:eastAsia="zh-CN"/>
        </w:rPr>
        <w:t xml:space="preserve">As to the cell level measurement prediction model, different input or different output for different cases. Taking case1 as an example, the procrdure and </w:t>
      </w:r>
      <w:r>
        <w:rPr>
          <w:rFonts w:hint="eastAsia"/>
          <w:lang w:val="en-US" w:eastAsia="zh-CN"/>
        </w:rPr>
        <w:t xml:space="preserve">the </w:t>
      </w:r>
      <w:r>
        <w:rPr>
          <w:rFonts w:hint="eastAsia"/>
        </w:rPr>
        <w:t>intra and inter-cell spatial domain measurement predictions</w:t>
      </w:r>
      <w:r>
        <w:rPr>
          <w:rFonts w:hint="eastAsia" w:eastAsia="宋体"/>
          <w:lang w:val="en-US" w:eastAsia="zh-CN"/>
        </w:rPr>
        <w:t xml:space="preserve"> can be explained in figure as follow:</w:t>
      </w:r>
    </w:p>
    <w:p>
      <w:pPr>
        <w:pStyle w:val="57"/>
        <w:spacing w:before="157" w:beforeLines="50"/>
        <w:ind w:left="0" w:firstLine="0"/>
        <w:jc w:val="center"/>
      </w:pPr>
      <w:r>
        <w:object>
          <v:shape id="_x0000_i1025" o:spt="75" type="#_x0000_t75" style="height:80pt;width:379pt;" o:ole="t" fillcolor="#FFFFFF" filled="f" o:preferrelative="t" stroked="f" coordsize="21600,21600">
            <v:path/>
            <v:fill on="f" color2="#FFFFFF" focussize="0,0"/>
            <v:stroke on="f" color="#000000" color2="#FFFFFF"/>
            <v:imagedata r:id="rId6" grayscale="f" bilevel="f" o:title=""/>
            <o:lock v:ext="edit" aspectratio="t"/>
            <w10:wrap type="none"/>
            <w10:anchorlock/>
          </v:shape>
          <o:OLEObject Type="Embed" ProgID="Visio.Drawing.15" ShapeID="_x0000_i1025" DrawAspect="Content" ObjectID="_1468075725" r:id="rId5">
            <o:LockedField>false</o:LockedField>
          </o:OLEObject>
        </w:object>
      </w:r>
    </w:p>
    <w:p>
      <w:pPr>
        <w:pStyle w:val="57"/>
        <w:spacing w:before="157" w:beforeLines="50"/>
        <w:ind w:left="0" w:firstLine="0"/>
        <w:jc w:val="center"/>
      </w:pPr>
      <w:r>
        <w:object>
          <v:shape id="_x0000_i1026" o:spt="75" type="#_x0000_t75" style="height:112.5pt;width:420pt;" o:ole="t" fillcolor="#FFFFFF" filled="f" o:preferrelative="t" stroked="f" coordsize="21600,21600">
            <v:path/>
            <v:fill on="f" color2="#FFFFFF" focussize="0,0"/>
            <v:stroke on="f" color="#000000" color2="#FFFFFF"/>
            <v:imagedata r:id="rId8" grayscale="f" bilevel="f" o:title=""/>
            <o:lock v:ext="edit" aspectratio="t"/>
            <w10:wrap type="none"/>
            <w10:anchorlock/>
          </v:shape>
          <o:OLEObject Type="Embed" ProgID="Visio.Drawing.11" ShapeID="_x0000_i1026" DrawAspect="Content" ObjectID="_1468075726" r:id="rId7">
            <o:LockedField>false</o:LockedField>
          </o:OLEObject>
        </w:object>
      </w:r>
    </w:p>
    <w:p>
      <w:pPr>
        <w:pStyle w:val="57"/>
        <w:spacing w:before="157" w:beforeLines="50"/>
        <w:ind w:left="0" w:firstLine="0"/>
        <w:jc w:val="center"/>
        <w:rPr>
          <w:rFonts w:hint="default" w:eastAsia="宋体"/>
          <w:lang w:val="en-US" w:eastAsia="zh-CN"/>
        </w:rPr>
      </w:pPr>
      <w:r>
        <w:rPr>
          <w:rFonts w:hint="eastAsia" w:eastAsia="宋体"/>
          <w:lang w:val="en-US" w:eastAsia="zh-CN"/>
        </w:rPr>
        <w:t>Fig. 1 illustration on input and output of case1</w:t>
      </w:r>
    </w:p>
    <w:p>
      <w:pPr>
        <w:pStyle w:val="57"/>
        <w:spacing w:before="157" w:beforeLines="50"/>
        <w:ind w:left="0" w:firstLine="0"/>
        <w:rPr>
          <w:rFonts w:hint="eastAsia"/>
          <w:b/>
          <w:bCs/>
          <w:szCs w:val="20"/>
          <w:lang w:val="en-US" w:eastAsia="zh-CN"/>
        </w:rPr>
      </w:pPr>
      <w:r>
        <w:rPr>
          <w:rFonts w:hint="eastAsia" w:eastAsia="宋体"/>
          <w:b/>
          <w:bCs/>
          <w:lang w:val="en-US" w:eastAsia="zh-CN"/>
        </w:rPr>
        <w:t xml:space="preserve">Observation 1: </w:t>
      </w:r>
      <w:r>
        <w:rPr>
          <w:rFonts w:hint="eastAsia"/>
          <w:b/>
          <w:bCs/>
          <w:szCs w:val="20"/>
          <w:lang w:val="en-US" w:eastAsia="zh-CN"/>
        </w:rPr>
        <w:t xml:space="preserve">Both cell level measurement prediction and beam level measurement prediction for </w:t>
      </w:r>
      <w:r>
        <w:rPr>
          <w:b/>
          <w:bCs/>
        </w:rPr>
        <w:t>intra-frequency intra and inter-cell spatial domain</w:t>
      </w:r>
      <w:r>
        <w:rPr>
          <w:rFonts w:hint="eastAsia" w:eastAsia="宋体"/>
          <w:b/>
          <w:bCs/>
          <w:lang w:val="en-US" w:eastAsia="zh-CN"/>
        </w:rPr>
        <w:t xml:space="preserve"> </w:t>
      </w:r>
      <w:r>
        <w:rPr>
          <w:rFonts w:hint="eastAsia"/>
          <w:b/>
          <w:bCs/>
          <w:szCs w:val="20"/>
          <w:lang w:val="en-US" w:eastAsia="zh-CN"/>
        </w:rPr>
        <w:t>are within the scope of RRM measurement prediction. And there are some agreements on cell level measurement prediction.</w:t>
      </w:r>
    </w:p>
    <w:p>
      <w:pPr>
        <w:spacing w:before="157" w:beforeLines="50"/>
        <w:rPr>
          <w:rFonts w:hint="default"/>
          <w:lang w:val="en-US" w:eastAsia="zh-CN"/>
        </w:rPr>
      </w:pPr>
      <w:r>
        <w:rPr>
          <w:rFonts w:hint="eastAsia"/>
          <w:lang w:val="en-US" w:eastAsia="zh-CN"/>
        </w:rPr>
        <w:t xml:space="preserve">According to the current assumption of RAN2, </w:t>
      </w:r>
      <w:r>
        <w:rPr>
          <w:rFonts w:hint="default"/>
          <w:lang w:val="en-US" w:eastAsia="zh-CN"/>
        </w:rPr>
        <w:t>evaluation scenarios for RRM measurement prediction</w:t>
      </w:r>
      <w:r>
        <w:rPr>
          <w:rFonts w:hint="eastAsia"/>
          <w:lang w:val="en-US" w:eastAsia="zh-CN"/>
        </w:rPr>
        <w:t xml:space="preserve"> can be observed from blew table.</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bl>
    <w:p>
      <w:pPr>
        <w:pStyle w:val="57"/>
        <w:spacing w:before="157" w:beforeLines="50"/>
        <w:ind w:left="0" w:firstLine="0"/>
        <w:rPr>
          <w:rFonts w:hint="default"/>
          <w:b/>
          <w:bCs/>
          <w:szCs w:val="20"/>
          <w:lang w:val="en-US" w:eastAsia="zh-CN"/>
        </w:rPr>
      </w:pPr>
    </w:p>
    <w:p>
      <w:pPr>
        <w:spacing w:before="157" w:beforeLines="50"/>
        <w:rPr>
          <w:rFonts w:hint="eastAsia" w:eastAsia="宋体"/>
          <w:color w:val="auto"/>
          <w:lang w:val="en-US" w:eastAsia="zh-CN"/>
        </w:rPr>
      </w:pPr>
      <w:r>
        <w:rPr>
          <w:rFonts w:hint="eastAsia" w:eastAsia="宋体"/>
          <w:b/>
          <w:bCs/>
          <w:color w:val="auto"/>
          <w:lang w:val="en-US" w:eastAsia="zh-CN"/>
        </w:rPr>
        <w:t>Proposal 1: RAN4 should analyse and define requirements for both cell level measurement prediction and beam level measurement prediction for intra-frequency and inter-frequency temporal domain.</w:t>
      </w:r>
      <w:r>
        <w:rPr>
          <w:rFonts w:hint="eastAsia" w:eastAsia="宋体"/>
          <w:color w:val="auto"/>
          <w:lang w:val="en-US" w:eastAsia="zh-CN"/>
        </w:rPr>
        <w:t xml:space="preserve"> </w:t>
      </w:r>
    </w:p>
    <w:p>
      <w:pPr>
        <w:spacing w:before="157" w:beforeLines="50"/>
        <w:rPr>
          <w:rFonts w:hint="default" w:eastAsia="宋体"/>
          <w:color w:val="auto"/>
          <w:lang w:val="en-US" w:eastAsia="zh-CN"/>
        </w:rPr>
      </w:pPr>
      <w:r>
        <w:rPr>
          <w:rFonts w:hint="eastAsia" w:eastAsia="宋体"/>
          <w:color w:val="auto"/>
          <w:lang w:val="en-US" w:eastAsia="zh-CN"/>
        </w:rPr>
        <w:t xml:space="preserve">RAN2 has discussed several meetings and reached some consensus on RRM measurement prediction. For temporal domain measurement prediction, the AI-PHY beam management Case A and Case B from the RAN1 AI/ML PHY TR is considered and it applies to both beam level and cell level. </w:t>
      </w:r>
    </w:p>
    <w:p>
      <w:pPr>
        <w:spacing w:before="157" w:beforeLines="50"/>
        <w:jc w:val="center"/>
      </w:pPr>
      <w:r>
        <w:drawing>
          <wp:inline distT="0" distB="0" distL="0" distR="0">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476750" cy="1671955"/>
                    </a:xfrm>
                    <a:prstGeom prst="rect">
                      <a:avLst/>
                    </a:prstGeom>
                    <a:noFill/>
                    <a:ln>
                      <a:noFill/>
                    </a:ln>
                  </pic:spPr>
                </pic:pic>
              </a:graphicData>
            </a:graphic>
          </wp:inline>
        </w:drawing>
      </w:r>
    </w:p>
    <w:p>
      <w:pPr>
        <w:spacing w:before="157" w:beforeLines="50"/>
        <w:jc w:val="center"/>
        <w:rPr>
          <w:rFonts w:hint="default"/>
          <w:lang w:val="en-US" w:eastAsia="zh-CN"/>
        </w:rPr>
      </w:pPr>
      <w:r>
        <w:t>Figure 6.3.1-2:</w:t>
      </w:r>
      <w:r>
        <w:rPr>
          <w:rFonts w:hint="eastAsia" w:eastAsia="宋体"/>
          <w:lang w:val="en-US" w:eastAsia="zh-CN"/>
        </w:rPr>
        <w:t xml:space="preserve"> </w:t>
      </w:r>
      <w:r>
        <w:t>Example for Case A</w:t>
      </w:r>
    </w:p>
    <w:p>
      <w:pPr>
        <w:spacing w:before="157" w:beforeLines="50"/>
        <w:jc w:val="center"/>
      </w:pPr>
      <w:r>
        <w:drawing>
          <wp:inline distT="0" distB="0" distL="0" distR="0">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13020" cy="2040890"/>
                    </a:xfrm>
                    <a:prstGeom prst="rect">
                      <a:avLst/>
                    </a:prstGeom>
                    <a:noFill/>
                    <a:ln>
                      <a:noFill/>
                    </a:ln>
                  </pic:spPr>
                </pic:pic>
              </a:graphicData>
            </a:graphic>
          </wp:inline>
        </w:drawing>
      </w:r>
    </w:p>
    <w:p>
      <w:pPr>
        <w:spacing w:before="157" w:beforeLines="50"/>
        <w:jc w:val="center"/>
        <w:rPr>
          <w:rFonts w:hint="default" w:eastAsia="宋体"/>
          <w:lang w:val="en-US" w:eastAsia="zh-CN"/>
        </w:rPr>
      </w:pPr>
      <w:r>
        <w:t>Figure 6.3.1-2:</w:t>
      </w:r>
      <w:r>
        <w:rPr>
          <w:rFonts w:hint="eastAsia" w:eastAsia="宋体"/>
          <w:lang w:val="en-US" w:eastAsia="zh-CN"/>
        </w:rPr>
        <w:t xml:space="preserve"> </w:t>
      </w:r>
      <w:r>
        <w:t xml:space="preserve">Example for Case </w:t>
      </w:r>
      <w:r>
        <w:rPr>
          <w:rFonts w:hint="eastAsia" w:eastAsia="宋体"/>
          <w:lang w:val="en-US" w:eastAsia="zh-CN"/>
        </w:rPr>
        <w:t>B in TR</w:t>
      </w:r>
    </w:p>
    <w:p>
      <w:pPr>
        <w:spacing w:before="157" w:beforeLines="50"/>
        <w:rPr>
          <w:rFonts w:hint="eastAsia" w:eastAsia="宋体"/>
          <w:b/>
          <w:bCs/>
          <w:color w:val="auto"/>
          <w:lang w:val="en-US" w:eastAsia="zh-CN"/>
        </w:rPr>
      </w:pPr>
      <w:r>
        <w:rPr>
          <w:rFonts w:hint="eastAsia" w:eastAsia="宋体"/>
          <w:b/>
          <w:bCs/>
          <w:color w:val="auto"/>
          <w:lang w:val="en-US" w:eastAsia="zh-CN"/>
        </w:rPr>
        <w:t>Observation 2: AI-PHY beam management Case A and Case B from the RAN1 is reused for temporal domain measurement prediction both beam level and cell level in AI mob. Relative requirements, such as beam prediction accuracy related KPIs, can be used as baseline.</w:t>
      </w:r>
    </w:p>
    <w:p>
      <w:pPr>
        <w:spacing w:before="157" w:beforeLines="50"/>
        <w:rPr>
          <w:rFonts w:hint="eastAsia" w:eastAsia="宋体"/>
          <w:b/>
          <w:bCs/>
          <w:color w:val="auto"/>
          <w:lang w:val="en-US" w:eastAsia="zh-CN"/>
        </w:rPr>
      </w:pPr>
      <w:r>
        <w:rPr>
          <w:rFonts w:hint="eastAsia" w:eastAsia="宋体"/>
          <w:b/>
          <w:bCs/>
          <w:color w:val="auto"/>
          <w:lang w:val="en-US" w:eastAsia="zh-CN"/>
        </w:rPr>
        <w:t>In the email discussion of RAN2, all companies reached an agreement on the temporal domain case，and the general conclusion is as follows.</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A:</w:t>
            </w:r>
          </w:p>
          <w:p>
            <w:pPr>
              <w:spacing w:before="120" w:beforeLines="50"/>
            </w:pPr>
            <w:r>
              <w:t xml:space="preserve">In case A, </w:t>
            </w:r>
            <w:bookmarkStart w:id="1" w:name="_Hlk175845440"/>
            <w:r>
              <w:t xml:space="preserve">continuous </w:t>
            </w:r>
            <w:bookmarkEnd w:id="1"/>
            <w:r>
              <w:t>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pPr>
              <w:spacing w:before="120" w:beforeLines="50"/>
              <w:jc w:val="center"/>
            </w:pPr>
            <w:r>
              <w:object>
                <v:shape id="_x0000_i1027" o:spt="75" type="#_x0000_t75" style="height:118.75pt;width:239.5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spacing w:before="120" w:beforeLines="50"/>
              <w:jc w:val="center"/>
            </w:pPr>
            <w:r>
              <w:rPr>
                <w:rFonts w:hint="eastAsia"/>
              </w:rPr>
              <w:t>F</w:t>
            </w:r>
            <w:r>
              <w:t>igure 3 Example of temporal domain case A</w:t>
            </w:r>
          </w:p>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spacing w:before="120" w:beforeLines="50"/>
              <w:jc w:val="center"/>
            </w:pPr>
            <w:r>
              <w:object>
                <v:shape id="_x0000_i1028" o:spt="75" type="#_x0000_t75" style="height:93.85pt;width:264.8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pPr>
              <w:spacing w:before="120" w:beforeLines="50"/>
              <w:jc w:val="center"/>
            </w:pPr>
            <w:r>
              <w:rPr>
                <w:rFonts w:hint="eastAsia"/>
              </w:rPr>
              <w:t>F</w:t>
            </w:r>
            <w:r>
              <w:t>igure 4: Example of temporal domain case B (Note)</w:t>
            </w:r>
          </w:p>
          <w:p>
            <w:pPr>
              <w:spacing w:before="120" w:beforeLines="50"/>
              <w:rPr>
                <w:i/>
                <w:iCs/>
              </w:rPr>
            </w:pPr>
            <w:r>
              <w:rPr>
                <w:i/>
                <w:iCs/>
              </w:rPr>
              <w:t>Note: Other patterns are not excluded</w:t>
            </w:r>
          </w:p>
          <w:p>
            <w:pPr>
              <w:pStyle w:val="57"/>
              <w:numPr>
                <w:ilvl w:val="-1"/>
                <w:numId w:val="0"/>
              </w:numPr>
              <w:ind w:left="0" w:firstLine="0"/>
            </w:pPr>
          </w:p>
        </w:tc>
      </w:tr>
    </w:tbl>
    <w:p>
      <w:pPr>
        <w:spacing w:before="157" w:beforeLines="50"/>
        <w:rPr>
          <w:rFonts w:hint="default" w:eastAsia="宋体"/>
          <w:color w:val="auto"/>
          <w:lang w:val="en-US" w:eastAsia="zh-CN"/>
        </w:rPr>
      </w:pPr>
      <w:r>
        <w:rPr>
          <w:rFonts w:hint="eastAsia" w:eastAsia="宋体"/>
          <w:color w:val="auto"/>
          <w:lang w:val="en-US" w:eastAsia="zh-CN"/>
        </w:rPr>
        <w:t>The whole process of RRM measurement prediction can be divided into two phases show in figure. Firstly, to predict beam level measurement or cell level measurement. Then, measurement event prediction is done based on predicted measurement results. And measurement event prediction is used to transfer the predicted measurement results from UE to NW in UE-sided model. Based on measurement event prediction, handover will be triggered. In the whole procedure, RAN4 should consider the performance in different phases.</w:t>
      </w:r>
    </w:p>
    <w:p>
      <w:pPr>
        <w:pStyle w:val="57"/>
        <w:spacing w:before="157" w:beforeLines="50"/>
        <w:ind w:left="726"/>
      </w:pPr>
    </w:p>
    <w:p>
      <w:pPr>
        <w:pStyle w:val="57"/>
        <w:spacing w:before="157" w:beforeLines="50"/>
        <w:ind w:left="726"/>
        <w:jc w:val="center"/>
        <w:rPr>
          <w:rFonts w:hint="default" w:eastAsia="宋体"/>
          <w:lang w:val="en-US" w:eastAsia="zh-CN"/>
        </w:rPr>
      </w:pPr>
      <w:r>
        <w:object>
          <v:shape id="_x0000_i1029" o:spt="75" type="#_x0000_t75" style="height:140.75pt;width:457.2pt;" o:ole="t" fillcolor="#FFFFFF" filled="f" o:preferrelative="t" stroked="f" coordsize="21600,21600">
            <v:path/>
            <v:fill on="f" color2="#FFFFFF" focussize="0,0"/>
            <v:stroke on="f" color="#000000" color2="#FFFFFF"/>
            <v:imagedata r:id="rId16" grayscale="f" bilevel="f" o:title=""/>
            <o:lock v:ext="edit" aspectratio="t"/>
            <w10:wrap type="none"/>
            <w10:anchorlock/>
          </v:shape>
          <o:OLEObject Type="Embed" ProgID="Visio.Drawing.11" ShapeID="_x0000_i1029" DrawAspect="Content" ObjectID="_1468075729" r:id="rId15">
            <o:LockedField>false</o:LockedField>
          </o:OLEObject>
        </w:object>
      </w:r>
      <w:r>
        <w:rPr>
          <w:rFonts w:hint="eastAsia" w:eastAsia="宋体"/>
          <w:lang w:val="en-US" w:eastAsia="zh-CN"/>
        </w:rPr>
        <w:t>Fig.2 illustration on</w:t>
      </w:r>
      <w:r>
        <w:rPr>
          <w:rFonts w:hint="eastAsia" w:eastAsia="宋体"/>
          <w:color w:val="auto"/>
          <w:lang w:val="en-US" w:eastAsia="zh-CN"/>
        </w:rPr>
        <w:t xml:space="preserve"> process of RRM measurement prediction</w:t>
      </w:r>
    </w:p>
    <w:p>
      <w:pPr>
        <w:pStyle w:val="57"/>
        <w:spacing w:before="157" w:beforeLines="50"/>
        <w:ind w:left="0" w:firstLine="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be considered as one KPI and it can be depotitized compared to </w:t>
      </w:r>
      <w:r>
        <w:rPr>
          <w:rFonts w:hint="eastAsia"/>
        </w:rPr>
        <w:t>measurement prediction accuracy</w:t>
      </w:r>
      <w:r>
        <w:rPr>
          <w:rFonts w:hint="eastAsia" w:eastAsia="宋体"/>
          <w:lang w:val="en-US" w:eastAsia="zh-CN"/>
        </w:rPr>
        <w: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RAN2#125bis</w:t>
            </w:r>
          </w:p>
          <w:p>
            <w:pPr>
              <w:pStyle w:val="57"/>
              <w:numPr>
                <w:ilvl w:val="-1"/>
                <w:numId w:val="0"/>
              </w:numPr>
              <w:spacing w:before="0" w:beforeLines="0"/>
              <w:ind w:left="0" w:firstLine="0"/>
              <w:rPr>
                <w:rFonts w:hint="eastAsia" w:eastAsia="宋体"/>
                <w:b/>
                <w:bCs/>
                <w:lang w:val="en-US" w:eastAsia="zh-CN"/>
              </w:rPr>
            </w:pPr>
          </w:p>
          <w:p>
            <w:pPr>
              <w:pStyle w:val="57"/>
              <w:numPr>
                <w:ilvl w:val="-1"/>
                <w:numId w:val="0"/>
              </w:numPr>
              <w:spacing w:before="0" w:beforeLines="0"/>
              <w:ind w:left="0" w:firstLine="0"/>
              <w:rPr>
                <w:rFonts w:hint="eastAsia"/>
              </w:rPr>
            </w:pPr>
            <w:r>
              <w:rPr>
                <w:rFonts w:hint="eastAsia"/>
              </w:rPr>
              <w:t>=&gt; The following items can be considered as a baseline for the prediction accuracy of the cell-level measurement prediction：</w:t>
            </w:r>
          </w:p>
          <w:p>
            <w:pPr>
              <w:pStyle w:val="57"/>
              <w:numPr>
                <w:ilvl w:val="0"/>
                <w:numId w:val="0"/>
              </w:numPr>
              <w:spacing w:before="0" w:beforeLines="0"/>
              <w:ind w:left="400" w:leftChars="200" w:firstLine="0"/>
              <w:rPr>
                <w:rFonts w:hint="eastAsia"/>
              </w:rPr>
            </w:pPr>
            <w:r>
              <w:rPr>
                <w:rFonts w:hint="eastAsia"/>
              </w:rPr>
              <w:t>Spatial-domain prediction：RSRP difference to the actual measurement</w:t>
            </w:r>
          </w:p>
          <w:p>
            <w:pPr>
              <w:pStyle w:val="57"/>
              <w:numPr>
                <w:ilvl w:val="0"/>
                <w:numId w:val="0"/>
              </w:numPr>
              <w:spacing w:before="0" w:beforeLines="0"/>
              <w:ind w:left="400" w:leftChars="200" w:firstLine="0"/>
              <w:rPr>
                <w:rFonts w:hint="eastAsia"/>
              </w:rPr>
            </w:pPr>
            <w:r>
              <w:rPr>
                <w:rFonts w:hint="eastAsia"/>
              </w:rPr>
              <w:t>Temporal prediction：RSRP difference to the actual measurement</w:t>
            </w:r>
          </w:p>
          <w:p>
            <w:pPr>
              <w:pStyle w:val="57"/>
              <w:numPr>
                <w:ilvl w:val="-1"/>
                <w:numId w:val="0"/>
              </w:numPr>
              <w:spacing w:before="0" w:beforeLines="0"/>
              <w:ind w:left="0" w:firstLine="0"/>
              <w:rPr>
                <w:rFonts w:hint="eastAsia"/>
              </w:rPr>
            </w:pPr>
            <w:r>
              <w:rPr>
                <w:rFonts w:hint="eastAsia"/>
              </w:rPr>
              <w:t>=&gt; Measurement reduction rate as one KPI</w:t>
            </w:r>
          </w:p>
          <w:p>
            <w:pPr>
              <w:pStyle w:val="57"/>
              <w:numPr>
                <w:ilvl w:val="-1"/>
                <w:numId w:val="0"/>
              </w:numPr>
              <w:spacing w:before="0" w:beforeLines="0"/>
              <w:ind w:left="0" w:firstLine="0"/>
              <w:rPr>
                <w:rFonts w:hint="eastAsia"/>
              </w:rPr>
            </w:pPr>
            <w:r>
              <w:rPr>
                <w:rFonts w:hint="eastAsia"/>
              </w:rPr>
              <w:t>=&gt; As a first step we will focus on measurement prediction accuracy. FFS whether and what system level performance evaluation is needed</w:t>
            </w:r>
          </w:p>
          <w:p>
            <w:pPr>
              <w:pStyle w:val="57"/>
              <w:numPr>
                <w:ilvl w:val="-1"/>
                <w:numId w:val="0"/>
              </w:numPr>
              <w:spacing w:before="0" w:beforeLines="0"/>
              <w:ind w:left="0" w:firstLine="0"/>
            </w:pPr>
          </w:p>
          <w:p>
            <w:pPr>
              <w:pStyle w:val="57"/>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7"/>
              <w:numPr>
                <w:ilvl w:val="-1"/>
                <w:numId w:val="0"/>
              </w:numPr>
              <w:spacing w:before="0" w:beforeLines="0"/>
              <w:ind w:left="0" w:firstLine="0"/>
              <w:rPr>
                <w:rFonts w:hint="eastAsia" w:eastAsia="宋体"/>
                <w:b/>
                <w:bCs/>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Prediction accuracy metric for RRM measurement cell level prediction is defined as “RSRP difference between predicted L3 cell level measurement result and actual L3 cell level measurement result of the same cell” for all RRM sub cases</w:t>
            </w:r>
          </w:p>
          <w:p>
            <w:pPr>
              <w:pStyle w:val="57"/>
              <w:numPr>
                <w:ilvl w:val="-1"/>
                <w:numId w:val="0"/>
              </w:numPr>
              <w:spacing w:before="0" w:beforeLines="0"/>
              <w:ind w:left="0" w:firstLine="0"/>
              <w:rPr>
                <w:rFonts w:hint="default" w:eastAsia="宋体"/>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7"/>
              <w:numPr>
                <w:ilvl w:val="0"/>
                <w:numId w:val="0"/>
              </w:numPr>
              <w:spacing w:before="0" w:beforeLines="0"/>
              <w:ind w:left="200" w:leftChars="10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MRRT= skipped measurement time instances / total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Measurement reduction rate in spatial domain (MRRS):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MRRS = skipped beams to be measured/ total beams to be measured</w:t>
            </w:r>
          </w:p>
          <w:p>
            <w:pPr>
              <w:pStyle w:val="57"/>
              <w:numPr>
                <w:ilvl w:val="-1"/>
                <w:numId w:val="0"/>
              </w:numPr>
              <w:spacing w:before="0" w:beforeLines="0"/>
              <w:ind w:left="0" w:firstLine="0"/>
              <w:rPr>
                <w:rFonts w:hint="default" w:eastAsia="宋体"/>
                <w:lang w:val="en-US" w:eastAsia="zh-CN"/>
              </w:rPr>
            </w:pPr>
          </w:p>
        </w:tc>
      </w:tr>
    </w:tbl>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Observation 3: As to the KPI of cell-level measurement prediction, </w:t>
      </w:r>
      <w:r>
        <w:rPr>
          <w:rFonts w:hint="eastAsia"/>
          <w:b/>
          <w:bCs/>
        </w:rPr>
        <w:t>focus on measurement prediction accuracy</w:t>
      </w:r>
      <w:r>
        <w:rPr>
          <w:rFonts w:hint="eastAsia" w:eastAsia="宋体"/>
          <w:b/>
          <w:bCs/>
          <w:lang w:val="en-US" w:eastAsia="zh-CN"/>
        </w:rPr>
        <w:t xml:space="preserve"> and RSRP difference between predicted L3 cell level measurement result and actual L3 cell level measurement result of the same cell </w:t>
      </w:r>
      <w:r>
        <w:rPr>
          <w:rFonts w:hint="eastAsia" w:eastAsia="宋体"/>
          <w:b/>
          <w:bCs/>
          <w:lang w:eastAsia="zh-CN"/>
        </w:rPr>
        <w:t>s</w:t>
      </w:r>
      <w:r>
        <w:rPr>
          <w:rFonts w:hint="eastAsia" w:eastAsia="宋体"/>
          <w:b/>
          <w:bCs/>
          <w:lang w:val="en-US" w:eastAsia="zh-CN"/>
        </w:rPr>
        <w:t>hould</w:t>
      </w:r>
      <w:r>
        <w:rPr>
          <w:rFonts w:hint="eastAsia"/>
          <w:b/>
          <w:bCs/>
        </w:rPr>
        <w:t xml:space="preserve"> be considered</w:t>
      </w:r>
      <w:r>
        <w:rPr>
          <w:rFonts w:hint="eastAsia" w:eastAsia="宋体"/>
          <w:b/>
          <w:bCs/>
          <w:lang w:val="en-US" w:eastAsia="zh-CN"/>
        </w:rPr>
        <w:t>.</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Proposal 2: RAN4 should guarantee the preformance of cell-level measurement prediction and define </w:t>
      </w:r>
      <w:r>
        <w:rPr>
          <w:rFonts w:hint="eastAsia"/>
          <w:b/>
          <w:bCs/>
        </w:rPr>
        <w:t>measurement prediction accuracy</w:t>
      </w:r>
      <w:r>
        <w:rPr>
          <w:rFonts w:hint="eastAsia" w:eastAsia="宋体"/>
          <w:b/>
          <w:bCs/>
          <w:lang w:val="en-US" w:eastAsia="zh-CN"/>
        </w:rPr>
        <w:t>. For beam-level measurement prediction, wait for RAN2</w:t>
      </w:r>
      <w:r>
        <w:rPr>
          <w:rFonts w:hint="default" w:eastAsia="宋体"/>
          <w:b/>
          <w:bCs/>
          <w:lang w:val="en-US" w:eastAsia="zh-CN"/>
        </w:rPr>
        <w:t>’</w:t>
      </w:r>
      <w:r>
        <w:rPr>
          <w:rFonts w:hint="eastAsia" w:eastAsia="宋体"/>
          <w:b/>
          <w:bCs/>
          <w:lang w:val="en-US" w:eastAsia="zh-CN"/>
        </w:rPr>
        <w:t>s further progress.</w:t>
      </w:r>
    </w:p>
    <w:p>
      <w:pPr>
        <w:pStyle w:val="57"/>
        <w:spacing w:before="157" w:beforeLines="50"/>
        <w:ind w:left="0" w:firstLine="0"/>
        <w:rPr>
          <w:rFonts w:hint="default" w:eastAsia="宋体"/>
          <w:b/>
          <w:bCs/>
          <w:lang w:val="en-US" w:eastAsia="zh-CN"/>
        </w:rPr>
      </w:pPr>
      <w:r>
        <w:rPr>
          <w:rFonts w:hint="eastAsia" w:eastAsia="宋体"/>
          <w:b w:val="0"/>
          <w:bCs w:val="0"/>
          <w:lang w:val="en-US" w:eastAsia="zh-CN"/>
        </w:rPr>
        <w:t xml:space="preserve">In R18 </w:t>
      </w:r>
      <w:r>
        <w:rPr>
          <w:rFonts w:hint="eastAsia" w:eastAsia="宋体"/>
          <w:color w:val="auto"/>
          <w:sz w:val="20"/>
          <w:szCs w:val="20"/>
          <w:highlight w:val="none"/>
          <w:lang w:val="en-US" w:eastAsia="zh-CN"/>
        </w:rPr>
        <w:t xml:space="preserve">AI/ML for beam management, the metrics for beam management requirements are identified, RSRP accuracy and beam prediction accuracy have been considered. In our view, RSRP prediction accuracy, mainly comparing the difference between the estimated RSRP value and the ideal RSRP value. And beam prediction accuracy refers to the UE reporting the predicted beam ID, and then TE checking whether the estimated predicted Top-K beam ID includes the strongest predicted beam in the prediction.   </w:t>
      </w:r>
    </w:p>
    <w:tbl>
      <w:tblPr>
        <w:tblStyle w:val="1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8" w:hRule="atLeast"/>
        </w:trPr>
        <w:tc>
          <w:tcPr>
            <w:tcW w:w="9606" w:type="dxa"/>
          </w:tcPr>
          <w:p>
            <w:pPr>
              <w:spacing w:before="0" w:beforeLines="0"/>
              <w:ind w:left="60"/>
              <w:rPr>
                <w:rFonts w:ascii="Times New Roman" w:hAnsi="Times New Roman" w:eastAsia="Yu Mincho" w:cs="Times New Roman"/>
                <w:kern w:val="0"/>
                <w:sz w:val="20"/>
                <w:szCs w:val="20"/>
                <w:lang w:eastAsia="ja-JP"/>
              </w:rPr>
            </w:pPr>
            <w:r>
              <w:rPr>
                <w:rFonts w:ascii="Times New Roman" w:hAnsi="Times New Roman" w:eastAsia="Yu Mincho" w:cs="Times New Roman"/>
                <w:sz w:val="20"/>
                <w:szCs w:val="20"/>
                <w:lang w:eastAsia="ja-JP"/>
              </w:rPr>
              <w:t>TR 38.843 [2]:</w:t>
            </w:r>
          </w:p>
          <w:p>
            <w:pPr>
              <w:spacing w:before="0" w:beforeLines="0"/>
              <w:ind w:left="60"/>
              <w:rPr>
                <w:rFonts w:ascii="Times New Roman" w:hAnsi="Times New Roman" w:cs="Times New Roman" w:eastAsiaTheme="minorEastAsia"/>
                <w:sz w:val="20"/>
                <w:szCs w:val="20"/>
                <w:lang w:eastAsia="en-US"/>
              </w:rPr>
            </w:pPr>
            <w:r>
              <w:rPr>
                <w:rFonts w:ascii="Times New Roman" w:hAnsi="Times New Roman" w:cs="Times New Roman"/>
                <w:sz w:val="20"/>
                <w:szCs w:val="20"/>
              </w:rPr>
              <w:t>For metrics for beam management requirements/tests, the following test metrics are identified and could be considered</w:t>
            </w:r>
          </w:p>
          <w:p>
            <w:pPr>
              <w:pStyle w:val="28"/>
              <w:numPr>
                <w:ilvl w:val="0"/>
                <w:numId w:val="5"/>
              </w:numPr>
              <w:overflowPunct/>
              <w:spacing w:before="0" w:beforeLines="0" w:after="0"/>
              <w:ind w:firstLineChars="0"/>
              <w:textAlignment w:val="auto"/>
              <w:rPr>
                <w:rFonts w:ascii="Times New Roman" w:hAnsi="Times New Roman" w:cs="Times New Roman"/>
                <w:sz w:val="20"/>
                <w:szCs w:val="20"/>
              </w:rPr>
            </w:pPr>
            <w:r>
              <w:rPr>
                <w:rFonts w:ascii="Times New Roman" w:hAnsi="Times New Roman" w:cs="Times New Roman"/>
                <w:sz w:val="20"/>
                <w:szCs w:val="20"/>
              </w:rPr>
              <w:t>Option 1: RSRP accuracy</w:t>
            </w:r>
          </w:p>
          <w:p>
            <w:pPr>
              <w:pStyle w:val="28"/>
              <w:numPr>
                <w:ilvl w:val="0"/>
                <w:numId w:val="5"/>
              </w:numPr>
              <w:overflowPunct/>
              <w:spacing w:before="0" w:beforeLines="0" w:after="0"/>
              <w:ind w:firstLineChars="0"/>
              <w:textAlignment w:val="auto"/>
              <w:rPr>
                <w:rFonts w:ascii="Times New Roman" w:hAnsi="Times New Roman" w:cs="Times New Roman"/>
                <w:sz w:val="20"/>
                <w:szCs w:val="20"/>
              </w:rPr>
            </w:pPr>
            <w:r>
              <w:rPr>
                <w:rFonts w:ascii="Times New Roman" w:hAnsi="Times New Roman" w:cs="Times New Roman"/>
                <w:sz w:val="20"/>
                <w:szCs w:val="20"/>
              </w:rPr>
              <w:t>Option 2: Beam prediction accuracy</w:t>
            </w:r>
          </w:p>
          <w:p>
            <w:pPr>
              <w:pStyle w:val="28"/>
              <w:numPr>
                <w:ilvl w:val="1"/>
                <w:numId w:val="6"/>
              </w:numPr>
              <w:spacing w:before="0" w:beforeLines="0" w:after="0"/>
              <w:ind w:left="1519" w:hanging="442" w:firstLineChars="0"/>
              <w:rPr>
                <w:rFonts w:ascii="Times New Roman" w:hAnsi="Times New Roman" w:cs="Times New Roman"/>
                <w:sz w:val="20"/>
                <w:szCs w:val="20"/>
              </w:rPr>
            </w:pPr>
            <w:r>
              <w:rPr>
                <w:rFonts w:ascii="Times New Roman" w:hAnsi="Times New Roman" w:cs="Times New Roman"/>
                <w:sz w:val="20"/>
                <w:szCs w:val="20"/>
              </w:rPr>
              <w:t>Top-1 (%): the percentage of “the Top-1 strongest beam is Top-1 predicted beam”</w:t>
            </w:r>
          </w:p>
          <w:p>
            <w:pPr>
              <w:pStyle w:val="28"/>
              <w:numPr>
                <w:ilvl w:val="1"/>
                <w:numId w:val="6"/>
              </w:numPr>
              <w:spacing w:before="0" w:beforeLines="0" w:after="0"/>
              <w:ind w:left="1519" w:hanging="442" w:firstLineChars="0"/>
              <w:rPr>
                <w:rFonts w:ascii="Times New Roman" w:hAnsi="Times New Roman" w:cs="Times New Roman"/>
                <w:sz w:val="20"/>
                <w:szCs w:val="20"/>
              </w:rPr>
            </w:pPr>
            <w:r>
              <w:rPr>
                <w:rFonts w:ascii="Times New Roman" w:hAnsi="Times New Roman" w:cs="Times New Roman"/>
                <w:sz w:val="20"/>
                <w:szCs w:val="20"/>
              </w:rPr>
              <w:t>Top-K/1 (%): the percentage of “the Top-1 strongest beam is one of the Top-K predicted beams”</w:t>
            </w:r>
          </w:p>
          <w:p>
            <w:pPr>
              <w:pStyle w:val="28"/>
              <w:numPr>
                <w:ilvl w:val="1"/>
                <w:numId w:val="6"/>
              </w:numPr>
              <w:spacing w:before="0" w:beforeLines="0" w:after="0"/>
              <w:ind w:left="1519" w:hanging="442" w:firstLineChars="0"/>
              <w:rPr>
                <w:rFonts w:ascii="Times New Roman" w:hAnsi="Times New Roman" w:cs="Times New Roman"/>
                <w:sz w:val="20"/>
                <w:szCs w:val="20"/>
              </w:rPr>
            </w:pPr>
            <w:r>
              <w:rPr>
                <w:rFonts w:ascii="Times New Roman" w:hAnsi="Times New Roman" w:cs="Times New Roman"/>
                <w:sz w:val="20"/>
                <w:szCs w:val="20"/>
              </w:rPr>
              <w:t>Top-1/K (%): the percentage of “the Top-1 predicted beam is one of the Top-K strongest beams”</w:t>
            </w:r>
          </w:p>
          <w:p>
            <w:pPr>
              <w:pStyle w:val="28"/>
              <w:numPr>
                <w:ilvl w:val="0"/>
                <w:numId w:val="5"/>
              </w:numPr>
              <w:overflowPunct/>
              <w:spacing w:before="0" w:beforeLines="0" w:after="0"/>
              <w:ind w:firstLineChars="0"/>
              <w:textAlignment w:val="auto"/>
              <w:rPr>
                <w:rFonts w:ascii="Times New Roman" w:hAnsi="Times New Roman" w:cs="Times New Roman"/>
                <w:sz w:val="20"/>
                <w:szCs w:val="20"/>
              </w:rPr>
            </w:pPr>
            <w:r>
              <w:rPr>
                <w:rFonts w:ascii="Times New Roman" w:hAnsi="Times New Roman" w:cs="Times New Roman"/>
                <w:sz w:val="20"/>
                <w:szCs w:val="20"/>
              </w:rPr>
              <w:t xml:space="preserve">Option 3: The successful rate for the correct prediction which is considered as maximum RSRP among top-K predicted beams is larger than the RSRP of the strongest beam – x dB, </w:t>
            </w:r>
          </w:p>
          <w:p>
            <w:pPr>
              <w:pStyle w:val="28"/>
              <w:numPr>
                <w:ilvl w:val="1"/>
                <w:numId w:val="6"/>
              </w:numPr>
              <w:spacing w:before="0" w:beforeLines="0" w:after="0"/>
              <w:ind w:left="1519" w:hanging="442" w:firstLineChars="0"/>
              <w:rPr>
                <w:rFonts w:ascii="Times New Roman" w:hAnsi="Times New Roman" w:cs="Times New Roman"/>
                <w:sz w:val="20"/>
                <w:szCs w:val="20"/>
              </w:rPr>
            </w:pPr>
            <w:r>
              <w:rPr>
                <w:rFonts w:ascii="Times New Roman" w:hAnsi="Times New Roman" w:cs="Times New Roman"/>
                <w:sz w:val="20"/>
                <w:szCs w:val="20"/>
              </w:rPr>
              <w:t>Related measurement accuracy can be considered to determine x</w:t>
            </w:r>
          </w:p>
          <w:p>
            <w:pPr>
              <w:pStyle w:val="28"/>
              <w:numPr>
                <w:ilvl w:val="0"/>
                <w:numId w:val="5"/>
              </w:numPr>
              <w:overflowPunct/>
              <w:spacing w:before="0" w:beforeLines="0" w:after="0"/>
              <w:ind w:firstLineChars="0"/>
              <w:textAlignment w:val="auto"/>
              <w:rPr>
                <w:rFonts w:ascii="Times New Roman" w:hAnsi="Times New Roman" w:cs="Times New Roman"/>
                <w:sz w:val="20"/>
                <w:szCs w:val="20"/>
              </w:rPr>
            </w:pPr>
            <w:r>
              <w:rPr>
                <w:rFonts w:ascii="Times New Roman" w:hAnsi="Times New Roman" w:cs="Times New Roman"/>
                <w:sz w:val="20"/>
                <w:szCs w:val="20"/>
              </w:rPr>
              <w:t>Option 4: combinations of above options</w:t>
            </w:r>
          </w:p>
          <w:p>
            <w:pPr>
              <w:spacing w:before="0" w:beforeLines="0"/>
            </w:pPr>
            <w:r>
              <w:rPr>
                <w:rFonts w:ascii="Times New Roman" w:hAnsi="Times New Roman" w:cs="Times New Roman"/>
                <w:sz w:val="20"/>
                <w:szCs w:val="20"/>
                <w:lang w:eastAsia="ja-JP"/>
              </w:rPr>
              <w:t>The overhead/latency reduction should be considered for the requirements as the side condition.</w:t>
            </w:r>
            <w:r>
              <w:rPr>
                <w:rFonts w:ascii="Times New Roman" w:hAnsi="Times New Roman" w:cs="Times New Roman"/>
                <w:szCs w:val="20"/>
                <w:lang w:eastAsia="ja-JP"/>
              </w:rPr>
              <w:t xml:space="preserve"> </w:t>
            </w:r>
          </w:p>
        </w:tc>
      </w:tr>
    </w:tbl>
    <w:p>
      <w:pPr>
        <w:spacing w:before="157" w:beforeLines="50"/>
        <w:rPr>
          <w:rFonts w:hint="default" w:eastAsia="宋体"/>
          <w:b/>
          <w:bCs/>
          <w:color w:val="auto"/>
          <w:lang w:val="en-US" w:eastAsia="zh-CN"/>
        </w:rPr>
      </w:pPr>
      <w:r>
        <w:rPr>
          <w:rFonts w:hint="eastAsia" w:eastAsia="宋体"/>
          <w:b/>
          <w:bCs/>
          <w:color w:val="auto"/>
          <w:lang w:val="en-US" w:eastAsia="zh-CN"/>
        </w:rPr>
        <w:t xml:space="preserve">Proposal 3：For measurement prediction accuracy of cell-level measurement prediction, metrics for beam management requirements/tests on AL/ML PHY </w:t>
      </w:r>
      <w:r>
        <w:rPr>
          <w:rFonts w:hint="eastAsia" w:eastAsia="宋体"/>
          <w:b/>
          <w:bCs/>
          <w:color w:val="auto"/>
          <w:highlight w:val="none"/>
          <w:lang w:val="en-US" w:eastAsia="zh-CN"/>
        </w:rPr>
        <w:t>can be used</w:t>
      </w:r>
      <w:r>
        <w:rPr>
          <w:rFonts w:hint="eastAsia" w:eastAsia="宋体"/>
          <w:b/>
          <w:bCs/>
          <w:color w:val="auto"/>
          <w:highlight w:val="none"/>
          <w:lang w:val="en-US" w:eastAsia="zh-CN"/>
        </w:rPr>
        <w:t xml:space="preserve"> as start point</w:t>
      </w:r>
      <w:r>
        <w:rPr>
          <w:rFonts w:hint="eastAsia" w:eastAsia="宋体"/>
          <w:b/>
          <w:bCs/>
          <w:color w:val="auto"/>
          <w:highlight w:val="none"/>
          <w:lang w:val="en-US" w:eastAsia="zh-CN"/>
        </w:rPr>
        <w:t xml:space="preserve">, </w:t>
      </w:r>
      <w:r>
        <w:rPr>
          <w:rFonts w:hint="eastAsia" w:eastAsia="宋体"/>
          <w:b/>
          <w:bCs/>
          <w:color w:val="auto"/>
          <w:lang w:val="en-US" w:eastAsia="zh-CN"/>
        </w:rPr>
        <w:t xml:space="preserve">i.e. </w:t>
      </w:r>
      <w:r>
        <w:rPr>
          <w:rFonts w:hint="eastAsia" w:eastAsia="宋体"/>
          <w:b/>
          <w:bCs/>
          <w:color w:val="auto"/>
          <w:sz w:val="20"/>
          <w:szCs w:val="20"/>
          <w:highlight w:val="none"/>
          <w:lang w:val="en-US" w:eastAsia="zh-CN"/>
        </w:rPr>
        <w:t>RSRP accuracy, beam prediction accuracy.</w:t>
      </w:r>
    </w:p>
    <w:p>
      <w:pPr>
        <w:pStyle w:val="57"/>
        <w:spacing w:before="157" w:beforeLines="50"/>
        <w:ind w:left="0" w:firstLine="0"/>
        <w:rPr>
          <w:rFonts w:hint="default"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In our understanding, these two indicators can be used to evaluate the benefits brought by AI models in mobilioty. The larger the value, the more significant the gain. So, RAN4 should discuss the value of MRRT and MRRS.</w:t>
      </w:r>
    </w:p>
    <w:p>
      <w:pPr>
        <w:pStyle w:val="57"/>
        <w:spacing w:before="157" w:beforeLines="50"/>
        <w:ind w:left="0" w:firstLine="0"/>
        <w:rPr>
          <w:rFonts w:hint="eastAsia" w:eastAsia="宋体"/>
          <w:b/>
          <w:bCs/>
          <w:lang w:val="en-US" w:eastAsia="zh-CN"/>
        </w:rPr>
      </w:pPr>
      <w:r>
        <w:rPr>
          <w:rFonts w:hint="eastAsia" w:eastAsia="宋体"/>
          <w:b/>
          <w:bCs/>
          <w:lang w:val="en-US" w:eastAsia="zh-CN"/>
        </w:rPr>
        <w:t>Proposal 4: RAN4 should discuss the value of MRRT and MRRS, which involve the number of skipped measurement instances and total measurement instances.</w:t>
      </w:r>
    </w:p>
    <w:p>
      <w:pPr>
        <w:pStyle w:val="3"/>
        <w:spacing w:before="157" w:beforeLines="50"/>
        <w:rPr>
          <w:rFonts w:hint="default" w:eastAsia="宋体"/>
          <w:color w:val="auto"/>
          <w:lang w:val="en-US" w:eastAsia="zh-CN"/>
        </w:rPr>
      </w:pPr>
      <w:r>
        <w:rPr>
          <w:rFonts w:hint="eastAsia" w:eastAsia="宋体"/>
          <w:b/>
          <w:bCs/>
          <w:lang w:val="en-US" w:eastAsia="zh-CN"/>
        </w:rPr>
        <w:t xml:space="preserve">2.2 </w:t>
      </w:r>
      <w:r>
        <w:rPr>
          <w:rFonts w:eastAsia="Calibri"/>
          <w:bCs/>
          <w:sz w:val="22"/>
          <w:szCs w:val="28"/>
          <w:lang w:val="en-US"/>
        </w:rPr>
        <w:t>Measurement events prediction</w:t>
      </w:r>
    </w:p>
    <w:p>
      <w:pPr>
        <w:spacing w:before="157" w:beforeLines="50"/>
        <w:rPr>
          <w:rFonts w:hint="eastAsia" w:eastAsia="宋体"/>
          <w:color w:val="auto"/>
          <w:lang w:val="en-US" w:eastAsia="zh-CN"/>
        </w:rPr>
      </w:pPr>
      <w:r>
        <w:rPr>
          <w:rFonts w:hint="eastAsia" w:eastAsia="宋体"/>
          <w:color w:val="auto"/>
          <w:lang w:val="en-US" w:eastAsia="zh-CN"/>
        </w:rPr>
        <w:t>We give the initial analysis on cell-level measurement prediction. As to measurement event prediction, which based on RRM measurement prediction and it should be discussed in RAN2 first. So, we prefer to wait for RAN2 and further discuss on requirements once RAN2 has some consensus.</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spacing w:before="0" w:beforeLines="0"/>
              <w:ind w:left="0" w:firstLine="0"/>
              <w:rPr>
                <w:rFonts w:hint="eastAsia" w:eastAsia="宋体"/>
                <w:b/>
                <w:bCs w:val="0"/>
                <w:sz w:val="20"/>
                <w:szCs w:val="20"/>
                <w:lang w:val="en-US" w:eastAsia="zh-CN"/>
              </w:rPr>
            </w:pPr>
            <w:r>
              <w:rPr>
                <w:rFonts w:hint="eastAsia" w:eastAsia="宋体"/>
                <w:b/>
                <w:bCs w:val="0"/>
                <w:sz w:val="20"/>
                <w:szCs w:val="20"/>
                <w:lang w:val="en-US" w:eastAsia="zh-CN"/>
              </w:rPr>
              <w:t>RAN2#126</w:t>
            </w:r>
          </w:p>
          <w:p>
            <w:pPr>
              <w:pStyle w:val="57"/>
              <w:numPr>
                <w:ilvl w:val="-1"/>
                <w:numId w:val="0"/>
              </w:numPr>
              <w:spacing w:before="0" w:beforeLines="0"/>
              <w:ind w:left="0" w:firstLine="0"/>
              <w:rPr>
                <w:rFonts w:hint="eastAsia" w:eastAsia="Calibri"/>
                <w:bCs/>
                <w:sz w:val="20"/>
                <w:szCs w:val="20"/>
                <w:lang w:val="en-US"/>
              </w:rPr>
            </w:pPr>
            <w:r>
              <w:rPr>
                <w:rFonts w:hint="eastAsia"/>
              </w:rPr>
              <w:t xml:space="preserve">=&gt; </w:t>
            </w:r>
            <w:r>
              <w:rPr>
                <w:rFonts w:hint="eastAsia" w:eastAsia="Calibri"/>
                <w:bCs/>
                <w:sz w:val="20"/>
                <w:szCs w:val="20"/>
                <w:lang w:val="en-US"/>
              </w:rPr>
              <w:t xml:space="preserve">At least measurement event evaluation based on RRM measurement prediction result will be studied.   Direct measurement event prediction are is also allowed.   </w:t>
            </w:r>
          </w:p>
          <w:p>
            <w:pPr>
              <w:pStyle w:val="57"/>
              <w:numPr>
                <w:ilvl w:val="-1"/>
                <w:numId w:val="0"/>
              </w:numPr>
              <w:spacing w:before="0" w:beforeLines="0"/>
              <w:ind w:left="0" w:firstLine="0"/>
              <w:rPr>
                <w:rFonts w:hint="eastAsia" w:eastAsia="Calibri"/>
                <w:bCs/>
                <w:sz w:val="20"/>
                <w:szCs w:val="20"/>
                <w:lang w:val="en-US"/>
              </w:rPr>
            </w:pPr>
            <w:r>
              <w:rPr>
                <w:rFonts w:hint="eastAsia"/>
              </w:rPr>
              <w:t xml:space="preserve">=&gt; </w:t>
            </w:r>
            <w:r>
              <w:rPr>
                <w:rFonts w:hint="eastAsia" w:eastAsia="Calibri"/>
                <w:bCs/>
                <w:sz w:val="20"/>
                <w:szCs w:val="20"/>
                <w:lang w:val="en-US"/>
              </w:rPr>
              <w:t xml:space="preserve">Clarifications on what is being as input should be provided with results  </w:t>
            </w:r>
          </w:p>
          <w:p>
            <w:pPr>
              <w:pStyle w:val="57"/>
              <w:numPr>
                <w:ilvl w:val="-1"/>
                <w:numId w:val="0"/>
              </w:numPr>
              <w:spacing w:before="0" w:beforeLines="0"/>
              <w:ind w:left="0" w:firstLine="0"/>
              <w:rPr>
                <w:rFonts w:hint="eastAsia" w:eastAsia="Calibri"/>
                <w:bCs/>
                <w:sz w:val="20"/>
                <w:szCs w:val="20"/>
                <w:lang w:val="en-US"/>
              </w:rPr>
            </w:pPr>
            <w:r>
              <w:rPr>
                <w:rFonts w:hint="eastAsia"/>
              </w:rPr>
              <w:t xml:space="preserve">=&gt; </w:t>
            </w:r>
            <w:r>
              <w:rPr>
                <w:rFonts w:hint="eastAsia" w:eastAsia="Calibri"/>
                <w:bCs/>
                <w:sz w:val="20"/>
                <w:szCs w:val="20"/>
                <w:lang w:val="en-US"/>
              </w:rPr>
              <w:t xml:space="preserve">Start with A3 as a baseline.  </w:t>
            </w: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eastAsia" w:eastAsia="Calibri"/>
                <w:bCs/>
                <w:sz w:val="20"/>
                <w:szCs w:val="20"/>
                <w:highlight w:val="green"/>
                <w:lang w:val="en-US"/>
              </w:rPr>
              <w:t>Measurement event prediction study can start after some further progress on RRM measurement prediction has been made</w:t>
            </w:r>
          </w:p>
        </w:tc>
      </w:tr>
    </w:tbl>
    <w:p>
      <w:pPr>
        <w:spacing w:before="157" w:beforeLines="50"/>
        <w:rPr>
          <w:rFonts w:hint="eastAsia" w:eastAsia="宋体"/>
          <w:b/>
          <w:bCs/>
          <w:color w:val="auto"/>
          <w:lang w:val="en-US" w:eastAsia="zh-CN"/>
        </w:rPr>
      </w:pPr>
      <w:r>
        <w:rPr>
          <w:rFonts w:hint="eastAsia" w:eastAsia="宋体"/>
          <w:b/>
          <w:bCs/>
          <w:color w:val="auto"/>
          <w:lang w:val="en-US" w:eastAsia="zh-CN"/>
        </w:rPr>
        <w:t>Observation 4: Measurement event prediction is based on RRM measurement prediction and it should be discussed in RAN2 first.</w:t>
      </w:r>
    </w:p>
    <w:p>
      <w:pPr>
        <w:spacing w:before="157" w:beforeLines="50"/>
        <w:rPr>
          <w:rFonts w:hint="default" w:eastAsia="宋体"/>
          <w:b w:val="0"/>
          <w:bCs w:val="0"/>
          <w:color w:val="auto"/>
          <w:lang w:val="en-US" w:eastAsia="zh-CN"/>
        </w:rPr>
      </w:pPr>
      <w:r>
        <w:rPr>
          <w:rFonts w:hint="eastAsia" w:eastAsia="宋体"/>
          <w:b w:val="0"/>
          <w:bCs w:val="0"/>
          <w:color w:val="auto"/>
          <w:lang w:val="en-US" w:eastAsia="zh-CN"/>
        </w:rPr>
        <w:t xml:space="preserve">Similar as measurement prediction, to ensure the performance of mobility, maybe prediction accuracy is needed for measurement event. From RAN2 prespective, measurement event prediction is based on the cell-level measurement prediction, and RAN2 will discuss </w:t>
      </w:r>
      <w:r>
        <w:rPr>
          <w:rFonts w:hint="eastAsia" w:eastAsia="Calibri"/>
          <w:bCs/>
          <w:sz w:val="20"/>
          <w:szCs w:val="20"/>
          <w:lang w:val="en-US"/>
        </w:rPr>
        <w:t>what is being as input should be provided with results</w:t>
      </w:r>
      <w:r>
        <w:rPr>
          <w:rFonts w:hint="eastAsia" w:eastAsia="宋体"/>
          <w:bCs/>
          <w:sz w:val="20"/>
          <w:szCs w:val="20"/>
          <w:lang w:val="en-US" w:eastAsia="zh-CN"/>
        </w:rPr>
        <w:t>. In our understanding, we should discuss the prediction accuracy based on RAN2</w:t>
      </w:r>
      <w:r>
        <w:rPr>
          <w:rFonts w:hint="default" w:eastAsia="宋体"/>
          <w:bCs/>
          <w:sz w:val="20"/>
          <w:szCs w:val="20"/>
          <w:lang w:val="en-US" w:eastAsia="zh-CN"/>
        </w:rPr>
        <w:t>’</w:t>
      </w:r>
      <w:r>
        <w:rPr>
          <w:rFonts w:hint="eastAsia" w:eastAsia="宋体"/>
          <w:bCs/>
          <w:sz w:val="20"/>
          <w:szCs w:val="20"/>
          <w:lang w:val="en-US" w:eastAsia="zh-CN"/>
        </w:rPr>
        <w:t xml:space="preserve">s progress. Meanwhile, the event trigged reporting delay maybe need to discussed if RAN2 designs some signallings on interoperability, i.e., reuse legacy delay requirement.  </w:t>
      </w:r>
    </w:p>
    <w:p>
      <w:pPr>
        <w:pStyle w:val="3"/>
        <w:spacing w:before="157" w:beforeLines="50"/>
        <w:rPr>
          <w:rFonts w:hint="default" w:eastAsia="宋体"/>
          <w:color w:val="auto"/>
          <w:lang w:val="en-US" w:eastAsia="zh-CN"/>
        </w:rPr>
      </w:pPr>
      <w:r>
        <w:rPr>
          <w:rFonts w:hint="eastAsia" w:eastAsia="宋体"/>
          <w:color w:val="auto"/>
          <w:lang w:val="en-US" w:eastAsia="zh-CN"/>
        </w:rPr>
        <w:t xml:space="preserve">2.3 </w:t>
      </w:r>
      <w:r>
        <w:rPr>
          <w:rFonts w:eastAsia="Calibri"/>
          <w:bCs/>
          <w:sz w:val="22"/>
          <w:szCs w:val="28"/>
          <w:lang w:val="en-US"/>
        </w:rPr>
        <w:t xml:space="preserve">HO failure/RLF prediction </w:t>
      </w:r>
    </w:p>
    <w:p>
      <w:pPr>
        <w:spacing w:before="157" w:beforeLines="50"/>
        <w:rPr>
          <w:rFonts w:hint="default" w:eastAsia="宋体"/>
          <w:color w:val="auto"/>
          <w:lang w:val="en-US" w:eastAsia="zh-CN"/>
        </w:rPr>
      </w:pPr>
      <w:r>
        <w:rPr>
          <w:rFonts w:hint="eastAsia" w:eastAsia="宋体"/>
          <w:color w:val="auto"/>
          <w:lang w:val="en-US" w:eastAsia="zh-CN"/>
        </w:rPr>
        <w:t>For HO failure/RLF prediction, RAN2 has reached consensus that the simulation results on RLF prediction are not expected before February and HOF prediction is downprioritized in RAN2 study. Meanwhile, no simulations/evaluations should be done/submitted on HOF prediction.</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0"/>
                <w:numId w:val="0"/>
              </w:numPr>
              <w:spacing w:before="0" w:beforeLines="0"/>
              <w:ind w:left="0" w:firstLine="0"/>
              <w:rPr>
                <w:rFonts w:hint="eastAsia" w:eastAsia="Calibri"/>
                <w:bCs/>
                <w:sz w:val="20"/>
                <w:szCs w:val="22"/>
                <w:lang w:val="en-US"/>
              </w:rPr>
            </w:pPr>
            <w:r>
              <w:rPr>
                <w:rFonts w:hint="eastAsia"/>
              </w:rPr>
              <w:t xml:space="preserve">=&gt; </w:t>
            </w:r>
            <w:r>
              <w:rPr>
                <w:rFonts w:hint="eastAsia" w:eastAsia="Calibri"/>
                <w:bCs/>
                <w:sz w:val="20"/>
                <w:szCs w:val="22"/>
                <w:lang w:val="en-US"/>
              </w:rPr>
              <w:t>HOF prediction is downprioritized in our study. NO simulations/evaluations should be done/submitted</w:t>
            </w:r>
          </w:p>
          <w:p>
            <w:pPr>
              <w:pStyle w:val="57"/>
              <w:numPr>
                <w:ilvl w:val="0"/>
                <w:numId w:val="0"/>
              </w:numPr>
              <w:spacing w:before="0" w:beforeLines="0"/>
              <w:ind w:left="0" w:leftChars="0" w:firstLine="0"/>
              <w:rPr>
                <w:rFonts w:hint="eastAsia"/>
              </w:rPr>
            </w:pPr>
          </w:p>
          <w:p>
            <w:pPr>
              <w:pStyle w:val="57"/>
              <w:numPr>
                <w:ilvl w:val="0"/>
                <w:numId w:val="0"/>
              </w:numPr>
              <w:spacing w:before="0" w:beforeLines="0"/>
              <w:ind w:left="0" w:leftChars="0" w:firstLine="0"/>
              <w:rPr>
                <w:rFonts w:hint="default" w:eastAsia="宋体"/>
                <w:lang w:val="en-US" w:eastAsia="zh-CN"/>
              </w:rPr>
            </w:pPr>
            <w:r>
              <w:rPr>
                <w:rFonts w:hint="eastAsia"/>
              </w:rPr>
              <w:t xml:space="preserve">=&gt; </w:t>
            </w:r>
            <w:r>
              <w:rPr>
                <w:rFonts w:hint="default" w:eastAsia="宋体"/>
                <w:lang w:val="en-US" w:eastAsia="zh-CN"/>
              </w:rPr>
              <w:t>For the time being we don’t need HO procedure simulation in RLF simulation</w:t>
            </w:r>
          </w:p>
          <w:p>
            <w:pPr>
              <w:pStyle w:val="57"/>
              <w:numPr>
                <w:ilvl w:val="0"/>
                <w:numId w:val="0"/>
              </w:numPr>
              <w:spacing w:before="0" w:beforeLines="0"/>
              <w:ind w:left="0" w:leftChars="0" w:firstLine="0"/>
              <w:rPr>
                <w:rFonts w:hint="default" w:eastAsia="宋体"/>
                <w:lang w:val="en-US" w:eastAsia="zh-CN"/>
              </w:rPr>
            </w:pPr>
            <w:r>
              <w:rPr>
                <w:rFonts w:hint="eastAsia"/>
              </w:rPr>
              <w:t xml:space="preserve">=&gt; </w:t>
            </w:r>
            <w:r>
              <w:rPr>
                <w:rFonts w:hint="default" w:eastAsia="宋体"/>
                <w:lang w:val="en-US" w:eastAsia="zh-CN"/>
              </w:rPr>
              <w:t xml:space="preserve">FFS  full buffer and assumption that all the cells are fully loaded. We will not simulate traffic.  </w:t>
            </w:r>
          </w:p>
          <w:p>
            <w:pPr>
              <w:pStyle w:val="57"/>
              <w:numPr>
                <w:ilvl w:val="0"/>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Simulation results are not expected before February</w:t>
            </w:r>
          </w:p>
        </w:tc>
      </w:tr>
    </w:tbl>
    <w:p>
      <w:pPr>
        <w:rPr>
          <w:rFonts w:hint="eastAsia" w:eastAsia="宋体"/>
          <w:b/>
          <w:bCs/>
          <w:lang w:val="en-US" w:eastAsia="zh-CN"/>
        </w:rPr>
      </w:pPr>
      <w:r>
        <w:rPr>
          <w:rFonts w:hint="eastAsia" w:eastAsia="宋体"/>
          <w:b/>
          <w:bCs/>
          <w:color w:val="auto"/>
          <w:lang w:val="en-US" w:eastAsia="zh-CN"/>
        </w:rPr>
        <w:t>Observation</w:t>
      </w:r>
      <w:r>
        <w:rPr>
          <w:rFonts w:hint="eastAsia" w:eastAsia="宋体"/>
          <w:b/>
          <w:bCs/>
          <w:color w:val="auto"/>
          <w:szCs w:val="24"/>
          <w:lang w:val="en-US" w:eastAsia="zh-CN"/>
        </w:rPr>
        <w:t xml:space="preserve"> 5</w:t>
      </w:r>
      <w:r>
        <w:rPr>
          <w:rFonts w:hint="eastAsia" w:eastAsia="宋体"/>
          <w:b/>
          <w:bCs/>
          <w:color w:val="auto"/>
          <w:lang w:val="en-US" w:eastAsia="zh-CN"/>
        </w:rPr>
        <w:t xml:space="preserve">: </w:t>
      </w:r>
      <w:r>
        <w:rPr>
          <w:rFonts w:hint="eastAsia" w:eastAsia="宋体"/>
          <w:b/>
          <w:bCs/>
          <w:color w:val="auto"/>
          <w:sz w:val="20"/>
          <w:szCs w:val="24"/>
          <w:lang w:val="en-US" w:eastAsia="zh-CN"/>
        </w:rPr>
        <w:t>HOF prediction is downprioritized in RAN2</w:t>
      </w:r>
      <w:r>
        <w:rPr>
          <w:rFonts w:hint="default" w:eastAsia="宋体"/>
          <w:b/>
          <w:bCs/>
          <w:color w:val="auto"/>
          <w:sz w:val="20"/>
          <w:szCs w:val="24"/>
          <w:lang w:val="en-US" w:eastAsia="zh-CN"/>
        </w:rPr>
        <w:t>’</w:t>
      </w:r>
      <w:r>
        <w:rPr>
          <w:rFonts w:hint="eastAsia" w:eastAsia="宋体"/>
          <w:b/>
          <w:bCs/>
          <w:color w:val="auto"/>
          <w:sz w:val="20"/>
          <w:szCs w:val="24"/>
          <w:lang w:val="en-US" w:eastAsia="zh-CN"/>
        </w:rPr>
        <w:t xml:space="preserve">s study and </w:t>
      </w:r>
      <w:r>
        <w:rPr>
          <w:rFonts w:hint="eastAsia" w:eastAsia="宋体"/>
          <w:b/>
          <w:bCs/>
          <w:color w:val="auto"/>
          <w:lang w:val="en-US" w:eastAsia="zh-CN"/>
        </w:rPr>
        <w:t>simulation results on RLF are not expected before February</w:t>
      </w:r>
      <w:r>
        <w:rPr>
          <w:rFonts w:hint="eastAsia" w:eastAsia="宋体"/>
          <w:b/>
          <w:bCs/>
          <w:lang w:val="en-US" w:eastAsia="zh-CN"/>
        </w:rPr>
        <w:t>.</w:t>
      </w:r>
    </w:p>
    <w:p>
      <w:pPr>
        <w:rPr>
          <w:rFonts w:hint="default" w:eastAsia="宋体"/>
          <w:b/>
          <w:bCs/>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w:t>
      </w:r>
      <w:bookmarkStart w:id="5" w:name="_GoBack"/>
      <w:bookmarkEnd w:id="5"/>
      <w:r>
        <w:rPr>
          <w:rFonts w:eastAsia="宋体"/>
          <w:color w:val="auto"/>
          <w:lang w:val="en-US" w:eastAsia="zh-CN"/>
        </w:rPr>
        <w:t>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pStyle w:val="57"/>
        <w:spacing w:before="157" w:beforeLines="50"/>
        <w:ind w:left="0" w:firstLine="0"/>
        <w:rPr>
          <w:rFonts w:hint="default" w:eastAsia="宋体"/>
          <w:b/>
          <w:bCs/>
          <w:lang w:val="en-US" w:eastAsia="zh-CN"/>
        </w:rPr>
      </w:pPr>
      <w:r>
        <w:rPr>
          <w:rFonts w:hint="eastAsia" w:eastAsia="宋体"/>
          <w:b/>
          <w:bCs/>
          <w:lang w:val="en-US" w:eastAsia="zh-CN"/>
        </w:rPr>
        <w:t xml:space="preserve">Observation 1: </w:t>
      </w:r>
      <w:r>
        <w:rPr>
          <w:rFonts w:hint="eastAsia"/>
          <w:b/>
          <w:bCs/>
          <w:szCs w:val="20"/>
          <w:lang w:val="en-US" w:eastAsia="zh-CN"/>
        </w:rPr>
        <w:t xml:space="preserve">Both cell level measurement prediction and beam level measurement prediction for </w:t>
      </w:r>
      <w:r>
        <w:rPr>
          <w:b/>
          <w:bCs/>
        </w:rPr>
        <w:t>intra-frequency intra and inter-cell spatial domain</w:t>
      </w:r>
      <w:r>
        <w:rPr>
          <w:rFonts w:hint="eastAsia" w:eastAsia="宋体"/>
          <w:b/>
          <w:bCs/>
          <w:lang w:val="en-US" w:eastAsia="zh-CN"/>
        </w:rPr>
        <w:t xml:space="preserve"> </w:t>
      </w:r>
      <w:r>
        <w:rPr>
          <w:rFonts w:hint="eastAsia"/>
          <w:b/>
          <w:bCs/>
          <w:szCs w:val="20"/>
          <w:lang w:val="en-US" w:eastAsia="zh-CN"/>
        </w:rPr>
        <w:t>are within the scope of RRM measurement prediction. And there are some agreements on cell level measurement prediction.</w:t>
      </w:r>
    </w:p>
    <w:p>
      <w:pPr>
        <w:spacing w:before="157" w:beforeLines="50"/>
        <w:rPr>
          <w:rFonts w:hint="eastAsia" w:eastAsia="宋体"/>
          <w:color w:val="auto"/>
          <w:lang w:val="en-US" w:eastAsia="zh-CN"/>
        </w:rPr>
      </w:pPr>
      <w:r>
        <w:rPr>
          <w:rFonts w:hint="eastAsia" w:eastAsia="宋体"/>
          <w:b/>
          <w:bCs/>
          <w:color w:val="auto"/>
          <w:lang w:val="en-US" w:eastAsia="zh-CN"/>
        </w:rPr>
        <w:t>Proposal 1: RAN4 should analyse and define requirements for both cell level measurement prediction and beam level measurement prediction for intra-frequency intra and inter-cell spatial domain.</w:t>
      </w:r>
      <w:r>
        <w:rPr>
          <w:rFonts w:hint="eastAsia" w:eastAsia="宋体"/>
          <w:color w:val="auto"/>
          <w:lang w:val="en-US" w:eastAsia="zh-CN"/>
        </w:rPr>
        <w:t xml:space="preserve"> </w:t>
      </w:r>
    </w:p>
    <w:p>
      <w:pPr>
        <w:spacing w:before="157" w:beforeLines="50"/>
        <w:rPr>
          <w:rFonts w:hint="eastAsia" w:eastAsia="宋体"/>
          <w:b/>
          <w:bCs/>
          <w:color w:val="auto"/>
          <w:lang w:val="en-US" w:eastAsia="zh-CN"/>
        </w:rPr>
      </w:pPr>
      <w:r>
        <w:rPr>
          <w:rFonts w:hint="eastAsia" w:eastAsia="宋体"/>
          <w:b/>
          <w:bCs/>
          <w:color w:val="auto"/>
          <w:lang w:val="en-US" w:eastAsia="zh-CN"/>
        </w:rPr>
        <w:t>Observation 2: AI-PHY beam management Case A and Case B from the RAN1 is reused for temporal domain measurement prediction both beam level and cell level in AI mob. Relative requirements, such as beam prediction accuracy related KPIs, can be used as baseline.</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Observation 3: as to the KPI of cell-level measurement prediction, </w:t>
      </w:r>
      <w:r>
        <w:rPr>
          <w:rFonts w:hint="eastAsia"/>
          <w:b/>
          <w:bCs/>
        </w:rPr>
        <w:t>focus on measurement prediction accuracy</w:t>
      </w:r>
      <w:r>
        <w:rPr>
          <w:rFonts w:hint="eastAsia" w:eastAsia="宋体"/>
          <w:b/>
          <w:bCs/>
          <w:lang w:val="en-US" w:eastAsia="zh-CN"/>
        </w:rPr>
        <w:t xml:space="preserve"> and RSRP difference between predicted L3 cell level measurement result and actual L3 cell level measurement result of the same cell </w:t>
      </w:r>
      <w:r>
        <w:rPr>
          <w:rFonts w:hint="eastAsia" w:eastAsia="宋体"/>
          <w:b/>
          <w:bCs/>
          <w:lang w:eastAsia="zh-CN"/>
        </w:rPr>
        <w:t>s</w:t>
      </w:r>
      <w:r>
        <w:rPr>
          <w:rFonts w:hint="eastAsia" w:eastAsia="宋体"/>
          <w:b/>
          <w:bCs/>
          <w:lang w:val="en-US" w:eastAsia="zh-CN"/>
        </w:rPr>
        <w:t>hould</w:t>
      </w:r>
      <w:r>
        <w:rPr>
          <w:rFonts w:hint="eastAsia"/>
          <w:b/>
          <w:bCs/>
        </w:rPr>
        <w:t xml:space="preserve"> be considered</w:t>
      </w:r>
      <w:r>
        <w:rPr>
          <w:rFonts w:hint="eastAsia" w:eastAsia="宋体"/>
          <w:b/>
          <w:bCs/>
          <w:lang w:val="en-US" w:eastAsia="zh-CN"/>
        </w:rPr>
        <w:t>.</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Proposal 2: RAN4 should guarantee the preformance of cell-level measurement prediction and define </w:t>
      </w:r>
      <w:r>
        <w:rPr>
          <w:rFonts w:hint="eastAsia"/>
          <w:b/>
          <w:bCs/>
        </w:rPr>
        <w:t>measurement prediction accuracy</w:t>
      </w:r>
      <w:r>
        <w:rPr>
          <w:rFonts w:hint="eastAsia" w:eastAsia="宋体"/>
          <w:b/>
          <w:bCs/>
          <w:lang w:val="en-US" w:eastAsia="zh-CN"/>
        </w:rPr>
        <w:t>. For beam-level measurement prediction, wait for RAN2</w:t>
      </w:r>
      <w:r>
        <w:rPr>
          <w:rFonts w:hint="default" w:eastAsia="宋体"/>
          <w:b/>
          <w:bCs/>
          <w:lang w:val="en-US" w:eastAsia="zh-CN"/>
        </w:rPr>
        <w:t>’</w:t>
      </w:r>
      <w:r>
        <w:rPr>
          <w:rFonts w:hint="eastAsia" w:eastAsia="宋体"/>
          <w:b/>
          <w:bCs/>
          <w:lang w:val="en-US" w:eastAsia="zh-CN"/>
        </w:rPr>
        <w:t>s further progress.</w:t>
      </w:r>
    </w:p>
    <w:p>
      <w:pPr>
        <w:spacing w:before="157" w:beforeLines="50"/>
        <w:rPr>
          <w:rFonts w:hint="default" w:eastAsia="宋体"/>
          <w:b/>
          <w:bCs/>
          <w:color w:val="auto"/>
          <w:lang w:val="en-US" w:eastAsia="zh-CN"/>
        </w:rPr>
      </w:pPr>
      <w:r>
        <w:rPr>
          <w:rFonts w:hint="eastAsia" w:eastAsia="宋体"/>
          <w:b/>
          <w:bCs/>
          <w:color w:val="auto"/>
          <w:lang w:val="en-US" w:eastAsia="zh-CN"/>
        </w:rPr>
        <w:t>Proposal 3：For measurement prediction accuracy of cell-level measurement prediction, metrics for beam management requirements/tests on AL/ML PHY</w:t>
      </w:r>
      <w:r>
        <w:rPr>
          <w:rFonts w:hint="eastAsia" w:eastAsia="宋体"/>
          <w:b/>
          <w:bCs/>
          <w:color w:val="auto"/>
          <w:highlight w:val="none"/>
          <w:lang w:val="en-US" w:eastAsia="zh-CN"/>
        </w:rPr>
        <w:t xml:space="preserve"> can be used as start point, </w:t>
      </w:r>
      <w:r>
        <w:rPr>
          <w:rFonts w:hint="eastAsia" w:eastAsia="宋体"/>
          <w:b/>
          <w:bCs/>
          <w:color w:val="auto"/>
          <w:lang w:val="en-US" w:eastAsia="zh-CN"/>
        </w:rPr>
        <w:t xml:space="preserve">i.e. </w:t>
      </w:r>
      <w:r>
        <w:rPr>
          <w:rFonts w:hint="eastAsia" w:eastAsia="宋体"/>
          <w:b/>
          <w:bCs/>
          <w:color w:val="auto"/>
          <w:sz w:val="20"/>
          <w:szCs w:val="20"/>
          <w:highlight w:val="none"/>
          <w:lang w:val="en-US" w:eastAsia="zh-CN"/>
        </w:rPr>
        <w:t>RSRP accuracy, beam prediction accuracy.</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Proposal 4: RAN4 should discuss the value of MRRT and MRRS, which involve the number of skipped measurement instances and total measurement instances. </w:t>
      </w:r>
    </w:p>
    <w:p>
      <w:pPr>
        <w:spacing w:before="157" w:beforeLines="50"/>
        <w:rPr>
          <w:rFonts w:hint="eastAsia" w:eastAsia="宋体"/>
          <w:b/>
          <w:bCs/>
          <w:color w:val="auto"/>
          <w:lang w:val="en-US" w:eastAsia="zh-CN"/>
        </w:rPr>
      </w:pPr>
      <w:r>
        <w:rPr>
          <w:rFonts w:hint="eastAsia" w:eastAsia="宋体"/>
          <w:b/>
          <w:bCs/>
          <w:color w:val="auto"/>
          <w:lang w:val="en-US" w:eastAsia="zh-CN"/>
        </w:rPr>
        <w:t>Observation 4: Measurement event prediction is based on RRM measurement prediction and it should be discussed in RAN2 first.</w:t>
      </w:r>
    </w:p>
    <w:p>
      <w:pPr>
        <w:spacing w:before="157" w:beforeLines="50"/>
        <w:rPr>
          <w:rFonts w:hint="default"/>
          <w:lang w:val="en-US"/>
        </w:rPr>
      </w:pPr>
      <w:r>
        <w:rPr>
          <w:rFonts w:hint="eastAsia" w:eastAsia="宋体"/>
          <w:b/>
          <w:bCs/>
          <w:color w:val="auto"/>
          <w:szCs w:val="20"/>
          <w:lang w:val="en-US" w:eastAsia="zh-CN"/>
        </w:rPr>
        <w:t xml:space="preserve">Observation 5: </w:t>
      </w:r>
      <w:r>
        <w:rPr>
          <w:rFonts w:hint="eastAsia" w:eastAsia="Calibri"/>
          <w:b/>
          <w:bCs/>
          <w:sz w:val="20"/>
          <w:szCs w:val="20"/>
          <w:lang w:val="en-US"/>
        </w:rPr>
        <w:t xml:space="preserve">HOF prediction is downprioritized in </w:t>
      </w:r>
      <w:r>
        <w:rPr>
          <w:rFonts w:hint="eastAsia" w:eastAsia="宋体"/>
          <w:b/>
          <w:bCs/>
          <w:sz w:val="20"/>
          <w:szCs w:val="20"/>
          <w:lang w:val="en-US" w:eastAsia="zh-CN"/>
        </w:rPr>
        <w:t>RAN2</w:t>
      </w:r>
      <w:r>
        <w:rPr>
          <w:rFonts w:hint="default" w:eastAsia="宋体"/>
          <w:b/>
          <w:bCs/>
          <w:sz w:val="20"/>
          <w:szCs w:val="20"/>
          <w:lang w:val="en-US" w:eastAsia="zh-CN"/>
        </w:rPr>
        <w:t>’</w:t>
      </w:r>
      <w:r>
        <w:rPr>
          <w:rFonts w:hint="eastAsia" w:eastAsia="宋体"/>
          <w:b/>
          <w:bCs/>
          <w:sz w:val="20"/>
          <w:szCs w:val="20"/>
          <w:lang w:val="en-US" w:eastAsia="zh-CN"/>
        </w:rPr>
        <w:t>s</w:t>
      </w:r>
      <w:r>
        <w:rPr>
          <w:rFonts w:hint="eastAsia" w:eastAsia="Calibri"/>
          <w:b/>
          <w:bCs/>
          <w:sz w:val="20"/>
          <w:szCs w:val="20"/>
          <w:lang w:val="en-US"/>
        </w:rPr>
        <w:t xml:space="preserve"> study</w:t>
      </w:r>
      <w:r>
        <w:rPr>
          <w:rFonts w:hint="eastAsia" w:eastAsia="宋体"/>
          <w:b/>
          <w:bCs/>
          <w:sz w:val="20"/>
          <w:szCs w:val="20"/>
          <w:lang w:val="en-US" w:eastAsia="zh-CN"/>
        </w:rPr>
        <w:t xml:space="preserve"> and </w:t>
      </w:r>
      <w:r>
        <w:rPr>
          <w:rFonts w:hint="eastAsia" w:eastAsia="宋体"/>
          <w:b/>
          <w:bCs/>
          <w:szCs w:val="20"/>
          <w:lang w:val="en-US" w:eastAsia="zh-CN"/>
        </w:rPr>
        <w:t>s</w:t>
      </w:r>
      <w:r>
        <w:rPr>
          <w:rFonts w:hint="default" w:eastAsia="宋体"/>
          <w:b/>
          <w:bCs/>
          <w:szCs w:val="20"/>
          <w:lang w:val="en-US" w:eastAsia="zh-CN"/>
        </w:rPr>
        <w:t>imulation results</w:t>
      </w:r>
      <w:r>
        <w:rPr>
          <w:rFonts w:hint="eastAsia" w:eastAsia="宋体"/>
          <w:b/>
          <w:bCs/>
          <w:szCs w:val="20"/>
          <w:lang w:val="en-US" w:eastAsia="zh-CN"/>
        </w:rPr>
        <w:t xml:space="preserve"> on RLF</w:t>
      </w:r>
      <w:r>
        <w:rPr>
          <w:rFonts w:hint="default" w:eastAsia="宋体"/>
          <w:b/>
          <w:bCs/>
          <w:szCs w:val="20"/>
          <w:lang w:val="en-US" w:eastAsia="zh-CN"/>
        </w:rPr>
        <w:t xml:space="preserve"> are not expected before February</w:t>
      </w:r>
      <w:r>
        <w:rPr>
          <w:rFonts w:hint="eastAsia" w:eastAsia="宋体"/>
          <w:b/>
          <w:bCs/>
          <w:szCs w:val="20"/>
          <w:lang w:val="en-US" w:eastAsia="zh-CN"/>
        </w:rPr>
        <w:t>.</w:t>
      </w:r>
    </w:p>
    <w:p>
      <w:pPr>
        <w:pStyle w:val="4"/>
        <w:rPr>
          <w:rFonts w:hint="eastAsia" w:eastAsia="宋体" w:cs="Times New Roman"/>
          <w:b/>
          <w:bCs/>
          <w:color w:val="auto"/>
          <w:sz w:val="20"/>
          <w:szCs w:val="20"/>
          <w:highlight w:val="none"/>
          <w:lang w:val="en-GB"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lang w:val="en-US" w:eastAsia="zh-CN"/>
        </w:rPr>
      </w:pPr>
      <w:bookmarkStart w:id="2" w:name="_Ref101451885"/>
      <w:r>
        <w:rPr>
          <w:rFonts w:hint="eastAsia"/>
          <w:lang w:val="en-US" w:eastAsia="zh-CN"/>
        </w:rPr>
        <w:t xml:space="preserve">RP-242393, Revised SID on AIML for mobility in NR , </w:t>
      </w:r>
      <w:bookmarkEnd w:id="2"/>
      <w:r>
        <w:rPr>
          <w:rFonts w:hint="eastAsia"/>
          <w:lang w:val="en-US" w:eastAsia="zh-CN"/>
        </w:rPr>
        <w:t>OPPO (rapporteur)</w:t>
      </w:r>
    </w:p>
    <w:p>
      <w:pPr>
        <w:pStyle w:val="9"/>
        <w:numPr>
          <w:ilvl w:val="0"/>
          <w:numId w:val="7"/>
        </w:numPr>
        <w:ind w:left="0" w:leftChars="0" w:firstLine="0" w:firstLineChars="0"/>
        <w:rPr>
          <w:rFonts w:hint="eastAsia"/>
          <w:lang w:val="en-US" w:eastAsia="zh-CN"/>
        </w:rPr>
      </w:pPr>
      <w:r>
        <w:rPr>
          <w:rFonts w:hint="eastAsia"/>
          <w:lang w:val="en-US" w:eastAsia="zh-CN"/>
        </w:rPr>
        <w:t xml:space="preserve">3GPP </w:t>
      </w:r>
      <w:bookmarkStart w:id="3" w:name="specType1"/>
      <w:r>
        <w:rPr>
          <w:rFonts w:hint="eastAsia"/>
          <w:lang w:val="en-US" w:eastAsia="zh-CN"/>
        </w:rPr>
        <w:t>TR</w:t>
      </w:r>
      <w:bookmarkEnd w:id="3"/>
      <w:r>
        <w:rPr>
          <w:rFonts w:hint="eastAsia"/>
          <w:lang w:val="en-US" w:eastAsia="zh-CN"/>
        </w:rPr>
        <w:t xml:space="preserve"> </w:t>
      </w:r>
      <w:bookmarkStart w:id="4" w:name="specNumber"/>
      <w:r>
        <w:rPr>
          <w:rFonts w:hint="eastAsia"/>
          <w:lang w:val="en-US" w:eastAsia="zh-CN"/>
        </w:rPr>
        <w:t>38.</w:t>
      </w:r>
      <w:bookmarkEnd w:id="4"/>
      <w:r>
        <w:rPr>
          <w:rFonts w:hint="eastAsia"/>
          <w:lang w:val="en-US" w:eastAsia="zh-CN"/>
        </w:rPr>
        <w:t>843</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46F735E"/>
    <w:multiLevelType w:val="multilevel"/>
    <w:tmpl w:val="546F735E"/>
    <w:lvl w:ilvl="0" w:tentative="0">
      <w:start w:val="1"/>
      <w:numFmt w:val="bullet"/>
      <w:lvlText w:val=""/>
      <w:lvlJc w:val="left"/>
      <w:pPr>
        <w:ind w:left="800" w:hanging="440"/>
      </w:pPr>
      <w:rPr>
        <w:rFonts w:hint="default" w:ascii="Wingdings" w:hAnsi="Wingdings"/>
      </w:rPr>
    </w:lvl>
    <w:lvl w:ilvl="1" w:tentative="0">
      <w:start w:val="1"/>
      <w:numFmt w:val="bullet"/>
      <w:lvlText w:val="o"/>
      <w:lvlJc w:val="left"/>
      <w:pPr>
        <w:ind w:left="1520" w:hanging="440"/>
      </w:pPr>
      <w:rPr>
        <w:rFonts w:hint="default" w:ascii="Courier New" w:hAnsi="Courier New" w:cs="Courier New"/>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5">
    <w:nsid w:val="5F66121F"/>
    <w:multiLevelType w:val="multilevel"/>
    <w:tmpl w:val="5F66121F"/>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2"/>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9642C4B"/>
    <w:rsid w:val="299B7242"/>
    <w:rsid w:val="2A34628C"/>
    <w:rsid w:val="2A724D05"/>
    <w:rsid w:val="2A7E505C"/>
    <w:rsid w:val="2AC85686"/>
    <w:rsid w:val="2AD04B5F"/>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A16681E"/>
    <w:rsid w:val="3A185287"/>
    <w:rsid w:val="3A1F46B8"/>
    <w:rsid w:val="3A692CD0"/>
    <w:rsid w:val="3A7F53CD"/>
    <w:rsid w:val="3AAE4AA7"/>
    <w:rsid w:val="3AF23299"/>
    <w:rsid w:val="3B22382B"/>
    <w:rsid w:val="3B270929"/>
    <w:rsid w:val="3B3D5571"/>
    <w:rsid w:val="3B673620"/>
    <w:rsid w:val="3B9A1F29"/>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5D6E26"/>
    <w:rsid w:val="606F38F4"/>
    <w:rsid w:val="60A633A3"/>
    <w:rsid w:val="60CB1A8B"/>
    <w:rsid w:val="60EC2CBA"/>
    <w:rsid w:val="61955A2F"/>
    <w:rsid w:val="619931C4"/>
    <w:rsid w:val="61CC2D28"/>
    <w:rsid w:val="63143D77"/>
    <w:rsid w:val="635902CD"/>
    <w:rsid w:val="63DA1C8E"/>
    <w:rsid w:val="64706BBE"/>
    <w:rsid w:val="64D91611"/>
    <w:rsid w:val="64F03EAD"/>
    <w:rsid w:val="64F2095B"/>
    <w:rsid w:val="652B262D"/>
    <w:rsid w:val="658A3829"/>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EB2E8D"/>
    <w:rsid w:val="7CEF4E07"/>
    <w:rsid w:val="7D25352B"/>
    <w:rsid w:val="7D3219D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oleObject" Target="embeddings/oleObject5.bin"/><Relationship Id="rId14" Type="http://schemas.openxmlformats.org/officeDocument/2006/relationships/image" Target="media/image6.emf"/><Relationship Id="rId13" Type="http://schemas.openxmlformats.org/officeDocument/2006/relationships/oleObject" Target="embeddings/oleObject4.bin"/><Relationship Id="rId12" Type="http://schemas.openxmlformats.org/officeDocument/2006/relationships/image" Target="media/image5.emf"/><Relationship Id="rId11" Type="http://schemas.openxmlformats.org/officeDocument/2006/relationships/oleObject" Target="embeddings/oleObject3.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2024-10-07T13:30:00Z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6741D73D684545ADAB0A20AAB5825739</vt:lpwstr>
  </property>
</Properties>
</file>