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6A57F7" w14:textId="3615B788" w:rsidR="002F19CF" w:rsidRPr="002F19CF" w:rsidRDefault="002F19CF" w:rsidP="002F19CF">
      <w:pPr>
        <w:pStyle w:val="CRCoverPage"/>
        <w:tabs>
          <w:tab w:val="right" w:pos="9639"/>
        </w:tabs>
        <w:spacing w:after="0"/>
        <w:rPr>
          <w:b/>
          <w:i/>
          <w:noProof/>
          <w:sz w:val="24"/>
          <w:szCs w:val="24"/>
        </w:rPr>
      </w:pPr>
      <w:r w:rsidRPr="002F19CF">
        <w:rPr>
          <w:b/>
          <w:noProof/>
          <w:sz w:val="24"/>
          <w:szCs w:val="24"/>
        </w:rPr>
        <w:t>3GPP TSG-</w:t>
      </w:r>
      <w:r w:rsidRPr="002F19CF">
        <w:rPr>
          <w:b/>
          <w:sz w:val="24"/>
          <w:szCs w:val="24"/>
        </w:rPr>
        <w:fldChar w:fldCharType="begin"/>
      </w:r>
      <w:r w:rsidRPr="002F19CF">
        <w:rPr>
          <w:b/>
          <w:sz w:val="24"/>
          <w:szCs w:val="24"/>
        </w:rPr>
        <w:instrText xml:space="preserve"> DOCPROPERTY  TSG/WGRef  \* MERGEFORMAT </w:instrText>
      </w:r>
      <w:r w:rsidRPr="002F19CF">
        <w:rPr>
          <w:b/>
          <w:sz w:val="24"/>
          <w:szCs w:val="24"/>
        </w:rPr>
        <w:fldChar w:fldCharType="separate"/>
      </w:r>
      <w:r w:rsidRPr="002F19CF">
        <w:rPr>
          <w:b/>
          <w:noProof/>
          <w:sz w:val="24"/>
          <w:szCs w:val="24"/>
        </w:rPr>
        <w:t>RAN4</w:t>
      </w:r>
      <w:r w:rsidRPr="002F19CF">
        <w:rPr>
          <w:b/>
          <w:noProof/>
          <w:sz w:val="24"/>
          <w:szCs w:val="24"/>
        </w:rPr>
        <w:fldChar w:fldCharType="end"/>
      </w:r>
      <w:r w:rsidRPr="002F19CF">
        <w:rPr>
          <w:b/>
          <w:noProof/>
          <w:sz w:val="24"/>
          <w:szCs w:val="24"/>
        </w:rPr>
        <w:t xml:space="preserve"> Meeting #</w:t>
      </w:r>
      <w:r w:rsidRPr="002F19CF">
        <w:rPr>
          <w:b/>
          <w:sz w:val="24"/>
          <w:szCs w:val="24"/>
        </w:rPr>
        <w:t>112-bis</w:t>
      </w:r>
      <w:r w:rsidRPr="002F19CF">
        <w:rPr>
          <w:b/>
          <w:i/>
          <w:noProof/>
          <w:sz w:val="24"/>
          <w:szCs w:val="24"/>
        </w:rPr>
        <w:tab/>
      </w:r>
      <w:r w:rsidRPr="002F19CF">
        <w:rPr>
          <w:rFonts w:cs="Arial"/>
          <w:b/>
          <w:sz w:val="24"/>
          <w:szCs w:val="24"/>
          <w:lang w:eastAsia="zh-CN"/>
        </w:rPr>
        <w:t>R4-2415893</w:t>
      </w:r>
    </w:p>
    <w:p w14:paraId="62BD7B0A" w14:textId="77777777" w:rsidR="002F19CF" w:rsidRPr="002F19CF" w:rsidRDefault="002F19CF" w:rsidP="002F19CF">
      <w:pPr>
        <w:pStyle w:val="Header"/>
        <w:tabs>
          <w:tab w:val="right" w:pos="9781"/>
          <w:tab w:val="right" w:pos="13323"/>
        </w:tabs>
        <w:spacing w:before="60" w:after="60"/>
        <w:outlineLvl w:val="0"/>
        <w:rPr>
          <w:rFonts w:cs="Arial"/>
          <w:b/>
          <w:sz w:val="24"/>
          <w:szCs w:val="24"/>
          <w:lang w:eastAsia="zh-CN"/>
        </w:rPr>
      </w:pPr>
      <w:r w:rsidRPr="002F19CF">
        <w:rPr>
          <w:rFonts w:cs="Arial"/>
          <w:b/>
          <w:sz w:val="24"/>
          <w:szCs w:val="24"/>
          <w:lang w:eastAsia="zh-CN"/>
        </w:rPr>
        <w:t>Hefei China, 14</w:t>
      </w:r>
      <w:r w:rsidRPr="002F19CF">
        <w:rPr>
          <w:rFonts w:cs="Arial"/>
          <w:b/>
          <w:sz w:val="24"/>
          <w:szCs w:val="24"/>
          <w:vertAlign w:val="superscript"/>
          <w:lang w:eastAsia="zh-CN"/>
        </w:rPr>
        <w:t>th</w:t>
      </w:r>
      <w:r w:rsidRPr="002F19CF">
        <w:rPr>
          <w:rFonts w:cs="Arial"/>
          <w:b/>
          <w:sz w:val="24"/>
          <w:szCs w:val="24"/>
          <w:lang w:eastAsia="zh-CN"/>
        </w:rPr>
        <w:t xml:space="preserve"> – 18</w:t>
      </w:r>
      <w:r w:rsidRPr="002F19CF">
        <w:rPr>
          <w:rFonts w:cs="Arial"/>
          <w:b/>
          <w:sz w:val="24"/>
          <w:szCs w:val="24"/>
          <w:vertAlign w:val="superscript"/>
          <w:lang w:eastAsia="zh-CN"/>
        </w:rPr>
        <w:t>th</w:t>
      </w:r>
      <w:r w:rsidRPr="002F19CF">
        <w:rPr>
          <w:rFonts w:cs="Arial"/>
          <w:b/>
          <w:sz w:val="24"/>
          <w:szCs w:val="24"/>
          <w:lang w:eastAsia="zh-CN"/>
        </w:rPr>
        <w:t xml:space="preserve"> October, 2024</w:t>
      </w:r>
    </w:p>
    <w:p w14:paraId="1A262672" w14:textId="77777777" w:rsidR="002F19CF" w:rsidRPr="002F19CF" w:rsidRDefault="002F19CF" w:rsidP="002F19CF">
      <w:pPr>
        <w:pStyle w:val="Header"/>
        <w:rPr>
          <w:b/>
          <w:sz w:val="24"/>
        </w:rPr>
      </w:pPr>
    </w:p>
    <w:p w14:paraId="449DA7E6" w14:textId="77777777" w:rsidR="002F19CF" w:rsidRPr="002F19CF" w:rsidRDefault="002F19CF" w:rsidP="002F19CF">
      <w:pPr>
        <w:tabs>
          <w:tab w:val="left" w:pos="1985"/>
        </w:tabs>
        <w:rPr>
          <w:rFonts w:ascii="Arial" w:hAnsi="Arial"/>
          <w:b/>
          <w:sz w:val="24"/>
          <w:lang w:val="en-US"/>
        </w:rPr>
      </w:pPr>
      <w:r w:rsidRPr="002F19CF">
        <w:rPr>
          <w:rFonts w:ascii="Arial" w:hAnsi="Arial"/>
          <w:b/>
          <w:sz w:val="24"/>
          <w:lang w:val="en-US"/>
        </w:rPr>
        <w:t xml:space="preserve">Source: </w:t>
      </w:r>
      <w:r w:rsidRPr="002F19CF">
        <w:rPr>
          <w:rFonts w:ascii="Arial" w:hAnsi="Arial"/>
          <w:b/>
          <w:sz w:val="24"/>
          <w:lang w:val="en-US"/>
        </w:rPr>
        <w:tab/>
        <w:t>Qualcomm Incorporated</w:t>
      </w:r>
    </w:p>
    <w:p w14:paraId="6F3EFD24" w14:textId="51F68AC5" w:rsidR="002F19CF" w:rsidRPr="002F19CF" w:rsidRDefault="002F19CF" w:rsidP="002F19CF">
      <w:pPr>
        <w:tabs>
          <w:tab w:val="left" w:pos="1985"/>
        </w:tabs>
        <w:rPr>
          <w:rFonts w:ascii="Arial" w:hAnsi="Arial"/>
          <w:b/>
          <w:sz w:val="24"/>
          <w:lang w:val="en-US"/>
        </w:rPr>
      </w:pPr>
      <w:bookmarkStart w:id="0" w:name="Title"/>
      <w:bookmarkStart w:id="1" w:name="DocumentFor"/>
      <w:bookmarkEnd w:id="0"/>
      <w:bookmarkEnd w:id="1"/>
      <w:r w:rsidRPr="002F19CF">
        <w:rPr>
          <w:rFonts w:ascii="Arial" w:hAnsi="Arial"/>
          <w:b/>
          <w:sz w:val="24"/>
          <w:lang w:val="en-US"/>
        </w:rPr>
        <w:t xml:space="preserve">Title: </w:t>
      </w:r>
      <w:r w:rsidRPr="002F19CF">
        <w:rPr>
          <w:rFonts w:ascii="Arial" w:hAnsi="Arial"/>
          <w:b/>
          <w:sz w:val="24"/>
          <w:lang w:val="en-US"/>
        </w:rPr>
        <w:tab/>
      </w:r>
      <w:r w:rsidRPr="002F19CF">
        <w:rPr>
          <w:rFonts w:ascii="Arial" w:eastAsiaTheme="minorEastAsia" w:hAnsi="Arial" w:cs="Arial"/>
          <w:b/>
          <w:noProof/>
          <w:sz w:val="24"/>
          <w:szCs w:val="24"/>
          <w:lang w:val="sv-SE"/>
        </w:rPr>
        <w:t>RRM Core Requirements for AI/ML Beam Management</w:t>
      </w:r>
    </w:p>
    <w:p w14:paraId="5E823F12" w14:textId="746F8FEB" w:rsidR="002F19CF" w:rsidRPr="002F19CF" w:rsidRDefault="002F19CF" w:rsidP="002F19CF">
      <w:pPr>
        <w:tabs>
          <w:tab w:val="left" w:pos="1985"/>
        </w:tabs>
        <w:rPr>
          <w:rFonts w:ascii="Arial" w:hAnsi="Arial"/>
          <w:b/>
          <w:sz w:val="24"/>
          <w:lang w:val="en-US"/>
        </w:rPr>
      </w:pPr>
      <w:r w:rsidRPr="002F19CF">
        <w:rPr>
          <w:rFonts w:ascii="Arial" w:hAnsi="Arial"/>
          <w:b/>
          <w:sz w:val="24"/>
          <w:lang w:val="en-US"/>
        </w:rPr>
        <w:t>Agenda item:</w:t>
      </w:r>
      <w:r w:rsidRPr="002F19CF">
        <w:rPr>
          <w:rFonts w:ascii="Arial" w:hAnsi="Arial"/>
          <w:b/>
          <w:sz w:val="24"/>
          <w:lang w:val="en-US"/>
        </w:rPr>
        <w:tab/>
      </w:r>
      <w:r w:rsidRPr="002F19CF">
        <w:rPr>
          <w:rFonts w:ascii="Arial" w:eastAsiaTheme="minorEastAsia" w:hAnsi="Arial" w:cs="Arial" w:hint="eastAsia"/>
          <w:b/>
          <w:noProof/>
          <w:sz w:val="24"/>
          <w:szCs w:val="24"/>
          <w:lang w:val="sv-SE"/>
        </w:rPr>
        <w:t>6.</w:t>
      </w:r>
      <w:r w:rsidRPr="002F19CF">
        <w:rPr>
          <w:rFonts w:ascii="Arial" w:eastAsiaTheme="minorEastAsia" w:hAnsi="Arial" w:cs="Arial" w:hint="eastAsia"/>
          <w:b/>
          <w:noProof/>
          <w:sz w:val="24"/>
          <w:szCs w:val="24"/>
          <w:lang w:val="sv-SE" w:eastAsia="zh-CN"/>
        </w:rPr>
        <w:t>17</w:t>
      </w:r>
      <w:r w:rsidRPr="002F19CF">
        <w:rPr>
          <w:rFonts w:ascii="Arial" w:eastAsiaTheme="minorEastAsia" w:hAnsi="Arial" w:cs="Arial" w:hint="eastAsia"/>
          <w:b/>
          <w:noProof/>
          <w:sz w:val="24"/>
          <w:szCs w:val="24"/>
          <w:lang w:val="sv-SE"/>
        </w:rPr>
        <w:t>.</w:t>
      </w:r>
      <w:r w:rsidRPr="002F19CF">
        <w:rPr>
          <w:rFonts w:ascii="Arial" w:eastAsiaTheme="minorEastAsia" w:hAnsi="Arial" w:cs="Arial" w:hint="eastAsia"/>
          <w:b/>
          <w:noProof/>
          <w:sz w:val="24"/>
          <w:szCs w:val="24"/>
          <w:lang w:val="sv-SE" w:eastAsia="zh-CN"/>
        </w:rPr>
        <w:t>4</w:t>
      </w:r>
      <w:r w:rsidRPr="002F19CF">
        <w:rPr>
          <w:rFonts w:ascii="Arial" w:eastAsiaTheme="minorEastAsia" w:hAnsi="Arial" w:cs="Arial" w:hint="eastAsia"/>
          <w:b/>
          <w:noProof/>
          <w:sz w:val="24"/>
          <w:szCs w:val="24"/>
          <w:lang w:val="sv-SE"/>
        </w:rPr>
        <w:t>.</w:t>
      </w:r>
      <w:r w:rsidRPr="002F19CF">
        <w:rPr>
          <w:rFonts w:ascii="Arial" w:eastAsiaTheme="minorEastAsia" w:hAnsi="Arial" w:cs="Arial"/>
          <w:b/>
          <w:noProof/>
          <w:sz w:val="24"/>
          <w:szCs w:val="24"/>
          <w:lang w:val="sv-SE"/>
        </w:rPr>
        <w:t>1</w:t>
      </w:r>
    </w:p>
    <w:p w14:paraId="45BA6C15" w14:textId="77777777" w:rsidR="002F19CF" w:rsidRPr="002F19CF" w:rsidRDefault="002F19CF" w:rsidP="002F19CF">
      <w:pPr>
        <w:tabs>
          <w:tab w:val="left" w:pos="1985"/>
        </w:tabs>
        <w:rPr>
          <w:rFonts w:ascii="Arial" w:hAnsi="Arial"/>
          <w:b/>
          <w:sz w:val="24"/>
          <w:lang w:val="en-US"/>
        </w:rPr>
      </w:pPr>
      <w:r w:rsidRPr="002F19CF">
        <w:rPr>
          <w:rFonts w:ascii="Arial" w:hAnsi="Arial"/>
          <w:b/>
          <w:sz w:val="24"/>
          <w:lang w:val="en-US"/>
        </w:rPr>
        <w:t>Document for:</w:t>
      </w:r>
      <w:r w:rsidRPr="002F19CF">
        <w:rPr>
          <w:rFonts w:ascii="Arial" w:hAnsi="Arial"/>
          <w:b/>
          <w:sz w:val="24"/>
          <w:lang w:val="en-US"/>
        </w:rPr>
        <w:tab/>
        <w:t>Discussion</w:t>
      </w:r>
    </w:p>
    <w:p w14:paraId="1BD1339A" w14:textId="77777777" w:rsidR="002F19CF" w:rsidRDefault="002F19CF" w:rsidP="002F19CF">
      <w:pPr>
        <w:pStyle w:val="Heading1"/>
        <w:tabs>
          <w:tab w:val="num" w:pos="522"/>
        </w:tabs>
        <w:ind w:left="522" w:hanging="522"/>
        <w:rPr>
          <w:lang w:val="en-US"/>
        </w:rPr>
      </w:pPr>
      <w:r>
        <w:rPr>
          <w:lang w:val="en-US"/>
        </w:rPr>
        <w:t>Introduction</w:t>
      </w:r>
    </w:p>
    <w:p w14:paraId="7C8E5FB1" w14:textId="3D4691B1" w:rsidR="002F19CF" w:rsidRPr="002F19CF" w:rsidRDefault="002F19CF" w:rsidP="002F19CF">
      <w:pPr>
        <w:rPr>
          <w:lang w:val="en-US"/>
        </w:rPr>
      </w:pPr>
      <w:r>
        <w:rPr>
          <w:lang w:val="en-US"/>
        </w:rPr>
        <w:t>This paper focuses on RRM core requirements for AI/ML based beam management.</w:t>
      </w:r>
    </w:p>
    <w:tbl>
      <w:tblPr>
        <w:tblStyle w:val="TableGrid"/>
        <w:tblW w:w="0" w:type="auto"/>
        <w:tblLook w:val="04A0" w:firstRow="1" w:lastRow="0" w:firstColumn="1" w:lastColumn="0" w:noHBand="0" w:noVBand="1"/>
      </w:tblPr>
      <w:tblGrid>
        <w:gridCol w:w="9350"/>
      </w:tblGrid>
      <w:tr w:rsidR="002F19CF" w14:paraId="0EC5387A" w14:textId="77777777" w:rsidTr="000D64F9">
        <w:tc>
          <w:tcPr>
            <w:tcW w:w="9350" w:type="dxa"/>
          </w:tcPr>
          <w:p w14:paraId="7CFA0A06" w14:textId="77777777" w:rsidR="002F19CF" w:rsidRPr="00EA2027" w:rsidRDefault="002F19CF" w:rsidP="000D64F9">
            <w:pPr>
              <w:rPr>
                <w:rFonts w:eastAsia="Yu Mincho"/>
                <w:iCs/>
                <w:lang w:eastAsia="ja-JP"/>
              </w:rPr>
            </w:pPr>
            <w:r w:rsidRPr="00EA2027">
              <w:rPr>
                <w:rFonts w:eastAsia="Yu Mincho" w:hint="eastAsia"/>
                <w:iCs/>
                <w:highlight w:val="green"/>
                <w:lang w:eastAsia="ja-JP"/>
              </w:rPr>
              <w:t>Agreement:</w:t>
            </w:r>
          </w:p>
          <w:p w14:paraId="1F5F8AC8" w14:textId="77777777" w:rsidR="002F19CF" w:rsidRPr="00EA2027" w:rsidRDefault="002F19CF" w:rsidP="000D64F9">
            <w:pPr>
              <w:spacing w:after="120"/>
              <w:rPr>
                <w:rFonts w:eastAsia="Yu Mincho"/>
                <w:iCs/>
                <w:lang w:eastAsia="ja-JP"/>
              </w:rPr>
            </w:pPr>
            <w:r w:rsidRPr="00EA2027">
              <w:rPr>
                <w:rFonts w:eastAsia="Yu Mincho"/>
                <w:iCs/>
                <w:lang w:eastAsia="ja-JP"/>
              </w:rPr>
              <w:t xml:space="preserve">RAN4 </w:t>
            </w:r>
            <w:r w:rsidRPr="00EA2027">
              <w:rPr>
                <w:rFonts w:eastAsia="Yu Mincho" w:hint="eastAsia"/>
                <w:iCs/>
                <w:lang w:eastAsia="ja-JP"/>
              </w:rPr>
              <w:t xml:space="preserve">will </w:t>
            </w:r>
            <w:r w:rsidRPr="00EA2027">
              <w:rPr>
                <w:rFonts w:eastAsia="Yu Mincho"/>
                <w:iCs/>
                <w:lang w:eastAsia="ja-JP"/>
              </w:rPr>
              <w:t>study the impact of measurement error</w:t>
            </w:r>
            <w:r w:rsidRPr="00EA2027">
              <w:rPr>
                <w:rFonts w:eastAsia="Yu Mincho" w:hint="eastAsia"/>
                <w:iCs/>
                <w:lang w:eastAsia="ja-JP"/>
              </w:rPr>
              <w:t xml:space="preserve"> for the input to inference and dataset for training(set B measurement error) on prediction accuracy</w:t>
            </w:r>
            <w:r w:rsidRPr="00EA2027">
              <w:rPr>
                <w:rFonts w:eastAsia="Yu Mincho"/>
                <w:iCs/>
                <w:lang w:eastAsia="ja-JP"/>
              </w:rPr>
              <w:t>, companies should bring proposals on how to proceed with such a study</w:t>
            </w:r>
            <w:r w:rsidRPr="00EA2027">
              <w:rPr>
                <w:rFonts w:eastAsia="Yu Mincho" w:hint="eastAsia"/>
                <w:iCs/>
                <w:lang w:eastAsia="ja-JP"/>
              </w:rPr>
              <w:t>.</w:t>
            </w:r>
          </w:p>
          <w:p w14:paraId="2F5BE536" w14:textId="77777777" w:rsidR="002F19CF" w:rsidRPr="00EA2027" w:rsidRDefault="002F19CF" w:rsidP="000D64F9">
            <w:pPr>
              <w:spacing w:after="120"/>
              <w:rPr>
                <w:rFonts w:eastAsia="Yu Mincho"/>
                <w:iCs/>
                <w:lang w:eastAsia="ja-JP"/>
              </w:rPr>
            </w:pPr>
            <w:r w:rsidRPr="00EA2027">
              <w:rPr>
                <w:rFonts w:eastAsia="Yu Mincho"/>
                <w:iCs/>
                <w:lang w:eastAsia="ja-JP"/>
              </w:rPr>
              <w:tab/>
            </w:r>
            <w:r w:rsidRPr="00EA2027">
              <w:rPr>
                <w:rFonts w:eastAsia="Yu Mincho" w:hint="eastAsia"/>
                <w:iCs/>
                <w:lang w:eastAsia="ja-JP"/>
              </w:rPr>
              <w:t>impact on different prediction accuracy metrics should be taken into account</w:t>
            </w:r>
          </w:p>
          <w:p w14:paraId="73751830" w14:textId="77777777" w:rsidR="002F19CF" w:rsidRPr="00EA2027" w:rsidRDefault="002F19CF" w:rsidP="000D64F9">
            <w:pPr>
              <w:spacing w:after="120"/>
              <w:rPr>
                <w:rFonts w:eastAsia="Yu Mincho"/>
                <w:iCs/>
                <w:lang w:eastAsia="ja-JP"/>
              </w:rPr>
            </w:pPr>
            <w:r w:rsidRPr="00EA2027">
              <w:rPr>
                <w:rFonts w:eastAsia="Yu Mincho"/>
                <w:iCs/>
                <w:lang w:eastAsia="ja-JP"/>
              </w:rPr>
              <w:tab/>
            </w:r>
            <w:r w:rsidRPr="00EA2027">
              <w:rPr>
                <w:rFonts w:eastAsia="Yu Mincho" w:hint="eastAsia"/>
                <w:iCs/>
                <w:lang w:eastAsia="ja-JP"/>
              </w:rPr>
              <w:t>studies already performance by other groups(RAN1) could also be taken into account</w:t>
            </w:r>
          </w:p>
          <w:p w14:paraId="6E2DE5E4" w14:textId="77777777" w:rsidR="002F19CF" w:rsidRPr="00060414" w:rsidRDefault="002F19CF" w:rsidP="000D64F9">
            <w:pPr>
              <w:spacing w:after="120"/>
              <w:rPr>
                <w:rFonts w:eastAsia="Yu Mincho"/>
                <w:iCs/>
                <w:lang w:eastAsia="ja-JP"/>
              </w:rPr>
            </w:pPr>
            <w:r w:rsidRPr="00EA2027">
              <w:rPr>
                <w:rFonts w:eastAsia="Yu Mincho" w:hint="eastAsia"/>
                <w:iCs/>
                <w:lang w:eastAsia="ja-JP"/>
              </w:rPr>
              <w:t>Note: intention of the study is just to understand the impact of measurement error on prediction accuracy.</w:t>
            </w:r>
          </w:p>
          <w:p w14:paraId="71D950CA" w14:textId="77777777" w:rsidR="002F19CF" w:rsidRDefault="002F19CF" w:rsidP="000D64F9">
            <w:pPr>
              <w:rPr>
                <w:rFonts w:eastAsia="Yu Mincho"/>
                <w:lang w:eastAsia="ja-JP"/>
              </w:rPr>
            </w:pPr>
          </w:p>
          <w:p w14:paraId="38FD440D" w14:textId="77777777" w:rsidR="002F19CF" w:rsidRPr="00EA2027" w:rsidRDefault="002F19CF" w:rsidP="000D64F9">
            <w:pPr>
              <w:rPr>
                <w:b/>
                <w:u w:val="single"/>
                <w:lang w:eastAsia="ko-KR"/>
              </w:rPr>
            </w:pPr>
            <w:r w:rsidRPr="00EA2027">
              <w:rPr>
                <w:b/>
                <w:u w:val="single"/>
                <w:lang w:eastAsia="ko-KR"/>
              </w:rPr>
              <w:t>Issue 2-</w:t>
            </w:r>
            <w:r w:rsidRPr="00EA2027">
              <w:rPr>
                <w:rFonts w:eastAsia="Yu Mincho" w:hint="eastAsia"/>
                <w:b/>
                <w:u w:val="single"/>
                <w:lang w:eastAsia="ja-JP"/>
              </w:rPr>
              <w:t>8</w:t>
            </w:r>
            <w:r w:rsidRPr="00EA2027">
              <w:rPr>
                <w:b/>
                <w:u w:val="single"/>
                <w:lang w:eastAsia="ko-KR"/>
              </w:rPr>
              <w:t>:</w:t>
            </w:r>
            <w:r w:rsidRPr="00EA2027">
              <w:rPr>
                <w:rFonts w:eastAsia="Yu Mincho" w:hint="eastAsia"/>
                <w:b/>
                <w:u w:val="single"/>
                <w:lang w:eastAsia="ja-JP"/>
              </w:rPr>
              <w:t xml:space="preserve">Beam prediction and TCI state related issues </w:t>
            </w:r>
          </w:p>
          <w:p w14:paraId="67288B80" w14:textId="77777777" w:rsidR="002F19CF" w:rsidRPr="00EA2027" w:rsidRDefault="002F19CF" w:rsidP="002F19CF">
            <w:pPr>
              <w:pStyle w:val="ListParagraph"/>
              <w:numPr>
                <w:ilvl w:val="0"/>
                <w:numId w:val="3"/>
              </w:numPr>
              <w:spacing w:after="120"/>
              <w:ind w:left="720"/>
              <w:contextualSpacing w:val="0"/>
              <w:rPr>
                <w:szCs w:val="24"/>
              </w:rPr>
            </w:pPr>
            <w:r w:rsidRPr="00EA2027">
              <w:rPr>
                <w:szCs w:val="24"/>
              </w:rPr>
              <w:t>Proposals</w:t>
            </w:r>
          </w:p>
          <w:p w14:paraId="197C931B" w14:textId="77777777" w:rsidR="002F19CF" w:rsidRPr="00EA2027" w:rsidRDefault="002F19CF" w:rsidP="002F19CF">
            <w:pPr>
              <w:pStyle w:val="ListParagraph"/>
              <w:numPr>
                <w:ilvl w:val="1"/>
                <w:numId w:val="3"/>
              </w:numPr>
              <w:spacing w:after="120"/>
              <w:ind w:left="1440"/>
              <w:contextualSpacing w:val="0"/>
              <w:rPr>
                <w:szCs w:val="24"/>
              </w:rPr>
            </w:pPr>
            <w:r w:rsidRPr="00EA2027">
              <w:rPr>
                <w:szCs w:val="24"/>
              </w:rPr>
              <w:t>Option 1:</w:t>
            </w:r>
            <w:r w:rsidRPr="00EA2027">
              <w:rPr>
                <w:rFonts w:eastAsia="Yu Mincho" w:hint="eastAsia"/>
                <w:szCs w:val="24"/>
                <w:lang w:eastAsia="ja-JP"/>
              </w:rPr>
              <w:t xml:space="preserve"> Tx beam prediction does not imply that UE knows the best UE Rx beam to receive the predicted beam</w:t>
            </w:r>
          </w:p>
          <w:p w14:paraId="5B2431F9" w14:textId="77777777" w:rsidR="002F19CF" w:rsidRPr="00EA2027" w:rsidRDefault="002F19CF" w:rsidP="002F19CF">
            <w:pPr>
              <w:pStyle w:val="ListParagraph"/>
              <w:numPr>
                <w:ilvl w:val="2"/>
                <w:numId w:val="3"/>
              </w:numPr>
              <w:spacing w:after="120"/>
              <w:ind w:left="2376"/>
              <w:contextualSpacing w:val="0"/>
              <w:rPr>
                <w:szCs w:val="24"/>
              </w:rPr>
            </w:pPr>
            <w:r w:rsidRPr="00EA2027">
              <w:rPr>
                <w:rFonts w:eastAsia="Yu Mincho" w:hint="eastAsia"/>
                <w:szCs w:val="24"/>
                <w:lang w:eastAsia="ja-JP"/>
              </w:rPr>
              <w:t xml:space="preserve">TCI state for the predicted beam is unknown unless it has been explicitly measured within 1280ms </w:t>
            </w:r>
          </w:p>
          <w:p w14:paraId="169DFC05" w14:textId="77777777" w:rsidR="002F19CF" w:rsidRPr="00EA2027" w:rsidRDefault="002F19CF" w:rsidP="002F19CF">
            <w:pPr>
              <w:pStyle w:val="ListParagraph"/>
              <w:numPr>
                <w:ilvl w:val="1"/>
                <w:numId w:val="3"/>
              </w:numPr>
              <w:spacing w:after="120"/>
              <w:ind w:left="1418" w:hanging="284"/>
              <w:contextualSpacing w:val="0"/>
              <w:rPr>
                <w:szCs w:val="24"/>
              </w:rPr>
            </w:pPr>
            <w:r w:rsidRPr="00EA2027">
              <w:rPr>
                <w:szCs w:val="24"/>
              </w:rPr>
              <w:t>Option 2:</w:t>
            </w:r>
            <w:r w:rsidRPr="00EA2027">
              <w:rPr>
                <w:rFonts w:eastAsia="Yu Mincho" w:hint="eastAsia"/>
                <w:szCs w:val="24"/>
                <w:lang w:eastAsia="ja-JP"/>
              </w:rPr>
              <w:t xml:space="preserve"> UE knows the Rx beam </w:t>
            </w:r>
            <w:r w:rsidRPr="00EA2027">
              <w:rPr>
                <w:rFonts w:eastAsia="Yu Mincho"/>
                <w:szCs w:val="24"/>
                <w:lang w:eastAsia="ja-JP"/>
              </w:rPr>
              <w:t>paired</w:t>
            </w:r>
            <w:r w:rsidRPr="00EA2027">
              <w:rPr>
                <w:rFonts w:eastAsia="Yu Mincho" w:hint="eastAsia"/>
                <w:szCs w:val="24"/>
                <w:lang w:eastAsia="ja-JP"/>
              </w:rPr>
              <w:t xml:space="preserve"> with the predicted Tx beam</w:t>
            </w:r>
          </w:p>
          <w:p w14:paraId="45DA0822" w14:textId="77777777" w:rsidR="002F19CF" w:rsidRPr="00EA2027" w:rsidRDefault="002F19CF" w:rsidP="002F19CF">
            <w:pPr>
              <w:pStyle w:val="ListParagraph"/>
              <w:numPr>
                <w:ilvl w:val="2"/>
                <w:numId w:val="3"/>
              </w:numPr>
              <w:spacing w:after="120"/>
              <w:ind w:left="2376"/>
              <w:contextualSpacing w:val="0"/>
              <w:rPr>
                <w:szCs w:val="24"/>
              </w:rPr>
            </w:pPr>
            <w:r w:rsidRPr="00EA2027">
              <w:rPr>
                <w:rFonts w:eastAsia="Yu Mincho" w:hint="eastAsia"/>
                <w:szCs w:val="24"/>
                <w:lang w:eastAsia="ja-JP"/>
              </w:rPr>
              <w:t xml:space="preserve">FFS </w:t>
            </w:r>
            <w:r w:rsidRPr="00EA2027">
              <w:rPr>
                <w:rFonts w:eastAsia="Yu Mincho"/>
                <w:szCs w:val="24"/>
                <w:lang w:eastAsia="ja-JP"/>
              </w:rPr>
              <w:t>whether</w:t>
            </w:r>
            <w:r w:rsidRPr="00EA2027">
              <w:rPr>
                <w:rFonts w:eastAsia="Yu Mincho" w:hint="eastAsia"/>
                <w:szCs w:val="24"/>
                <w:lang w:eastAsia="ja-JP"/>
              </w:rPr>
              <w:t xml:space="preserve"> the TCI state associated with a predicted Tx beam is known or unknown</w:t>
            </w:r>
          </w:p>
          <w:p w14:paraId="5876E2A8" w14:textId="77777777" w:rsidR="002F19CF" w:rsidRPr="00EA2027" w:rsidRDefault="002F19CF" w:rsidP="002F19CF">
            <w:pPr>
              <w:pStyle w:val="ListParagraph"/>
              <w:numPr>
                <w:ilvl w:val="1"/>
                <w:numId w:val="3"/>
              </w:numPr>
              <w:spacing w:after="120"/>
              <w:ind w:left="1418" w:hanging="284"/>
              <w:contextualSpacing w:val="0"/>
              <w:rPr>
                <w:szCs w:val="24"/>
              </w:rPr>
            </w:pPr>
            <w:r w:rsidRPr="00EA2027">
              <w:rPr>
                <w:szCs w:val="24"/>
              </w:rPr>
              <w:t>Option 3:</w:t>
            </w:r>
            <w:r w:rsidRPr="00EA2027">
              <w:rPr>
                <w:rFonts w:eastAsia="Yu Mincho" w:hint="eastAsia"/>
                <w:szCs w:val="24"/>
                <w:lang w:eastAsia="ja-JP"/>
              </w:rPr>
              <w:t xml:space="preserve"> UE knows the Rx beam </w:t>
            </w:r>
            <w:r w:rsidRPr="00EA2027">
              <w:rPr>
                <w:rFonts w:eastAsia="Yu Mincho"/>
                <w:szCs w:val="24"/>
                <w:lang w:eastAsia="ja-JP"/>
              </w:rPr>
              <w:t>paired</w:t>
            </w:r>
            <w:r w:rsidRPr="00EA2027">
              <w:rPr>
                <w:rFonts w:eastAsia="Yu Mincho" w:hint="eastAsia"/>
                <w:szCs w:val="24"/>
                <w:lang w:eastAsia="ja-JP"/>
              </w:rPr>
              <w:t xml:space="preserve"> with the predicted Tx beam</w:t>
            </w:r>
          </w:p>
          <w:p w14:paraId="63E22CDB" w14:textId="77777777" w:rsidR="002F19CF" w:rsidRPr="00EA2027" w:rsidRDefault="002F19CF" w:rsidP="002F19CF">
            <w:pPr>
              <w:pStyle w:val="ListParagraph"/>
              <w:numPr>
                <w:ilvl w:val="2"/>
                <w:numId w:val="3"/>
              </w:numPr>
              <w:spacing w:after="120"/>
              <w:ind w:left="2376"/>
              <w:contextualSpacing w:val="0"/>
              <w:rPr>
                <w:szCs w:val="24"/>
              </w:rPr>
            </w:pPr>
            <w:r w:rsidRPr="00EA2027">
              <w:rPr>
                <w:rFonts w:eastAsia="Yu Mincho" w:hint="eastAsia"/>
                <w:szCs w:val="24"/>
                <w:lang w:eastAsia="ja-JP"/>
              </w:rPr>
              <w:t xml:space="preserve">TCI state </w:t>
            </w:r>
            <w:r w:rsidRPr="00EA2027">
              <w:rPr>
                <w:rFonts w:eastAsia="Yu Mincho"/>
                <w:szCs w:val="24"/>
                <w:lang w:eastAsia="ja-JP"/>
              </w:rPr>
              <w:t>should</w:t>
            </w:r>
            <w:r w:rsidRPr="00EA2027">
              <w:rPr>
                <w:rFonts w:eastAsia="Yu Mincho" w:hint="eastAsia"/>
                <w:szCs w:val="24"/>
                <w:lang w:eastAsia="ja-JP"/>
              </w:rPr>
              <w:t xml:space="preserve"> be considered known , FFS whether side conditions for known TCI state should be modified (relaxed) for this case</w:t>
            </w:r>
          </w:p>
          <w:p w14:paraId="76DFC7FD" w14:textId="77777777" w:rsidR="002F19CF" w:rsidRPr="00EA2027" w:rsidRDefault="002F19CF" w:rsidP="002F19CF">
            <w:pPr>
              <w:pStyle w:val="ListParagraph"/>
              <w:numPr>
                <w:ilvl w:val="1"/>
                <w:numId w:val="3"/>
              </w:numPr>
              <w:spacing w:after="120"/>
              <w:ind w:left="1440"/>
              <w:contextualSpacing w:val="0"/>
              <w:rPr>
                <w:szCs w:val="24"/>
              </w:rPr>
            </w:pPr>
            <w:r w:rsidRPr="00EA2027">
              <w:rPr>
                <w:rFonts w:eastAsia="Yu Mincho" w:hint="eastAsia"/>
                <w:szCs w:val="24"/>
                <w:lang w:eastAsia="ja-JP"/>
              </w:rPr>
              <w:t>Option 4: others</w:t>
            </w:r>
          </w:p>
          <w:p w14:paraId="02082D79" w14:textId="77777777" w:rsidR="002F19CF" w:rsidRPr="00827AB9" w:rsidRDefault="002F19CF" w:rsidP="000D64F9">
            <w:pPr>
              <w:rPr>
                <w:rFonts w:eastAsiaTheme="minorEastAsia"/>
              </w:rPr>
            </w:pPr>
          </w:p>
        </w:tc>
      </w:tr>
    </w:tbl>
    <w:p w14:paraId="36FF55E1" w14:textId="77777777" w:rsidR="002F19CF" w:rsidRDefault="002F19CF" w:rsidP="002F19CF">
      <w:pPr>
        <w:rPr>
          <w:lang w:val="en-US"/>
        </w:rPr>
      </w:pPr>
    </w:p>
    <w:p w14:paraId="5EC057DA" w14:textId="4565851A" w:rsidR="00AA1C79" w:rsidRPr="00577056" w:rsidRDefault="00AA1C79" w:rsidP="00AA1C79">
      <w:r>
        <w:t xml:space="preserve">3GPP studied different performance metrics for AI/ML based beam management during study item discussion. These metrics are captured in </w:t>
      </w:r>
      <w:r w:rsidR="004411D0">
        <w:t>[4]</w:t>
      </w:r>
      <w:r>
        <w:t>:</w:t>
      </w:r>
    </w:p>
    <w:tbl>
      <w:tblPr>
        <w:tblStyle w:val="TableGrid"/>
        <w:tblW w:w="0" w:type="auto"/>
        <w:tblLook w:val="04A0" w:firstRow="1" w:lastRow="0" w:firstColumn="1" w:lastColumn="0" w:noHBand="0" w:noVBand="1"/>
      </w:tblPr>
      <w:tblGrid>
        <w:gridCol w:w="9617"/>
      </w:tblGrid>
      <w:tr w:rsidR="00AA1C79" w:rsidRPr="001D0EB6" w14:paraId="0B98CD47" w14:textId="77777777" w:rsidTr="000D64F9">
        <w:tc>
          <w:tcPr>
            <w:tcW w:w="9617" w:type="dxa"/>
          </w:tcPr>
          <w:p w14:paraId="1E3A5F65" w14:textId="42F8293A" w:rsidR="00E86A80" w:rsidRPr="00F41B7E" w:rsidRDefault="00E86A80" w:rsidP="00F41B7E">
            <w:pPr>
              <w:pStyle w:val="ListParagraph"/>
              <w:numPr>
                <w:ilvl w:val="0"/>
                <w:numId w:val="3"/>
              </w:numPr>
              <w:rPr>
                <w:lang w:val="en-US" w:eastAsia="zh-CN"/>
              </w:rPr>
            </w:pPr>
            <w:r w:rsidRPr="00F41B7E">
              <w:rPr>
                <w:lang w:eastAsia="zh-CN"/>
              </w:rPr>
              <w:t>Beam management - DL Tx beam prediction for both UE-sided model and NW-sided model, encompassing [RAN1/RAN2]:</w:t>
            </w:r>
          </w:p>
          <w:p w14:paraId="406A71D2" w14:textId="77777777" w:rsidR="00E86A80" w:rsidRPr="00E86A80" w:rsidRDefault="00E86A80" w:rsidP="00E86A80">
            <w:pPr>
              <w:numPr>
                <w:ilvl w:val="1"/>
                <w:numId w:val="8"/>
              </w:numPr>
              <w:rPr>
                <w:lang w:val="en-US" w:eastAsia="zh-CN"/>
              </w:rPr>
            </w:pPr>
            <w:r w:rsidRPr="00E86A80">
              <w:rPr>
                <w:lang w:eastAsia="zh-CN"/>
              </w:rPr>
              <w:t>Spatial-domain DL Tx beam prediction for Set A of beams based on measurement results of Set B of beams (“BM-Case1”)</w:t>
            </w:r>
          </w:p>
          <w:p w14:paraId="4E9D4DBF" w14:textId="77777777" w:rsidR="00E86A80" w:rsidRPr="00E86A80" w:rsidRDefault="00E86A80" w:rsidP="00E86A80">
            <w:pPr>
              <w:numPr>
                <w:ilvl w:val="1"/>
                <w:numId w:val="8"/>
              </w:numPr>
              <w:rPr>
                <w:lang w:val="en-US" w:eastAsia="zh-CN"/>
              </w:rPr>
            </w:pPr>
            <w:r w:rsidRPr="00E86A80">
              <w:rPr>
                <w:lang w:eastAsia="zh-CN"/>
              </w:rPr>
              <w:t>Temporal DL Tx beam prediction for Set A of beams based on the historic measurement results of Set B of beams (“BM-Case2”)</w:t>
            </w:r>
          </w:p>
          <w:p w14:paraId="03BC64AB" w14:textId="77777777" w:rsidR="00E86A80" w:rsidRPr="00E86A80" w:rsidRDefault="00E86A80" w:rsidP="00E86A80">
            <w:pPr>
              <w:numPr>
                <w:ilvl w:val="1"/>
                <w:numId w:val="8"/>
              </w:numPr>
              <w:rPr>
                <w:lang w:val="en-US" w:eastAsia="zh-CN"/>
              </w:rPr>
            </w:pPr>
            <w:r w:rsidRPr="00E86A80">
              <w:rPr>
                <w:lang w:eastAsia="zh-CN"/>
              </w:rPr>
              <w:lastRenderedPageBreak/>
              <w:t>Specify necessary signalling/mechanism(s) to facilitate LCM operations specific to the Beam Management use cases, if any</w:t>
            </w:r>
          </w:p>
          <w:p w14:paraId="6D6EA426" w14:textId="77777777" w:rsidR="00E86A80" w:rsidRPr="00E86A80" w:rsidRDefault="00E86A80" w:rsidP="00E86A80">
            <w:pPr>
              <w:numPr>
                <w:ilvl w:val="1"/>
                <w:numId w:val="8"/>
              </w:numPr>
              <w:rPr>
                <w:lang w:val="en-US" w:eastAsia="zh-CN"/>
              </w:rPr>
            </w:pPr>
            <w:r w:rsidRPr="00E86A80">
              <w:rPr>
                <w:lang w:eastAsia="zh-CN"/>
              </w:rPr>
              <w:t xml:space="preserve">Enabling method(s) to ensure consistency between training and inference regarding NW-side additional conditions (if identified) for inference at UE </w:t>
            </w:r>
          </w:p>
          <w:p w14:paraId="29BB2575" w14:textId="44C09265" w:rsidR="00AA1C79" w:rsidRPr="00F72CE5" w:rsidRDefault="00E86A80" w:rsidP="000D64F9">
            <w:pPr>
              <w:numPr>
                <w:ilvl w:val="0"/>
                <w:numId w:val="9"/>
              </w:numPr>
              <w:rPr>
                <w:lang w:val="en-US" w:eastAsia="zh-CN"/>
              </w:rPr>
            </w:pPr>
            <w:r w:rsidRPr="00E86A80">
              <w:rPr>
                <w:lang w:eastAsia="zh-CN"/>
              </w:rPr>
              <w:t>NOTE: Strive for common framework design to support both BM-Case1 and BM-Case2</w:t>
            </w:r>
            <w:r w:rsidR="00AA1C79" w:rsidRPr="001D0EB6">
              <w:rPr>
                <w:lang w:eastAsia="ja-JP"/>
              </w:rPr>
              <w:t xml:space="preserve"> </w:t>
            </w:r>
          </w:p>
        </w:tc>
      </w:tr>
    </w:tbl>
    <w:p w14:paraId="12804AC0" w14:textId="77777777" w:rsidR="00AA1C79" w:rsidRDefault="00AA1C79" w:rsidP="002F19CF">
      <w:pPr>
        <w:rPr>
          <w:lang w:val="en-US"/>
        </w:rPr>
      </w:pPr>
    </w:p>
    <w:p w14:paraId="35902F46" w14:textId="391853DB" w:rsidR="00A9222C" w:rsidRPr="007648E7" w:rsidRDefault="00AB1327" w:rsidP="00A9222C">
      <w:pPr>
        <w:rPr>
          <w:lang w:val="en-US"/>
        </w:rPr>
      </w:pPr>
      <w:r>
        <w:rPr>
          <w:lang w:val="en-US"/>
        </w:rPr>
        <w:t>RAN1 made the following agreements in [5][6]:</w:t>
      </w:r>
    </w:p>
    <w:tbl>
      <w:tblPr>
        <w:tblStyle w:val="TableGrid"/>
        <w:tblW w:w="0" w:type="auto"/>
        <w:tblLook w:val="04A0" w:firstRow="1" w:lastRow="0" w:firstColumn="1" w:lastColumn="0" w:noHBand="0" w:noVBand="1"/>
      </w:tblPr>
      <w:tblGrid>
        <w:gridCol w:w="9617"/>
      </w:tblGrid>
      <w:tr w:rsidR="00A9222C" w:rsidRPr="001D0EB6" w14:paraId="3A6BE5AC" w14:textId="77777777" w:rsidTr="000D64F9">
        <w:tc>
          <w:tcPr>
            <w:tcW w:w="9617" w:type="dxa"/>
          </w:tcPr>
          <w:p w14:paraId="48D6A73C" w14:textId="7821BABD" w:rsidR="00D04C91" w:rsidRPr="00D04C91" w:rsidRDefault="00D04C91" w:rsidP="00D04C91">
            <w:pPr>
              <w:numPr>
                <w:ilvl w:val="0"/>
                <w:numId w:val="11"/>
              </w:numPr>
              <w:rPr>
                <w:lang w:val="en-US" w:eastAsia="ja-JP"/>
              </w:rPr>
            </w:pPr>
            <w:r w:rsidRPr="00D04C91">
              <w:rPr>
                <w:b/>
                <w:bCs/>
                <w:lang w:val="en-US" w:eastAsia="ja-JP"/>
              </w:rPr>
              <w:t>RAN1#117:</w:t>
            </w:r>
            <w:r w:rsidR="008F3416">
              <w:t xml:space="preserve"> </w:t>
            </w:r>
            <w:r w:rsidRPr="00D04C91">
              <w:rPr>
                <w:b/>
                <w:bCs/>
                <w:lang w:val="en-US" w:eastAsia="ja-JP"/>
              </w:rPr>
              <w:t>Working Assumption</w:t>
            </w:r>
          </w:p>
          <w:p w14:paraId="6DDA7539" w14:textId="77777777" w:rsidR="00D04C91" w:rsidRPr="00D04C91" w:rsidRDefault="00D04C91" w:rsidP="00D04C91">
            <w:pPr>
              <w:numPr>
                <w:ilvl w:val="1"/>
                <w:numId w:val="11"/>
              </w:numPr>
              <w:rPr>
                <w:lang w:val="en-US" w:eastAsia="ja-JP"/>
              </w:rPr>
            </w:pPr>
            <w:r w:rsidRPr="00D04C91">
              <w:rPr>
                <w:lang w:val="en-US" w:eastAsia="ja-JP"/>
              </w:rPr>
              <w:t>Regarding the associated ID for Rel-19, the UE assumes that NW-side additional conditions with the same associated ID are consistent at least within a cell.</w:t>
            </w:r>
          </w:p>
          <w:p w14:paraId="70CFF009" w14:textId="77777777" w:rsidR="00D04C91" w:rsidRPr="00D04C91" w:rsidRDefault="00D04C91" w:rsidP="00D04C91">
            <w:pPr>
              <w:numPr>
                <w:ilvl w:val="2"/>
                <w:numId w:val="11"/>
              </w:numPr>
              <w:rPr>
                <w:lang w:val="en-US" w:eastAsia="ja-JP"/>
              </w:rPr>
            </w:pPr>
            <w:r w:rsidRPr="00D04C91">
              <w:rPr>
                <w:lang w:val="en-US" w:eastAsia="ja-JP"/>
              </w:rPr>
              <w:t>FFS: whether/how UE assumption can be applicable for multiple cells (including the feasibility study).</w:t>
            </w:r>
          </w:p>
          <w:p w14:paraId="74386B7F" w14:textId="77777777" w:rsidR="00D04C91" w:rsidRPr="00D04C91" w:rsidRDefault="00D04C91" w:rsidP="00D04C91">
            <w:pPr>
              <w:numPr>
                <w:ilvl w:val="0"/>
                <w:numId w:val="11"/>
              </w:numPr>
              <w:rPr>
                <w:lang w:val="en-US" w:eastAsia="ja-JP"/>
              </w:rPr>
            </w:pPr>
            <w:r w:rsidRPr="00D04C91">
              <w:rPr>
                <w:b/>
                <w:bCs/>
                <w:lang w:eastAsia="ja-JP"/>
              </w:rPr>
              <w:t>RAN1#118 agreement: For UE sided model in beam management, support associated ID</w:t>
            </w:r>
          </w:p>
          <w:p w14:paraId="3380EC6F" w14:textId="77777777" w:rsidR="00D04C91" w:rsidRPr="00D04C91" w:rsidRDefault="00D04C91" w:rsidP="00D04C91">
            <w:pPr>
              <w:numPr>
                <w:ilvl w:val="1"/>
                <w:numId w:val="11"/>
              </w:numPr>
              <w:tabs>
                <w:tab w:val="left" w:pos="709"/>
              </w:tabs>
              <w:rPr>
                <w:lang w:val="en-US" w:eastAsia="ja-JP"/>
              </w:rPr>
            </w:pPr>
            <w:r w:rsidRPr="00D04C91">
              <w:rPr>
                <w:lang w:eastAsia="ja-JP"/>
              </w:rPr>
              <w:t>[Working Assumption]</w:t>
            </w:r>
          </w:p>
          <w:p w14:paraId="73FB3D8E" w14:textId="77777777" w:rsidR="00D04C91" w:rsidRPr="00D04C91" w:rsidRDefault="00D04C91" w:rsidP="00D04C91">
            <w:pPr>
              <w:numPr>
                <w:ilvl w:val="2"/>
                <w:numId w:val="11"/>
              </w:numPr>
              <w:tabs>
                <w:tab w:val="left" w:pos="709"/>
              </w:tabs>
              <w:rPr>
                <w:lang w:val="en-US" w:eastAsia="ja-JP"/>
              </w:rPr>
            </w:pPr>
            <w:r w:rsidRPr="00D04C91">
              <w:rPr>
                <w:lang w:eastAsia="ja-JP"/>
              </w:rPr>
              <w:t xml:space="preserve">The associated ID at least can be configured within CSI framework </w:t>
            </w:r>
          </w:p>
          <w:p w14:paraId="08756B9F" w14:textId="77777777" w:rsidR="00D04C91" w:rsidRPr="00D04C91" w:rsidRDefault="00D04C91" w:rsidP="00D04C91">
            <w:pPr>
              <w:numPr>
                <w:ilvl w:val="3"/>
                <w:numId w:val="11"/>
              </w:numPr>
              <w:rPr>
                <w:lang w:val="en-US" w:eastAsia="ja-JP"/>
              </w:rPr>
            </w:pPr>
            <w:r w:rsidRPr="00D04C91">
              <w:rPr>
                <w:lang w:val="en-US" w:eastAsia="ja-JP"/>
              </w:rPr>
              <w:t>FFS on details</w:t>
            </w:r>
          </w:p>
          <w:p w14:paraId="1BAE7021" w14:textId="77777777" w:rsidR="00D04C91" w:rsidRPr="00D04C91" w:rsidRDefault="00D04C91" w:rsidP="00D04C91">
            <w:pPr>
              <w:numPr>
                <w:ilvl w:val="3"/>
                <w:numId w:val="11"/>
              </w:numPr>
              <w:rPr>
                <w:lang w:val="en-US" w:eastAsia="ja-JP"/>
              </w:rPr>
            </w:pPr>
            <w:r w:rsidRPr="00D04C91">
              <w:rPr>
                <w:lang w:val="en-US" w:eastAsia="ja-JP"/>
              </w:rPr>
              <w:t>FFS on whether/how to configure/indicate the associated ID via other signal(s) and/or in other procedure(s)/framework(s)</w:t>
            </w:r>
          </w:p>
          <w:p w14:paraId="0E1072C4" w14:textId="77777777" w:rsidR="00D04C91" w:rsidRPr="00D04C91" w:rsidRDefault="00D04C91" w:rsidP="00D04C91">
            <w:pPr>
              <w:numPr>
                <w:ilvl w:val="1"/>
                <w:numId w:val="11"/>
              </w:numPr>
              <w:tabs>
                <w:tab w:val="left" w:pos="709"/>
              </w:tabs>
              <w:rPr>
                <w:lang w:val="en-US" w:eastAsia="ja-JP"/>
              </w:rPr>
            </w:pPr>
            <w:r w:rsidRPr="00D04C91">
              <w:rPr>
                <w:lang w:val="en-US" w:eastAsia="ja-JP"/>
              </w:rPr>
              <w:t>UE may assume the similar properties of a DL Tx beam or beam set/list are associated with the same associated ID</w:t>
            </w:r>
          </w:p>
          <w:p w14:paraId="280F7556" w14:textId="77777777" w:rsidR="00D04C91" w:rsidRPr="00D04C91" w:rsidRDefault="00D04C91" w:rsidP="00D04C91">
            <w:pPr>
              <w:numPr>
                <w:ilvl w:val="2"/>
                <w:numId w:val="11"/>
              </w:numPr>
              <w:tabs>
                <w:tab w:val="left" w:pos="709"/>
              </w:tabs>
              <w:rPr>
                <w:lang w:val="en-US" w:eastAsia="ja-JP"/>
              </w:rPr>
            </w:pPr>
            <w:r w:rsidRPr="00D04C91">
              <w:rPr>
                <w:lang w:eastAsia="ja-JP"/>
              </w:rPr>
              <w:t>FFS: whether/how to define similar properties of a DL Tx beam or beam set/list</w:t>
            </w:r>
          </w:p>
          <w:p w14:paraId="28BECA84" w14:textId="5440C601" w:rsidR="00A9222C" w:rsidRPr="001D0EB6" w:rsidRDefault="00A9222C" w:rsidP="000D64F9">
            <w:pPr>
              <w:rPr>
                <w:lang w:eastAsia="ja-JP"/>
              </w:rPr>
            </w:pPr>
            <w:r w:rsidRPr="001D0EB6">
              <w:rPr>
                <w:lang w:eastAsia="ja-JP"/>
              </w:rPr>
              <w:t xml:space="preserve"> </w:t>
            </w:r>
          </w:p>
        </w:tc>
      </w:tr>
    </w:tbl>
    <w:p w14:paraId="21AA6793" w14:textId="6F6D23BE" w:rsidR="002F19CF" w:rsidRPr="001D0EB6" w:rsidRDefault="002F19CF" w:rsidP="002F19CF">
      <w:pPr>
        <w:pStyle w:val="Heading1"/>
      </w:pPr>
      <w:r w:rsidRPr="001D0EB6">
        <w:t>Discussion</w:t>
      </w:r>
    </w:p>
    <w:p w14:paraId="77D817E2" w14:textId="62783222" w:rsidR="00610DBD" w:rsidRPr="001D0EB6" w:rsidRDefault="00610DBD" w:rsidP="00610DBD">
      <w:r w:rsidRPr="001D0EB6">
        <w:t xml:space="preserve">Based on previous agreements and the contents of work item document, </w:t>
      </w:r>
      <w:r w:rsidR="00B02D49" w:rsidRPr="001D0EB6">
        <w:t xml:space="preserve">RAN4 should define </w:t>
      </w:r>
      <w:r w:rsidR="00D85C27" w:rsidRPr="001D0EB6">
        <w:t xml:space="preserve">AI-ML related </w:t>
      </w:r>
      <w:r w:rsidR="00B02D49" w:rsidRPr="001D0EB6">
        <w:t>RRM core requirements</w:t>
      </w:r>
      <w:r w:rsidR="00D85C27" w:rsidRPr="001D0EB6">
        <w:t xml:space="preserve"> in, at least, following three scenarios:</w:t>
      </w:r>
    </w:p>
    <w:p w14:paraId="7ADBDB46" w14:textId="1F6C2B37" w:rsidR="00D85C27" w:rsidRPr="001D0EB6" w:rsidRDefault="00D85C27" w:rsidP="00D85C27">
      <w:pPr>
        <w:pStyle w:val="ListParagraph"/>
        <w:numPr>
          <w:ilvl w:val="0"/>
          <w:numId w:val="5"/>
        </w:numPr>
      </w:pPr>
      <w:r w:rsidRPr="001D0EB6">
        <w:t>Measurement period for prediction</w:t>
      </w:r>
    </w:p>
    <w:p w14:paraId="2D76FB4A" w14:textId="24D493E4" w:rsidR="00D85C27" w:rsidRPr="001D0EB6" w:rsidRDefault="00D85C27" w:rsidP="00D85C27">
      <w:pPr>
        <w:pStyle w:val="ListParagraph"/>
        <w:numPr>
          <w:ilvl w:val="0"/>
          <w:numId w:val="5"/>
        </w:numPr>
      </w:pPr>
      <w:r w:rsidRPr="001D0EB6">
        <w:t>Accuracy of predicted metrics</w:t>
      </w:r>
    </w:p>
    <w:p w14:paraId="7C95040F" w14:textId="1053859D" w:rsidR="00D85C27" w:rsidRPr="001D0EB6" w:rsidRDefault="00D85C27" w:rsidP="00D85C27">
      <w:pPr>
        <w:pStyle w:val="ListParagraph"/>
        <w:numPr>
          <w:ilvl w:val="0"/>
          <w:numId w:val="5"/>
        </w:numPr>
      </w:pPr>
      <w:r w:rsidRPr="001D0EB6">
        <w:t>TCI state status of predicted TX beam</w:t>
      </w:r>
    </w:p>
    <w:p w14:paraId="7E543ADF" w14:textId="03C59A62" w:rsidR="00647DB0" w:rsidRPr="00647DB0" w:rsidRDefault="00647DB0" w:rsidP="00647DB0">
      <w:pPr>
        <w:rPr>
          <w:b/>
          <w:bCs/>
        </w:rPr>
      </w:pPr>
      <w:r w:rsidRPr="00647DB0">
        <w:rPr>
          <w:b/>
          <w:bCs/>
        </w:rPr>
        <w:t xml:space="preserve">Proposal 1: RAN4 should define AI-ML </w:t>
      </w:r>
      <w:r>
        <w:rPr>
          <w:b/>
          <w:bCs/>
        </w:rPr>
        <w:t xml:space="preserve">beam management </w:t>
      </w:r>
      <w:r w:rsidRPr="00647DB0">
        <w:rPr>
          <w:b/>
          <w:bCs/>
        </w:rPr>
        <w:t xml:space="preserve">related RRM core requirements in, at least, following three </w:t>
      </w:r>
      <w:r w:rsidR="00E4342E">
        <w:rPr>
          <w:b/>
          <w:bCs/>
        </w:rPr>
        <w:t>areas</w:t>
      </w:r>
      <w:r w:rsidRPr="00647DB0">
        <w:rPr>
          <w:b/>
          <w:bCs/>
        </w:rPr>
        <w:t>:</w:t>
      </w:r>
    </w:p>
    <w:p w14:paraId="00637B7F" w14:textId="77777777" w:rsidR="00647DB0" w:rsidRPr="00647DB0" w:rsidRDefault="00647DB0" w:rsidP="00647DB0">
      <w:pPr>
        <w:pStyle w:val="ListParagraph"/>
        <w:numPr>
          <w:ilvl w:val="0"/>
          <w:numId w:val="18"/>
        </w:numPr>
        <w:rPr>
          <w:b/>
          <w:bCs/>
        </w:rPr>
      </w:pPr>
      <w:r w:rsidRPr="00647DB0">
        <w:rPr>
          <w:b/>
          <w:bCs/>
        </w:rPr>
        <w:t>Measurement period for prediction</w:t>
      </w:r>
    </w:p>
    <w:p w14:paraId="03855BA1" w14:textId="77777777" w:rsidR="00647DB0" w:rsidRPr="00647DB0" w:rsidRDefault="00647DB0" w:rsidP="00647DB0">
      <w:pPr>
        <w:pStyle w:val="ListParagraph"/>
        <w:numPr>
          <w:ilvl w:val="0"/>
          <w:numId w:val="18"/>
        </w:numPr>
        <w:rPr>
          <w:b/>
          <w:bCs/>
        </w:rPr>
      </w:pPr>
      <w:r w:rsidRPr="00647DB0">
        <w:rPr>
          <w:b/>
          <w:bCs/>
        </w:rPr>
        <w:t>Accuracy of predicted metrics</w:t>
      </w:r>
    </w:p>
    <w:p w14:paraId="498AC218" w14:textId="6332D116" w:rsidR="002F19CF" w:rsidRPr="00647DB0" w:rsidRDefault="00647DB0" w:rsidP="002F19CF">
      <w:pPr>
        <w:pStyle w:val="ListParagraph"/>
        <w:numPr>
          <w:ilvl w:val="0"/>
          <w:numId w:val="18"/>
        </w:numPr>
        <w:rPr>
          <w:b/>
          <w:bCs/>
        </w:rPr>
      </w:pPr>
      <w:r w:rsidRPr="00647DB0">
        <w:rPr>
          <w:b/>
          <w:bCs/>
        </w:rPr>
        <w:t>TCI state status of predicted TX beam</w:t>
      </w:r>
    </w:p>
    <w:p w14:paraId="6B45020F" w14:textId="36ED96FC" w:rsidR="002F19CF" w:rsidRDefault="002F19CF" w:rsidP="002F19CF">
      <w:pPr>
        <w:pStyle w:val="Heading2"/>
      </w:pPr>
      <w:r w:rsidRPr="001D0EB6">
        <w:t>2.1 Measurement Period for Prediction</w:t>
      </w:r>
    </w:p>
    <w:p w14:paraId="4A03B63A" w14:textId="20EC03E7" w:rsidR="006821B7" w:rsidRDefault="00AA0A9C" w:rsidP="00BD2C83">
      <w:r>
        <w:t xml:space="preserve">Legacy RAN4 RRM spec allows UE to </w:t>
      </w:r>
      <w:r w:rsidR="00F86744">
        <w:t xml:space="preserve">measure reference signals for a certain duration to meet corresponding accuracy requirements (e.g., L1-RSRP accuracy, SS-RSRP accuracy, etc.). Similarly, </w:t>
      </w:r>
      <w:r w:rsidR="00EC61EB">
        <w:t>s</w:t>
      </w:r>
      <w:r w:rsidR="005F75E9">
        <w:t xml:space="preserve">pec needs to allow </w:t>
      </w:r>
      <w:r w:rsidR="00BD2C83">
        <w:t xml:space="preserve">UE to measure </w:t>
      </w:r>
      <w:proofErr w:type="spellStart"/>
      <w:r w:rsidR="00BD2C83">
        <w:t>setB</w:t>
      </w:r>
      <w:proofErr w:type="spellEnd"/>
      <w:r w:rsidR="00BD2C83">
        <w:t xml:space="preserve"> beams for a certain duration to predict </w:t>
      </w:r>
      <w:r w:rsidR="007C5923">
        <w:t xml:space="preserve">beams and associated metrics of </w:t>
      </w:r>
      <w:proofErr w:type="spellStart"/>
      <w:r w:rsidR="007C5923">
        <w:t>setA</w:t>
      </w:r>
      <w:proofErr w:type="spellEnd"/>
      <w:r w:rsidR="00F86744">
        <w:t>.</w:t>
      </w:r>
      <w:r w:rsidR="00B039AC">
        <w:t xml:space="preserve"> </w:t>
      </w:r>
    </w:p>
    <w:p w14:paraId="69B7BA7B" w14:textId="350BE156" w:rsidR="00201207" w:rsidRDefault="00B039AC" w:rsidP="00BD2C83">
      <w:r>
        <w:t xml:space="preserve">Figure 1 shows this concept of evaluation period for predicting AI-ML based beams and associated metrics. </w:t>
      </w:r>
      <w:r w:rsidR="009D6AE1">
        <w:t xml:space="preserve">Spec needs to </w:t>
      </w:r>
      <w:r w:rsidR="00877E54">
        <w:t xml:space="preserve">provide, at least, K samples of SSB during </w:t>
      </w:r>
      <w:proofErr w:type="spellStart"/>
      <w:r w:rsidR="00877E54">
        <w:t>setB</w:t>
      </w:r>
      <w:proofErr w:type="spellEnd"/>
      <w:r w:rsidR="00877E54">
        <w:t xml:space="preserve"> measurement to </w:t>
      </w:r>
      <w:r w:rsidR="00E17619">
        <w:t xml:space="preserve">ensure accuracy of prediction. Some UEs can implement a more complex model and may require </w:t>
      </w:r>
      <w:r w:rsidR="00764CBD">
        <w:t>a smaller</w:t>
      </w:r>
      <w:r w:rsidR="00E17619">
        <w:t xml:space="preserve"> number of SSB samples </w:t>
      </w:r>
      <w:r w:rsidR="00B05589">
        <w:t xml:space="preserve">to meet </w:t>
      </w:r>
      <w:r w:rsidR="0057706F">
        <w:t xml:space="preserve">prediction accuracy metric. However, that </w:t>
      </w:r>
      <w:r w:rsidR="002E1C9A">
        <w:t>should</w:t>
      </w:r>
      <w:r w:rsidR="0057706F">
        <w:t xml:space="preserve"> be transparent </w:t>
      </w:r>
      <w:r w:rsidR="00764CBD">
        <w:t>to the perspective of RAN4 test.</w:t>
      </w:r>
    </w:p>
    <w:p w14:paraId="4C2B346F" w14:textId="77777777" w:rsidR="00DD4815" w:rsidRDefault="00DD4815" w:rsidP="00DD4815">
      <w:r>
        <w:rPr>
          <w:noProof/>
        </w:rPr>
        <w:lastRenderedPageBreak/>
        <w:drawing>
          <wp:inline distT="0" distB="0" distL="0" distR="0" wp14:anchorId="552A954C" wp14:editId="4EC05F31">
            <wp:extent cx="6115685" cy="1143635"/>
            <wp:effectExtent l="0" t="0" r="0" b="0"/>
            <wp:docPr id="922168317" name="Picture 1"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168317" name="Picture 1" descr="A diagram of a computer program&#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6115685" cy="1143635"/>
                    </a:xfrm>
                    <a:prstGeom prst="rect">
                      <a:avLst/>
                    </a:prstGeom>
                  </pic:spPr>
                </pic:pic>
              </a:graphicData>
            </a:graphic>
          </wp:inline>
        </w:drawing>
      </w:r>
    </w:p>
    <w:p w14:paraId="3160084D" w14:textId="125CA4E0" w:rsidR="00DD4815" w:rsidRDefault="00DD4815" w:rsidP="00DD4815">
      <w:pPr>
        <w:jc w:val="center"/>
      </w:pPr>
      <w:r>
        <w:t>Figure 1: Evaluation Period for Predicting AI-ML Based Beams and Associated Metrics</w:t>
      </w:r>
    </w:p>
    <w:p w14:paraId="755C5D7D" w14:textId="78B8EA82" w:rsidR="00764CBD" w:rsidRDefault="00073C28" w:rsidP="00BD2C83">
      <w:r>
        <w:t xml:space="preserve">Legacy RAN4 RRM spec introduces a sharing factor that extends evaluation period when relevant reference signals overlap with SMTC and measurement gap in time domain. Similarly, spec should allow UE to extend evaluation period </w:t>
      </w:r>
      <w:r w:rsidR="005E789D">
        <w:t xml:space="preserve">for beam prediction if </w:t>
      </w:r>
      <w:r w:rsidR="0070173E">
        <w:t xml:space="preserve">the reference signals of </w:t>
      </w:r>
      <w:proofErr w:type="spellStart"/>
      <w:r w:rsidR="0070173E">
        <w:t>setB</w:t>
      </w:r>
      <w:proofErr w:type="spellEnd"/>
      <w:r w:rsidR="0070173E">
        <w:t xml:space="preserve"> overlap with SMTC </w:t>
      </w:r>
      <w:r w:rsidR="00220CB7">
        <w:t xml:space="preserve">and measurement gaps. Evaluation period for beam prediction should also depend on </w:t>
      </w:r>
      <w:r w:rsidR="001C672D">
        <w:t>the configuration of DRX.</w:t>
      </w:r>
    </w:p>
    <w:p w14:paraId="49475E04" w14:textId="0ADC6D7F" w:rsidR="001C67C0" w:rsidRPr="00DA685C" w:rsidRDefault="001C67C0" w:rsidP="00BD2C83">
      <w:pPr>
        <w:rPr>
          <w:b/>
          <w:bCs/>
        </w:rPr>
      </w:pPr>
      <w:r w:rsidRPr="00530949">
        <w:rPr>
          <w:b/>
          <w:bCs/>
        </w:rPr>
        <w:t xml:space="preserve">Observation 1: Legacy RAN4 RRM spec allows UE to measure reference signals for a certain duration to meet corresponding accuracy requirements. </w:t>
      </w:r>
      <w:r>
        <w:rPr>
          <w:b/>
          <w:bCs/>
        </w:rPr>
        <w:t>The required duration depends on</w:t>
      </w:r>
      <w:r w:rsidR="00EB5C47">
        <w:rPr>
          <w:b/>
          <w:bCs/>
        </w:rPr>
        <w:t xml:space="preserve"> 1)</w:t>
      </w:r>
      <w:r>
        <w:rPr>
          <w:b/>
          <w:bCs/>
        </w:rPr>
        <w:t xml:space="preserve"> SMTC</w:t>
      </w:r>
      <w:r w:rsidR="00DA685C">
        <w:rPr>
          <w:b/>
          <w:bCs/>
        </w:rPr>
        <w:t xml:space="preserve"> and</w:t>
      </w:r>
      <w:r>
        <w:rPr>
          <w:b/>
          <w:bCs/>
        </w:rPr>
        <w:t xml:space="preserve"> measurement gap</w:t>
      </w:r>
      <w:r w:rsidR="00DA685C">
        <w:rPr>
          <w:b/>
          <w:bCs/>
        </w:rPr>
        <w:t xml:space="preserve"> based sharing factor</w:t>
      </w:r>
      <w:r>
        <w:rPr>
          <w:b/>
          <w:bCs/>
        </w:rPr>
        <w:t xml:space="preserve"> and</w:t>
      </w:r>
      <w:r w:rsidR="00EB5C47">
        <w:rPr>
          <w:b/>
          <w:bCs/>
        </w:rPr>
        <w:t xml:space="preserve"> 2)</w:t>
      </w:r>
      <w:r>
        <w:rPr>
          <w:b/>
          <w:bCs/>
        </w:rPr>
        <w:t xml:space="preserve"> DRX cycl</w:t>
      </w:r>
      <w:r w:rsidR="00DA685C">
        <w:rPr>
          <w:b/>
          <w:bCs/>
        </w:rPr>
        <w:t>e.</w:t>
      </w:r>
    </w:p>
    <w:p w14:paraId="4DA3A03D" w14:textId="2ED3240D" w:rsidR="00F86744" w:rsidRDefault="00EE5A23" w:rsidP="00BD2C83">
      <w:r>
        <w:t>RAN1 has introduced th</w:t>
      </w:r>
      <w:r w:rsidR="00761D4C">
        <w:t>e</w:t>
      </w:r>
      <w:r>
        <w:t xml:space="preserve"> concept of association ID </w:t>
      </w:r>
      <w:r w:rsidR="00761D4C">
        <w:t>that conveys the properties of a DL Tx beam set</w:t>
      </w:r>
      <w:r w:rsidR="00B024E4">
        <w:t xml:space="preserve">. UE may require different </w:t>
      </w:r>
      <w:r w:rsidR="00CC6585">
        <w:t>evaluation period for prediction for different properties of a DL Tx beam set</w:t>
      </w:r>
      <w:r w:rsidR="0024235A">
        <w:t xml:space="preserve">. </w:t>
      </w:r>
      <w:r w:rsidR="007308B5">
        <w:t xml:space="preserve">For example, UE may require less samples to measure </w:t>
      </w:r>
      <w:proofErr w:type="spellStart"/>
      <w:r w:rsidR="007308B5">
        <w:t>setB</w:t>
      </w:r>
      <w:proofErr w:type="spellEnd"/>
      <w:r w:rsidR="007308B5">
        <w:t xml:space="preserve"> beams if the number of beams are similar in </w:t>
      </w:r>
      <w:proofErr w:type="spellStart"/>
      <w:r w:rsidR="007308B5">
        <w:t>setB</w:t>
      </w:r>
      <w:proofErr w:type="spellEnd"/>
      <w:r w:rsidR="007308B5">
        <w:t xml:space="preserve"> and </w:t>
      </w:r>
      <w:proofErr w:type="spellStart"/>
      <w:r w:rsidR="007308B5">
        <w:t>setA</w:t>
      </w:r>
      <w:proofErr w:type="spellEnd"/>
      <w:r w:rsidR="007308B5">
        <w:t xml:space="preserve">. On the other hand, UE may require more </w:t>
      </w:r>
      <w:r w:rsidR="001E269D">
        <w:t xml:space="preserve">samples to measure </w:t>
      </w:r>
      <w:proofErr w:type="spellStart"/>
      <w:r w:rsidR="001E269D">
        <w:t>setB</w:t>
      </w:r>
      <w:proofErr w:type="spellEnd"/>
      <w:r w:rsidR="001E269D">
        <w:t xml:space="preserve"> beams if the number of </w:t>
      </w:r>
      <w:proofErr w:type="spellStart"/>
      <w:r w:rsidR="001E269D">
        <w:t>setA</w:t>
      </w:r>
      <w:proofErr w:type="spellEnd"/>
      <w:r w:rsidR="001E269D">
        <w:t xml:space="preserve"> beams is much larger than that of </w:t>
      </w:r>
      <w:proofErr w:type="spellStart"/>
      <w:r w:rsidR="001E269D">
        <w:t>setB</w:t>
      </w:r>
      <w:proofErr w:type="spellEnd"/>
      <w:r w:rsidR="001E269D">
        <w:t>.</w:t>
      </w:r>
    </w:p>
    <w:p w14:paraId="1DEB8D32" w14:textId="34EA8CA7" w:rsidR="00BB360D" w:rsidRPr="00BB360D" w:rsidRDefault="00BB360D" w:rsidP="00BD2C83">
      <w:pPr>
        <w:rPr>
          <w:b/>
          <w:bCs/>
        </w:rPr>
      </w:pPr>
      <w:r w:rsidRPr="00BB360D">
        <w:rPr>
          <w:b/>
          <w:bCs/>
        </w:rPr>
        <w:t>Observation 2: RAN1 has introduced the concept of association ID that conveys the properties of a DL Tx beam set. UE may require different evaluation period for prediction for different properties of a DL Tx beam set.</w:t>
      </w:r>
    </w:p>
    <w:p w14:paraId="21D5751E" w14:textId="635A1313" w:rsidR="001E269D" w:rsidRPr="00BD2C83" w:rsidRDefault="001E269D" w:rsidP="00BD2C83">
      <w:r>
        <w:t xml:space="preserve">Similarly, </w:t>
      </w:r>
      <w:r w:rsidR="00826955">
        <w:t>UE may require different evaluation period for different prediction metrics (top</w:t>
      </w:r>
      <w:r w:rsidR="00872E4E">
        <w:t xml:space="preserve"> beam ID, L1-RSRP accuracy, etc.). </w:t>
      </w:r>
      <w:r w:rsidR="00F16A01">
        <w:t xml:space="preserve">Required evaluation period </w:t>
      </w:r>
      <w:r w:rsidR="008743C1">
        <w:t xml:space="preserve">may vary </w:t>
      </w:r>
      <w:r w:rsidR="00DE531D">
        <w:t>for different levels of accuracy.</w:t>
      </w:r>
      <w:r w:rsidR="00826955">
        <w:t xml:space="preserve"> </w:t>
      </w:r>
    </w:p>
    <w:p w14:paraId="5183E964" w14:textId="119A989F" w:rsidR="000701D7" w:rsidRPr="004C111F" w:rsidRDefault="00BB360D" w:rsidP="000701D7">
      <w:pPr>
        <w:rPr>
          <w:b/>
          <w:bCs/>
          <w:lang w:val="en-US"/>
        </w:rPr>
      </w:pPr>
      <w:r w:rsidRPr="004C111F">
        <w:rPr>
          <w:b/>
          <w:bCs/>
        </w:rPr>
        <w:t xml:space="preserve">Proposal </w:t>
      </w:r>
      <w:r w:rsidR="00647DB0">
        <w:rPr>
          <w:b/>
          <w:bCs/>
        </w:rPr>
        <w:t>2</w:t>
      </w:r>
      <w:r w:rsidRPr="004C111F">
        <w:rPr>
          <w:b/>
          <w:bCs/>
        </w:rPr>
        <w:t xml:space="preserve">: </w:t>
      </w:r>
      <w:r w:rsidR="000701D7" w:rsidRPr="000701D7">
        <w:rPr>
          <w:b/>
          <w:bCs/>
          <w:lang w:val="en-US"/>
        </w:rPr>
        <w:t>Spec allows a minimum duration of measurements on the SSBs/CSI-RS before UE reports a CSI report containing predicted metrics (i.e., channel characteristics).</w:t>
      </w:r>
    </w:p>
    <w:p w14:paraId="4DAA4C3B" w14:textId="77777777" w:rsidR="000701D7" w:rsidRPr="004C111F" w:rsidRDefault="000701D7" w:rsidP="000701D7">
      <w:pPr>
        <w:pStyle w:val="ListParagraph"/>
        <w:numPr>
          <w:ilvl w:val="0"/>
          <w:numId w:val="13"/>
        </w:numPr>
        <w:rPr>
          <w:b/>
          <w:bCs/>
          <w:lang w:val="en-US"/>
        </w:rPr>
      </w:pPr>
      <w:r w:rsidRPr="004C111F">
        <w:rPr>
          <w:b/>
          <w:bCs/>
          <w:lang w:val="en-US"/>
        </w:rPr>
        <w:t>Note: Measurement period should consider measurement gaps, SMTCs, DRX operation, etc.</w:t>
      </w:r>
    </w:p>
    <w:p w14:paraId="65999716" w14:textId="67B941C9" w:rsidR="00BC06DE" w:rsidRPr="00093E6A" w:rsidRDefault="000701D7" w:rsidP="005E43D0">
      <w:pPr>
        <w:pStyle w:val="ListParagraph"/>
        <w:numPr>
          <w:ilvl w:val="0"/>
          <w:numId w:val="13"/>
        </w:numPr>
        <w:rPr>
          <w:b/>
          <w:bCs/>
          <w:lang w:val="en-US"/>
        </w:rPr>
      </w:pPr>
      <w:r w:rsidRPr="004C111F">
        <w:rPr>
          <w:b/>
          <w:bCs/>
          <w:lang w:val="en-US"/>
        </w:rPr>
        <w:t xml:space="preserve">FFS: Minimum duration may depend on other factors e.g., associated ID, </w:t>
      </w:r>
      <w:r w:rsidR="004C111F" w:rsidRPr="004C111F">
        <w:rPr>
          <w:b/>
          <w:bCs/>
          <w:lang w:val="en-US"/>
        </w:rPr>
        <w:t>level of accuracy, etc.</w:t>
      </w:r>
    </w:p>
    <w:p w14:paraId="5FE69849" w14:textId="1F19E9EA" w:rsidR="00F72CE5" w:rsidRDefault="002F19CF" w:rsidP="00093E6A">
      <w:pPr>
        <w:pStyle w:val="Heading2"/>
      </w:pPr>
      <w:r>
        <w:t xml:space="preserve">2.2 </w:t>
      </w:r>
      <w:r w:rsidR="00872E4E">
        <w:t>Selection and Accuracy</w:t>
      </w:r>
      <w:r>
        <w:t xml:space="preserve"> of Predicted Metrics</w:t>
      </w:r>
    </w:p>
    <w:p w14:paraId="6DA7AD42" w14:textId="1710BEBB" w:rsidR="00F72CE5" w:rsidRPr="00577056" w:rsidRDefault="00F72CE5" w:rsidP="00F72CE5">
      <w:r>
        <w:t xml:space="preserve">3GPP focused on </w:t>
      </w:r>
      <w:r w:rsidR="00625285">
        <w:t>the following prediction metrics in [3]</w:t>
      </w:r>
    </w:p>
    <w:tbl>
      <w:tblPr>
        <w:tblStyle w:val="TableGrid"/>
        <w:tblW w:w="0" w:type="auto"/>
        <w:tblLook w:val="04A0" w:firstRow="1" w:lastRow="0" w:firstColumn="1" w:lastColumn="0" w:noHBand="0" w:noVBand="1"/>
      </w:tblPr>
      <w:tblGrid>
        <w:gridCol w:w="9617"/>
      </w:tblGrid>
      <w:tr w:rsidR="00F72CE5" w:rsidRPr="001D0EB6" w14:paraId="702F0281" w14:textId="77777777" w:rsidTr="000D64F9">
        <w:tc>
          <w:tcPr>
            <w:tcW w:w="9617" w:type="dxa"/>
          </w:tcPr>
          <w:p w14:paraId="574AFC5A" w14:textId="77777777" w:rsidR="00F72CE5" w:rsidRPr="00F41B7E" w:rsidRDefault="00F72CE5" w:rsidP="002E376A">
            <w:pPr>
              <w:rPr>
                <w:lang w:eastAsia="ja-JP"/>
              </w:rPr>
            </w:pPr>
            <w:r w:rsidRPr="00F41B7E">
              <w:rPr>
                <w:lang w:eastAsia="zh-CN"/>
              </w:rPr>
              <w:t xml:space="preserve">Both </w:t>
            </w:r>
            <w:r w:rsidRPr="00F41B7E">
              <w:rPr>
                <w:lang w:eastAsia="ja-JP"/>
              </w:rPr>
              <w:t>spatial-domain DL beam prediction and temporal DL beam prediction are considered.</w:t>
            </w:r>
          </w:p>
          <w:p w14:paraId="72BFF0C5" w14:textId="77777777" w:rsidR="00F72CE5" w:rsidRPr="00F41B7E" w:rsidRDefault="00F72CE5" w:rsidP="000D64F9">
            <w:pPr>
              <w:ind w:left="60"/>
            </w:pPr>
            <w:r w:rsidRPr="00F41B7E">
              <w:t xml:space="preserve">For metrics for beam management </w:t>
            </w:r>
            <w:r w:rsidRPr="00F41B7E">
              <w:rPr>
                <w:lang w:eastAsia="zh-CN"/>
              </w:rPr>
              <w:t>requirements/tests</w:t>
            </w:r>
            <w:r w:rsidRPr="00F41B7E">
              <w:t>, the following test metrics/KPIs are identified and could be considered</w:t>
            </w:r>
          </w:p>
          <w:p w14:paraId="48849ADF" w14:textId="77777777" w:rsidR="00F72CE5" w:rsidRPr="00F41B7E" w:rsidRDefault="00F72CE5" w:rsidP="000D64F9">
            <w:pPr>
              <w:pStyle w:val="B1"/>
              <w:rPr>
                <w:lang w:eastAsia="zh-CN"/>
              </w:rPr>
            </w:pPr>
            <w:r w:rsidRPr="00F41B7E">
              <w:rPr>
                <w:lang w:eastAsia="zh-CN"/>
              </w:rPr>
              <w:t>-</w:t>
            </w:r>
            <w:r w:rsidRPr="00F41B7E">
              <w:rPr>
                <w:lang w:eastAsia="zh-CN"/>
              </w:rPr>
              <w:tab/>
              <w:t>Option 1: RSRP accuracy</w:t>
            </w:r>
          </w:p>
          <w:p w14:paraId="223626AB" w14:textId="77777777" w:rsidR="00F72CE5" w:rsidRPr="00F41B7E" w:rsidRDefault="00F72CE5" w:rsidP="000D64F9">
            <w:pPr>
              <w:pStyle w:val="B1"/>
              <w:rPr>
                <w:lang w:eastAsia="zh-CN"/>
              </w:rPr>
            </w:pPr>
            <w:r w:rsidRPr="00F41B7E">
              <w:rPr>
                <w:lang w:eastAsia="zh-CN"/>
              </w:rPr>
              <w:t>-</w:t>
            </w:r>
            <w:r w:rsidRPr="00F41B7E">
              <w:rPr>
                <w:lang w:eastAsia="zh-CN"/>
              </w:rPr>
              <w:tab/>
              <w:t>Option 2: Beam prediction accuracy</w:t>
            </w:r>
          </w:p>
          <w:p w14:paraId="127636CE" w14:textId="77777777" w:rsidR="00F72CE5" w:rsidRPr="00F41B7E" w:rsidRDefault="00F72CE5" w:rsidP="000D64F9">
            <w:pPr>
              <w:pStyle w:val="B2"/>
            </w:pPr>
            <w:r w:rsidRPr="00F41B7E">
              <w:t>-</w:t>
            </w:r>
            <w:r w:rsidRPr="00F41B7E">
              <w:tab/>
              <w:t>Top-1 (%) : the percentage of "the Top-1 strongest beam is Top-1 predicted beam"</w:t>
            </w:r>
          </w:p>
          <w:p w14:paraId="5C2137A7" w14:textId="77777777" w:rsidR="00F72CE5" w:rsidRPr="00F41B7E" w:rsidRDefault="00F72CE5" w:rsidP="000D64F9">
            <w:pPr>
              <w:pStyle w:val="B2"/>
            </w:pPr>
            <w:r w:rsidRPr="00F41B7E">
              <w:t>-</w:t>
            </w:r>
            <w:r w:rsidRPr="00F41B7E">
              <w:tab/>
              <w:t>Top-K/1 (%) : the percentage of "the Top-1 strongest beam is one of the Top-K predicted beams"</w:t>
            </w:r>
          </w:p>
          <w:p w14:paraId="0160F211" w14:textId="77777777" w:rsidR="00F72CE5" w:rsidRPr="00F41B7E" w:rsidRDefault="00F72CE5" w:rsidP="000D64F9">
            <w:pPr>
              <w:pStyle w:val="B2"/>
            </w:pPr>
            <w:r w:rsidRPr="00F41B7E">
              <w:t>-</w:t>
            </w:r>
            <w:r w:rsidRPr="00F41B7E">
              <w:tab/>
              <w:t>Top-1/K (%) : the percentage of "the Top-1 predicted beam is one of the Top-K strongest beams"</w:t>
            </w:r>
          </w:p>
          <w:p w14:paraId="7F3314F8" w14:textId="77777777" w:rsidR="00F72CE5" w:rsidRPr="00F41B7E" w:rsidRDefault="00F72CE5" w:rsidP="000D64F9">
            <w:pPr>
              <w:pStyle w:val="B1"/>
              <w:rPr>
                <w:lang w:eastAsia="zh-CN"/>
              </w:rPr>
            </w:pPr>
            <w:r w:rsidRPr="00F41B7E">
              <w:rPr>
                <w:lang w:eastAsia="zh-CN"/>
              </w:rPr>
              <w:t>-</w:t>
            </w:r>
            <w:r w:rsidRPr="00F41B7E">
              <w:rPr>
                <w:lang w:eastAsia="zh-CN"/>
              </w:rPr>
              <w:tab/>
              <w:t xml:space="preserve">Option 3: The successful rate for the correct prediction which is considered as maximum RSRP among top-K predicted beams is larger than the RSRP of the strongest beam – x dB, </w:t>
            </w:r>
          </w:p>
          <w:p w14:paraId="65B86108" w14:textId="77777777" w:rsidR="00F72CE5" w:rsidRPr="00F41B7E" w:rsidRDefault="00F72CE5" w:rsidP="000D64F9">
            <w:pPr>
              <w:pStyle w:val="B2"/>
            </w:pPr>
            <w:r w:rsidRPr="00F41B7E">
              <w:t>-</w:t>
            </w:r>
            <w:r w:rsidRPr="00F41B7E">
              <w:tab/>
              <w:t>Related measurement accuracy can be considered to determine x</w:t>
            </w:r>
          </w:p>
          <w:p w14:paraId="6D6F6DB5" w14:textId="77777777" w:rsidR="00F72CE5" w:rsidRPr="00F41B7E" w:rsidRDefault="00F72CE5" w:rsidP="000D64F9">
            <w:pPr>
              <w:pStyle w:val="B1"/>
              <w:rPr>
                <w:lang w:eastAsia="zh-CN"/>
              </w:rPr>
            </w:pPr>
            <w:r w:rsidRPr="00F41B7E">
              <w:rPr>
                <w:lang w:eastAsia="zh-CN"/>
              </w:rPr>
              <w:t>-</w:t>
            </w:r>
            <w:r w:rsidRPr="00F41B7E">
              <w:rPr>
                <w:lang w:eastAsia="zh-CN"/>
              </w:rPr>
              <w:tab/>
              <w:t>Option 4: combinations of above options</w:t>
            </w:r>
          </w:p>
          <w:p w14:paraId="66D0B7FB" w14:textId="77777777" w:rsidR="00F72CE5" w:rsidRPr="001D0EB6" w:rsidRDefault="00F72CE5" w:rsidP="000D64F9">
            <w:pPr>
              <w:rPr>
                <w:lang w:eastAsia="ja-JP"/>
              </w:rPr>
            </w:pPr>
            <w:r w:rsidRPr="00F41B7E">
              <w:rPr>
                <w:lang w:eastAsia="ja-JP"/>
              </w:rPr>
              <w:t>The overhead/latency</w:t>
            </w:r>
            <w:r w:rsidRPr="001D0EB6">
              <w:rPr>
                <w:lang w:eastAsia="ja-JP"/>
              </w:rPr>
              <w:t xml:space="preserve"> reduction should be considered for the requirements as the side condition. </w:t>
            </w:r>
          </w:p>
        </w:tc>
      </w:tr>
    </w:tbl>
    <w:p w14:paraId="56800566" w14:textId="77777777" w:rsidR="00F72CE5" w:rsidRDefault="00F72CE5" w:rsidP="00F72CE5">
      <w:pPr>
        <w:rPr>
          <w:lang w:val="en-US"/>
        </w:rPr>
      </w:pPr>
    </w:p>
    <w:p w14:paraId="11506B4C" w14:textId="77777777" w:rsidR="003A4868" w:rsidRDefault="003A4868" w:rsidP="003A4868">
      <w:pPr>
        <w:rPr>
          <w:lang w:val="en-US"/>
        </w:rPr>
      </w:pPr>
      <w:r>
        <w:rPr>
          <w:lang w:val="en-US"/>
        </w:rPr>
        <w:lastRenderedPageBreak/>
        <w:t>Option 2 is the simplest option for testing. This has practical use cases, too. Network can use UE’s predicted top beam to change UE’s TCI state. Option 2’s drawback lies in the fact that option 2 (top-1 (%) version of option 2) does not distinguish between following two scenarios:</w:t>
      </w:r>
    </w:p>
    <w:p w14:paraId="55310F8F" w14:textId="77777777" w:rsidR="003A4868" w:rsidRDefault="003A4868" w:rsidP="003A4868">
      <w:pPr>
        <w:pStyle w:val="ListParagraph"/>
        <w:numPr>
          <w:ilvl w:val="0"/>
          <w:numId w:val="14"/>
        </w:numPr>
        <w:rPr>
          <w:lang w:val="en-US"/>
        </w:rPr>
      </w:pPr>
      <w:r>
        <w:rPr>
          <w:lang w:val="en-US"/>
        </w:rPr>
        <w:t>UE’s top-1 predicted beam is adjacent to, but not same as, the top-1 strongest beam</w:t>
      </w:r>
    </w:p>
    <w:p w14:paraId="562ECFB1" w14:textId="77777777" w:rsidR="003A4868" w:rsidRDefault="003A4868" w:rsidP="003A4868">
      <w:pPr>
        <w:pStyle w:val="ListParagraph"/>
        <w:numPr>
          <w:ilvl w:val="0"/>
          <w:numId w:val="14"/>
        </w:numPr>
        <w:rPr>
          <w:lang w:val="en-US"/>
        </w:rPr>
      </w:pPr>
      <w:r>
        <w:rPr>
          <w:lang w:val="en-US"/>
        </w:rPr>
        <w:t>UE’s top-1 predicted beam is far from the top-1 strongest beam.</w:t>
      </w:r>
    </w:p>
    <w:p w14:paraId="5CE2A4F9" w14:textId="77777777" w:rsidR="003A4868" w:rsidRDefault="003A4868" w:rsidP="003A4868">
      <w:pPr>
        <w:rPr>
          <w:lang w:val="en-US"/>
        </w:rPr>
      </w:pPr>
      <w:r>
        <w:rPr>
          <w:lang w:val="en-US"/>
        </w:rPr>
        <w:t>This drawback of option 2 is addressed in option 3. UE can pass option 3 if the maximum RSRP among UE’s top-K predicted beams lies within X dB of the RSRP of the strongest beam. Hence, option 3 allows UE to pass a test if UE’s top-1 predicted beam is adjacent to the top-1 strongest beam.</w:t>
      </w:r>
    </w:p>
    <w:p w14:paraId="7DDFBEF8" w14:textId="77777777" w:rsidR="003A4868" w:rsidRPr="008B1244" w:rsidRDefault="003A4868" w:rsidP="003A4868">
      <w:pPr>
        <w:rPr>
          <w:b/>
          <w:bCs/>
          <w:lang w:val="en-US"/>
        </w:rPr>
      </w:pPr>
      <w:r w:rsidRPr="008B1244">
        <w:rPr>
          <w:b/>
          <w:bCs/>
          <w:lang w:val="en-US"/>
        </w:rPr>
        <w:t>Observation 3: Option 2’s usefulness lies in the fact that network can use UE’s predicted top beam to change UE’s TCI state.</w:t>
      </w:r>
    </w:p>
    <w:p w14:paraId="22BEEB2A" w14:textId="4E542E00" w:rsidR="003A4868" w:rsidRPr="008B1244" w:rsidRDefault="003A4868" w:rsidP="00F72CE5">
      <w:pPr>
        <w:rPr>
          <w:b/>
          <w:bCs/>
          <w:lang w:val="en-US"/>
        </w:rPr>
      </w:pPr>
      <w:r w:rsidRPr="008B1244">
        <w:rPr>
          <w:b/>
          <w:bCs/>
          <w:lang w:val="en-US"/>
        </w:rPr>
        <w:t>Observation 4: Option 2’s drawback lies in the fact that its pass/fail criteria do</w:t>
      </w:r>
      <w:r w:rsidR="005E2FBA">
        <w:rPr>
          <w:b/>
          <w:bCs/>
          <w:lang w:val="en-US"/>
        </w:rPr>
        <w:t xml:space="preserve">es </w:t>
      </w:r>
      <w:r w:rsidRPr="008B1244">
        <w:rPr>
          <w:b/>
          <w:bCs/>
          <w:lang w:val="en-US"/>
        </w:rPr>
        <w:t>n</w:t>
      </w:r>
      <w:r w:rsidR="005E2FBA">
        <w:rPr>
          <w:b/>
          <w:bCs/>
          <w:lang w:val="en-US"/>
        </w:rPr>
        <w:t>o</w:t>
      </w:r>
      <w:r w:rsidRPr="008B1244">
        <w:rPr>
          <w:b/>
          <w:bCs/>
          <w:lang w:val="en-US"/>
        </w:rPr>
        <w:t>t depend on whether the top predicted beams are adjacent to the strongest beams or not. Option 3 does not suffer from this drawback</w:t>
      </w:r>
      <w:r w:rsidR="002E376A">
        <w:rPr>
          <w:b/>
          <w:bCs/>
          <w:lang w:val="en-US"/>
        </w:rPr>
        <w:t xml:space="preserve"> and retains the same usefulness as option 2.</w:t>
      </w:r>
    </w:p>
    <w:p w14:paraId="60FA50B9" w14:textId="3D01E56C" w:rsidR="005F4C74" w:rsidRPr="003A4868" w:rsidRDefault="005F4C74" w:rsidP="005F4C74">
      <w:pPr>
        <w:rPr>
          <w:lang w:val="en-US"/>
        </w:rPr>
      </w:pPr>
      <w:r>
        <w:rPr>
          <w:lang w:val="en-US"/>
        </w:rPr>
        <w:t xml:space="preserve">RAN1 </w:t>
      </w:r>
      <w:r w:rsidR="003A4868">
        <w:rPr>
          <w:lang w:val="en-US"/>
        </w:rPr>
        <w:t xml:space="preserve">also discussed these different prediction metrics during the last meeting and </w:t>
      </w:r>
      <w:r>
        <w:rPr>
          <w:lang w:val="en-US"/>
        </w:rPr>
        <w:t>made the following agreement in [6]:</w:t>
      </w:r>
    </w:p>
    <w:tbl>
      <w:tblPr>
        <w:tblStyle w:val="TableGrid"/>
        <w:tblW w:w="0" w:type="auto"/>
        <w:tblLook w:val="04A0" w:firstRow="1" w:lastRow="0" w:firstColumn="1" w:lastColumn="0" w:noHBand="0" w:noVBand="1"/>
      </w:tblPr>
      <w:tblGrid>
        <w:gridCol w:w="9617"/>
      </w:tblGrid>
      <w:tr w:rsidR="005F4C74" w:rsidRPr="001D0EB6" w14:paraId="2B26C5C1" w14:textId="77777777" w:rsidTr="000D64F9">
        <w:tc>
          <w:tcPr>
            <w:tcW w:w="9617" w:type="dxa"/>
          </w:tcPr>
          <w:p w14:paraId="1C1D427A" w14:textId="77777777" w:rsidR="005F4C74" w:rsidRPr="007E206A" w:rsidRDefault="005F4C74" w:rsidP="005F4C74">
            <w:r w:rsidRPr="007E206A">
              <w:rPr>
                <w:bCs/>
                <w:lang w:eastAsia="zh-CN"/>
              </w:rPr>
              <w:t xml:space="preserve">For BM-Case1 and BM-Case2 with a UE-sided AI/ML model, for Option 2 </w:t>
            </w:r>
            <w:r w:rsidRPr="007E206A">
              <w:t xml:space="preserve">(UE-assisted performance monitoring), further study </w:t>
            </w:r>
            <w:r>
              <w:rPr>
                <w:rFonts w:eastAsia="DengXian" w:hint="eastAsia"/>
                <w:lang w:eastAsia="zh-CN"/>
              </w:rPr>
              <w:t xml:space="preserve">at least </w:t>
            </w:r>
            <w:r w:rsidRPr="007E206A">
              <w:t xml:space="preserve">the following </w:t>
            </w:r>
            <w:r>
              <w:rPr>
                <w:rFonts w:eastAsia="DengXian" w:hint="eastAsia"/>
                <w:lang w:eastAsia="zh-CN"/>
              </w:rPr>
              <w:t>alternative</w:t>
            </w:r>
            <w:r w:rsidRPr="007E206A">
              <w:t>s, including:</w:t>
            </w:r>
          </w:p>
          <w:p w14:paraId="298C11AC" w14:textId="77777777" w:rsidR="005F4C74" w:rsidRPr="007E206A" w:rsidRDefault="005F4C74" w:rsidP="005F4C74">
            <w:pPr>
              <w:pStyle w:val="ListParagraph"/>
              <w:numPr>
                <w:ilvl w:val="0"/>
                <w:numId w:val="15"/>
              </w:numPr>
              <w:contextualSpacing w:val="0"/>
            </w:pPr>
            <w:r>
              <w:rPr>
                <w:rFonts w:eastAsia="DengXian" w:hint="eastAsia"/>
                <w:lang w:eastAsia="zh-CN"/>
              </w:rPr>
              <w:t>Alt</w:t>
            </w:r>
            <w:r w:rsidRPr="007E206A">
              <w:t xml:space="preserve"> 1: Top 1 or Top K beam prediction accuracy (with or without margin) by comparing the prediction results and the Top 1 or Top K beam based on the measurements from a resource set/resources for monitoring</w:t>
            </w:r>
          </w:p>
          <w:p w14:paraId="7D8EB4AB" w14:textId="77777777" w:rsidR="005F4C74" w:rsidRPr="007E206A" w:rsidRDefault="005F4C74" w:rsidP="005F4C74">
            <w:pPr>
              <w:pStyle w:val="ListParagraph"/>
              <w:numPr>
                <w:ilvl w:val="0"/>
                <w:numId w:val="15"/>
              </w:numPr>
              <w:contextualSpacing w:val="0"/>
            </w:pPr>
            <w:r>
              <w:rPr>
                <w:rFonts w:eastAsia="DengXian" w:hint="eastAsia"/>
                <w:lang w:eastAsia="zh-CN"/>
              </w:rPr>
              <w:t xml:space="preserve">Alt </w:t>
            </w:r>
            <w:r w:rsidRPr="007E206A">
              <w:t xml:space="preserve">2: The L1-RSRP difference information based on </w:t>
            </w:r>
            <w:r>
              <w:rPr>
                <w:rFonts w:eastAsia="DengXian" w:hint="eastAsia"/>
                <w:lang w:eastAsia="zh-CN"/>
              </w:rPr>
              <w:t xml:space="preserve">actual measurement of the </w:t>
            </w:r>
            <w:r w:rsidRPr="007E206A">
              <w:rPr>
                <w:rFonts w:eastAsia="DengXian"/>
                <w:lang w:eastAsia="zh-CN"/>
              </w:rPr>
              <w:t>L1-RSRP</w:t>
            </w:r>
            <w:r w:rsidRPr="007E206A">
              <w:t xml:space="preserve"> of </w:t>
            </w:r>
            <w:r>
              <w:rPr>
                <w:rFonts w:eastAsia="DengXian" w:hint="eastAsia"/>
                <w:lang w:eastAsia="zh-CN"/>
              </w:rPr>
              <w:t xml:space="preserve">one or more of </w:t>
            </w:r>
            <w:r w:rsidRPr="007E206A">
              <w:t xml:space="preserve">Top K predicted beam, and </w:t>
            </w:r>
            <w:r>
              <w:rPr>
                <w:rFonts w:eastAsia="DengXian" w:hint="eastAsia"/>
                <w:lang w:eastAsia="zh-CN"/>
              </w:rPr>
              <w:t xml:space="preserve">L1-RSRP </w:t>
            </w:r>
            <w:r w:rsidRPr="007E206A">
              <w:t>measurements from a resource set/resources for monitoring</w:t>
            </w:r>
          </w:p>
          <w:p w14:paraId="66B6055F" w14:textId="77777777" w:rsidR="005F4C74" w:rsidRPr="007E206A" w:rsidRDefault="005F4C74" w:rsidP="005F4C74">
            <w:pPr>
              <w:pStyle w:val="ListParagraph"/>
              <w:numPr>
                <w:ilvl w:val="0"/>
                <w:numId w:val="15"/>
              </w:numPr>
              <w:contextualSpacing w:val="0"/>
            </w:pPr>
            <w:r>
              <w:rPr>
                <w:rFonts w:eastAsia="DengXian" w:hint="eastAsia"/>
                <w:lang w:eastAsia="zh-CN"/>
              </w:rPr>
              <w:t>Alt</w:t>
            </w:r>
            <w:r w:rsidRPr="007E206A">
              <w:t xml:space="preserve"> 3: The RSRP difference information between the predicted RSRP</w:t>
            </w:r>
            <w:r>
              <w:rPr>
                <w:rFonts w:eastAsia="DengXian" w:hint="eastAsia"/>
                <w:lang w:eastAsia="zh-CN"/>
              </w:rPr>
              <w:t xml:space="preserve"> </w:t>
            </w:r>
            <w:r w:rsidRPr="007E206A">
              <w:t>and measured L1-RSRP of corresponding beam(s) of a resource set/resources for monitoring</w:t>
            </w:r>
          </w:p>
          <w:p w14:paraId="6FF8F416" w14:textId="77777777" w:rsidR="005F4C74" w:rsidRPr="007E206A" w:rsidRDefault="005F4C74" w:rsidP="005F4C74">
            <w:pPr>
              <w:pStyle w:val="ListParagraph"/>
              <w:numPr>
                <w:ilvl w:val="1"/>
                <w:numId w:val="15"/>
              </w:numPr>
              <w:contextualSpacing w:val="0"/>
            </w:pPr>
            <w:r w:rsidRPr="007E206A">
              <w:t xml:space="preserve">Note: resources for Set B for monitoring </w:t>
            </w:r>
            <w:r>
              <w:rPr>
                <w:rFonts w:eastAsia="DengXian" w:hint="eastAsia"/>
                <w:lang w:eastAsia="zh-CN"/>
              </w:rPr>
              <w:t xml:space="preserve">are </w:t>
            </w:r>
            <w:r w:rsidRPr="007E206A">
              <w:t xml:space="preserve">not precluded and can be study. </w:t>
            </w:r>
          </w:p>
          <w:p w14:paraId="3CB8E362" w14:textId="77777777" w:rsidR="005F4C74" w:rsidRPr="007E206A" w:rsidRDefault="005F4C74" w:rsidP="005F4C74">
            <w:pPr>
              <w:pStyle w:val="ListParagraph"/>
              <w:numPr>
                <w:ilvl w:val="1"/>
                <w:numId w:val="15"/>
              </w:numPr>
              <w:contextualSpacing w:val="0"/>
            </w:pPr>
            <w:r w:rsidRPr="007E206A">
              <w:t xml:space="preserve">Note: this is only applicable when the model can predict RSRP </w:t>
            </w:r>
          </w:p>
          <w:p w14:paraId="1BF7F5F4" w14:textId="77777777" w:rsidR="005F4C74" w:rsidRPr="007E206A" w:rsidRDefault="005F4C74" w:rsidP="005F4C74">
            <w:pPr>
              <w:pStyle w:val="ListParagraph"/>
              <w:numPr>
                <w:ilvl w:val="0"/>
                <w:numId w:val="15"/>
              </w:numPr>
              <w:contextualSpacing w:val="0"/>
              <w:rPr>
                <w:lang w:eastAsia="zh-CN"/>
              </w:rPr>
            </w:pPr>
            <w:r>
              <w:rPr>
                <w:rFonts w:eastAsia="DengXian" w:hint="eastAsia"/>
                <w:lang w:eastAsia="zh-CN"/>
              </w:rPr>
              <w:t>Alt</w:t>
            </w:r>
            <w:r w:rsidRPr="007E206A">
              <w:t xml:space="preserve"> 4: The probability information of the predicted beam(s) to be the Top 1 or Top K beam</w:t>
            </w:r>
          </w:p>
          <w:p w14:paraId="12A352D5" w14:textId="77777777" w:rsidR="005F4C74" w:rsidRPr="007E206A" w:rsidRDefault="005F4C74" w:rsidP="005F4C74">
            <w:pPr>
              <w:pStyle w:val="ListParagraph"/>
              <w:numPr>
                <w:ilvl w:val="1"/>
                <w:numId w:val="15"/>
              </w:numPr>
              <w:contextualSpacing w:val="0"/>
            </w:pPr>
            <w:r w:rsidRPr="007E206A">
              <w:t xml:space="preserve">Note: this is only applicable when the model can generate probability information </w:t>
            </w:r>
          </w:p>
          <w:p w14:paraId="1EAD69E8" w14:textId="77777777" w:rsidR="005F4C74" w:rsidRPr="007E206A" w:rsidRDefault="005F4C74" w:rsidP="005F4C74">
            <w:pPr>
              <w:pStyle w:val="ListParagraph"/>
              <w:numPr>
                <w:ilvl w:val="0"/>
                <w:numId w:val="15"/>
              </w:numPr>
              <w:contextualSpacing w:val="0"/>
              <w:rPr>
                <w:rFonts w:eastAsia="Times New Roman"/>
                <w:lang w:eastAsia="zh-CN"/>
              </w:rPr>
            </w:pPr>
            <w:r w:rsidRPr="007E206A">
              <w:rPr>
                <w:rFonts w:eastAsia="Times New Roman"/>
                <w:lang w:eastAsia="zh-CN"/>
              </w:rPr>
              <w:t xml:space="preserve">FFS: for </w:t>
            </w:r>
            <w:r>
              <w:rPr>
                <w:rFonts w:eastAsia="DengXian" w:hint="eastAsia"/>
                <w:lang w:eastAsia="zh-CN"/>
              </w:rPr>
              <w:t>Alt</w:t>
            </w:r>
            <w:r w:rsidRPr="007E206A">
              <w:rPr>
                <w:rFonts w:eastAsia="Times New Roman"/>
                <w:lang w:eastAsia="zh-CN"/>
              </w:rPr>
              <w:t xml:space="preserve"> 1/2/3, </w:t>
            </w:r>
            <w:r w:rsidRPr="007E206A">
              <w:t>on other details including how to configure the resource set/resources for monitoring, including</w:t>
            </w:r>
          </w:p>
          <w:p w14:paraId="7DC4A96B" w14:textId="77777777" w:rsidR="005F4C74" w:rsidRPr="003E08BE" w:rsidRDefault="005F4C74" w:rsidP="005F4C74">
            <w:pPr>
              <w:pStyle w:val="ListParagraph"/>
              <w:numPr>
                <w:ilvl w:val="1"/>
                <w:numId w:val="15"/>
              </w:numPr>
              <w:contextualSpacing w:val="0"/>
            </w:pPr>
            <w:r w:rsidRPr="003E08BE">
              <w:t xml:space="preserve">E.g. whether/how to use full set of Set A for measurement. </w:t>
            </w:r>
            <w:r>
              <w:rPr>
                <w:rFonts w:eastAsia="DengXian" w:hint="eastAsia"/>
                <w:lang w:eastAsia="zh-CN"/>
              </w:rPr>
              <w:t>I</w:t>
            </w:r>
            <w:r w:rsidRPr="003E08BE">
              <w:t xml:space="preserve">f not, whether/how to obtain the measurement of the predicted Top 1 or Top K beam for calculating the prediction accuracy or the RSRP difference.    </w:t>
            </w:r>
          </w:p>
          <w:p w14:paraId="05BC7D7D" w14:textId="7D2DEC22" w:rsidR="005F4C74" w:rsidRPr="001D0EB6" w:rsidRDefault="005F4C74" w:rsidP="000D64F9">
            <w:pPr>
              <w:pStyle w:val="ListParagraph"/>
              <w:numPr>
                <w:ilvl w:val="0"/>
                <w:numId w:val="15"/>
              </w:numPr>
              <w:contextualSpacing w:val="0"/>
              <w:rPr>
                <w:lang w:eastAsia="zh-CN"/>
              </w:rPr>
            </w:pPr>
            <w:r w:rsidRPr="007E206A">
              <w:t xml:space="preserve">For all </w:t>
            </w:r>
            <w:r>
              <w:rPr>
                <w:rFonts w:eastAsia="DengXian" w:hint="eastAsia"/>
                <w:lang w:eastAsia="zh-CN"/>
              </w:rPr>
              <w:t>alternative</w:t>
            </w:r>
            <w:r w:rsidRPr="007E206A">
              <w:t xml:space="preserve">s, study whether the performance </w:t>
            </w:r>
            <w:r>
              <w:rPr>
                <w:rFonts w:eastAsia="DengXian" w:hint="eastAsia"/>
                <w:lang w:eastAsia="zh-CN"/>
              </w:rPr>
              <w:t>information</w:t>
            </w:r>
            <w:r w:rsidRPr="007E206A">
              <w:t xml:space="preserve"> is calculated per sample (one-shot), or per set of samples (window) </w:t>
            </w:r>
          </w:p>
        </w:tc>
      </w:tr>
    </w:tbl>
    <w:p w14:paraId="23A66726" w14:textId="77777777" w:rsidR="005F4C74" w:rsidRDefault="005F4C74" w:rsidP="00F72CE5">
      <w:pPr>
        <w:rPr>
          <w:lang w:val="en-US"/>
        </w:rPr>
      </w:pPr>
    </w:p>
    <w:p w14:paraId="5C6B85F5" w14:textId="611D96D8" w:rsidR="005E43D0" w:rsidRPr="00C67740" w:rsidRDefault="00EF16E1" w:rsidP="00C67740">
      <w:pPr>
        <w:rPr>
          <w:lang w:val="en-US"/>
        </w:rPr>
      </w:pPr>
      <w:r>
        <w:rPr>
          <w:lang w:val="en-US"/>
        </w:rPr>
        <w:t>Hence, RAN4 can either wait for RAN1 to down-select prediction metrics. Or RAN4 can decide on its own. In the latter case, RAN4 should</w:t>
      </w:r>
      <w:r w:rsidR="007F4E5D">
        <w:rPr>
          <w:lang w:val="en-US"/>
        </w:rPr>
        <w:t xml:space="preserve"> select, at least, option 2 and option 3 of 38.843 as predicted metrics.</w:t>
      </w:r>
    </w:p>
    <w:p w14:paraId="2A4329CF" w14:textId="4B55BB54" w:rsidR="00F72CE5" w:rsidRPr="008B1244" w:rsidRDefault="005A559A" w:rsidP="00F72CE5">
      <w:pPr>
        <w:rPr>
          <w:b/>
          <w:bCs/>
        </w:rPr>
      </w:pPr>
      <w:r w:rsidRPr="008B1244">
        <w:rPr>
          <w:b/>
          <w:bCs/>
        </w:rPr>
        <w:t xml:space="preserve">Proposal </w:t>
      </w:r>
      <w:r w:rsidR="00647DB0">
        <w:rPr>
          <w:b/>
          <w:bCs/>
        </w:rPr>
        <w:t>3</w:t>
      </w:r>
      <w:r w:rsidRPr="008B1244">
        <w:rPr>
          <w:b/>
          <w:bCs/>
        </w:rPr>
        <w:t>: Regarding down-selection of prediction metrics</w:t>
      </w:r>
      <w:r w:rsidR="002E376A">
        <w:rPr>
          <w:b/>
          <w:bCs/>
        </w:rPr>
        <w:t xml:space="preserve"> in sp</w:t>
      </w:r>
      <w:r w:rsidR="00CD2E23">
        <w:rPr>
          <w:b/>
          <w:bCs/>
        </w:rPr>
        <w:t>atial beam prediction</w:t>
      </w:r>
      <w:r w:rsidRPr="008B1244">
        <w:rPr>
          <w:b/>
          <w:bCs/>
        </w:rPr>
        <w:t xml:space="preserve">, RAN4 </w:t>
      </w:r>
      <w:r w:rsidR="00D451E2">
        <w:rPr>
          <w:b/>
          <w:bCs/>
        </w:rPr>
        <w:t>takes</w:t>
      </w:r>
      <w:r w:rsidR="00E469C2" w:rsidRPr="008B1244">
        <w:rPr>
          <w:b/>
          <w:bCs/>
        </w:rPr>
        <w:t xml:space="preserve"> one of the following two approaches:</w:t>
      </w:r>
    </w:p>
    <w:p w14:paraId="276D6CA2" w14:textId="7FCF87F5" w:rsidR="00E469C2" w:rsidRPr="008B1244" w:rsidRDefault="00E469C2" w:rsidP="00E469C2">
      <w:pPr>
        <w:pStyle w:val="ListParagraph"/>
        <w:numPr>
          <w:ilvl w:val="0"/>
          <w:numId w:val="16"/>
        </w:numPr>
        <w:rPr>
          <w:b/>
          <w:bCs/>
        </w:rPr>
      </w:pPr>
      <w:r w:rsidRPr="008B1244">
        <w:rPr>
          <w:b/>
          <w:bCs/>
        </w:rPr>
        <w:t>Approach 1: Wait for RAN1 to down</w:t>
      </w:r>
      <w:r w:rsidR="000C0114">
        <w:rPr>
          <w:b/>
          <w:bCs/>
        </w:rPr>
        <w:t>-</w:t>
      </w:r>
      <w:r w:rsidRPr="008B1244">
        <w:rPr>
          <w:b/>
          <w:bCs/>
        </w:rPr>
        <w:t>select the prediction metrics.</w:t>
      </w:r>
    </w:p>
    <w:p w14:paraId="515F13D7" w14:textId="579FC1E8" w:rsidR="00E469C2" w:rsidRPr="008B1244" w:rsidRDefault="00E469C2" w:rsidP="00E469C2">
      <w:pPr>
        <w:pStyle w:val="ListParagraph"/>
        <w:numPr>
          <w:ilvl w:val="0"/>
          <w:numId w:val="16"/>
        </w:numPr>
        <w:rPr>
          <w:b/>
          <w:bCs/>
        </w:rPr>
      </w:pPr>
      <w:r w:rsidRPr="008B1244">
        <w:rPr>
          <w:b/>
          <w:bCs/>
        </w:rPr>
        <w:t>Approach 2: Down</w:t>
      </w:r>
      <w:r w:rsidR="000C0114">
        <w:rPr>
          <w:b/>
          <w:bCs/>
        </w:rPr>
        <w:t>-</w:t>
      </w:r>
      <w:r w:rsidRPr="008B1244">
        <w:rPr>
          <w:b/>
          <w:bCs/>
        </w:rPr>
        <w:t xml:space="preserve">select the prediction metrics for RAN4 tests </w:t>
      </w:r>
      <w:r w:rsidR="008B1244" w:rsidRPr="008B1244">
        <w:rPr>
          <w:b/>
          <w:bCs/>
        </w:rPr>
        <w:t>in RAN4.</w:t>
      </w:r>
    </w:p>
    <w:p w14:paraId="4405F109" w14:textId="5BB7433B" w:rsidR="008B1244" w:rsidRPr="008B1244" w:rsidRDefault="008B1244" w:rsidP="008B1244">
      <w:pPr>
        <w:pStyle w:val="ListParagraph"/>
        <w:numPr>
          <w:ilvl w:val="1"/>
          <w:numId w:val="16"/>
        </w:numPr>
        <w:rPr>
          <w:b/>
          <w:bCs/>
        </w:rPr>
      </w:pPr>
      <w:r w:rsidRPr="008B1244">
        <w:rPr>
          <w:b/>
          <w:bCs/>
        </w:rPr>
        <w:t>In approach 2, RAN4 should select option 2 and option 3 of 38.843.</w:t>
      </w:r>
    </w:p>
    <w:p w14:paraId="1A635BA3" w14:textId="58308690" w:rsidR="002F19CF" w:rsidRDefault="002F19CF">
      <w:pPr>
        <w:pStyle w:val="Heading2"/>
      </w:pPr>
      <w:r>
        <w:lastRenderedPageBreak/>
        <w:t>2.3 TCI State Status of Predicted Tx Beam</w:t>
      </w:r>
    </w:p>
    <w:p w14:paraId="5741F12D" w14:textId="4596A5D8" w:rsidR="008B1244" w:rsidRDefault="00FD6A0A" w:rsidP="008B1244">
      <w:r>
        <w:t xml:space="preserve">During the last meeting, RAN4 discussed whether the TCI state of predicted Tx beam is known or unknown. RAN4 also discussed whether UE knows the RX beam paired with the predicted TX beam. </w:t>
      </w:r>
    </w:p>
    <w:p w14:paraId="2778872A" w14:textId="42360A35" w:rsidR="00E25B96" w:rsidRDefault="002B581A" w:rsidP="008B1244">
      <w:r>
        <w:t xml:space="preserve">3GPP is considering L1-RSRP accuracy as a potential prediction metric for AI-ML based beam management. </w:t>
      </w:r>
      <w:r w:rsidR="002232E6">
        <w:t xml:space="preserve">For both temporal and spatial beam prediction, </w:t>
      </w:r>
      <w:r w:rsidR="00EC598E">
        <w:t xml:space="preserve">UE must know its RX beam to predict L1-RSRP accuracy of a </w:t>
      </w:r>
      <w:r w:rsidR="00E11AA2">
        <w:t xml:space="preserve">particular </w:t>
      </w:r>
      <w:proofErr w:type="spellStart"/>
      <w:r w:rsidR="00E11AA2">
        <w:t>gNB</w:t>
      </w:r>
      <w:proofErr w:type="spellEnd"/>
      <w:r w:rsidR="00E11AA2">
        <w:t xml:space="preserve"> TX beam. If UE does not know its RX beam corresponding to the</w:t>
      </w:r>
      <w:r w:rsidR="002232E6">
        <w:t xml:space="preserve"> </w:t>
      </w:r>
      <w:proofErr w:type="spellStart"/>
      <w:r w:rsidR="00CE61D9">
        <w:t>gNB</w:t>
      </w:r>
      <w:proofErr w:type="spellEnd"/>
      <w:r w:rsidR="002232E6">
        <w:t xml:space="preserve"> Tx beam, UE’s predicted </w:t>
      </w:r>
      <w:r w:rsidR="007F01AA">
        <w:t xml:space="preserve">L1-RSRP </w:t>
      </w:r>
      <w:r w:rsidR="002232E6">
        <w:t xml:space="preserve">RSRP will be drastically </w:t>
      </w:r>
      <w:r w:rsidR="007F01AA">
        <w:t>different from the actual L1-RSRP.</w:t>
      </w:r>
    </w:p>
    <w:p w14:paraId="2A423C82" w14:textId="0D200818" w:rsidR="0059539E" w:rsidRPr="00B0285A" w:rsidRDefault="0059539E" w:rsidP="008B1244">
      <w:pPr>
        <w:rPr>
          <w:b/>
          <w:bCs/>
        </w:rPr>
      </w:pPr>
      <w:r w:rsidRPr="00B0285A">
        <w:rPr>
          <w:b/>
          <w:bCs/>
        </w:rPr>
        <w:t xml:space="preserve">Observation 5: </w:t>
      </w:r>
      <w:r w:rsidR="007F23EC" w:rsidRPr="00B0285A">
        <w:rPr>
          <w:b/>
          <w:bCs/>
        </w:rPr>
        <w:t xml:space="preserve">3GPP is considering L1-RSRP accuracy as a potential prediction metric for AI-ML based beam management. UE </w:t>
      </w:r>
      <w:r w:rsidR="007A7E65">
        <w:rPr>
          <w:b/>
          <w:bCs/>
        </w:rPr>
        <w:t>has to</w:t>
      </w:r>
      <w:r w:rsidR="007F23EC" w:rsidRPr="00B0285A">
        <w:rPr>
          <w:b/>
          <w:bCs/>
        </w:rPr>
        <w:t xml:space="preserve"> know its RX beam to predict L1-RSRP accuracy of a particular </w:t>
      </w:r>
      <w:proofErr w:type="spellStart"/>
      <w:r w:rsidR="007F23EC" w:rsidRPr="00B0285A">
        <w:rPr>
          <w:b/>
          <w:bCs/>
        </w:rPr>
        <w:t>gNB</w:t>
      </w:r>
      <w:proofErr w:type="spellEnd"/>
      <w:r w:rsidR="007F23EC" w:rsidRPr="00B0285A">
        <w:rPr>
          <w:b/>
          <w:bCs/>
        </w:rPr>
        <w:t xml:space="preserve"> TX beam.</w:t>
      </w:r>
    </w:p>
    <w:p w14:paraId="0DF9EB90" w14:textId="77777777" w:rsidR="008A19B8" w:rsidRDefault="008A19B8" w:rsidP="008A19B8">
      <w:r>
        <w:t xml:space="preserve">3GPP is also considering top-1 (%) beam or top-K (%) beam as a prediction metric. UE has to predict the top beams of </w:t>
      </w:r>
      <w:proofErr w:type="spellStart"/>
      <w:r>
        <w:t>setA</w:t>
      </w:r>
      <w:proofErr w:type="spellEnd"/>
      <w:r>
        <w:t xml:space="preserve"> based on what UE would see at its baseband. To compare between </w:t>
      </w:r>
      <w:proofErr w:type="spellStart"/>
      <w:r>
        <w:t>gNB</w:t>
      </w:r>
      <w:proofErr w:type="spellEnd"/>
      <w:r>
        <w:t xml:space="preserve"> beams, UE needs to have some idea of the Rx gain associated with them. Hence, UE has to know the Rx beam of the predicted </w:t>
      </w:r>
      <w:proofErr w:type="spellStart"/>
      <w:r>
        <w:t>gNB</w:t>
      </w:r>
      <w:proofErr w:type="spellEnd"/>
      <w:r>
        <w:t xml:space="preserve"> beam even if it only has to predict top-1 (%) or top-K (%) beams.</w:t>
      </w:r>
    </w:p>
    <w:p w14:paraId="004263C3" w14:textId="6007AD16" w:rsidR="008A19B8" w:rsidRPr="00FE5B8B" w:rsidRDefault="008A19B8" w:rsidP="008B1244">
      <w:pPr>
        <w:rPr>
          <w:b/>
          <w:bCs/>
        </w:rPr>
      </w:pPr>
      <w:r w:rsidRPr="00FE5B8B">
        <w:rPr>
          <w:b/>
          <w:bCs/>
        </w:rPr>
        <w:t xml:space="preserve">Observation </w:t>
      </w:r>
      <w:r w:rsidR="003C0EC8" w:rsidRPr="00FE5B8B">
        <w:rPr>
          <w:b/>
          <w:bCs/>
        </w:rPr>
        <w:t xml:space="preserve">6: To compare between </w:t>
      </w:r>
      <w:proofErr w:type="spellStart"/>
      <w:r w:rsidR="003C0EC8" w:rsidRPr="00FE5B8B">
        <w:rPr>
          <w:b/>
          <w:bCs/>
        </w:rPr>
        <w:t>gNB</w:t>
      </w:r>
      <w:proofErr w:type="spellEnd"/>
      <w:r w:rsidR="003C0EC8" w:rsidRPr="00FE5B8B">
        <w:rPr>
          <w:b/>
          <w:bCs/>
        </w:rPr>
        <w:t xml:space="preserve"> beams of </w:t>
      </w:r>
      <w:proofErr w:type="spellStart"/>
      <w:r w:rsidR="003C0EC8" w:rsidRPr="00FE5B8B">
        <w:rPr>
          <w:b/>
          <w:bCs/>
        </w:rPr>
        <w:t>setA</w:t>
      </w:r>
      <w:proofErr w:type="spellEnd"/>
      <w:r w:rsidR="003C0EC8" w:rsidRPr="00FE5B8B">
        <w:rPr>
          <w:b/>
          <w:bCs/>
        </w:rPr>
        <w:t xml:space="preserve">, UE needs to have some idea of the Rx gain associated with them. UE </w:t>
      </w:r>
      <w:r w:rsidR="00FE5B8B" w:rsidRPr="00FE5B8B">
        <w:rPr>
          <w:b/>
          <w:bCs/>
        </w:rPr>
        <w:t>has to</w:t>
      </w:r>
      <w:r w:rsidR="003C0EC8" w:rsidRPr="00FE5B8B">
        <w:rPr>
          <w:b/>
          <w:bCs/>
        </w:rPr>
        <w:t xml:space="preserve"> know the Rx beam of the predicted </w:t>
      </w:r>
      <w:proofErr w:type="spellStart"/>
      <w:r w:rsidR="003C0EC8" w:rsidRPr="00FE5B8B">
        <w:rPr>
          <w:b/>
          <w:bCs/>
        </w:rPr>
        <w:t>gNB</w:t>
      </w:r>
      <w:proofErr w:type="spellEnd"/>
      <w:r w:rsidR="003C0EC8" w:rsidRPr="00FE5B8B">
        <w:rPr>
          <w:b/>
          <w:bCs/>
        </w:rPr>
        <w:t xml:space="preserve"> beam even if it only has to predict top-1 (%) or top-K (%) beams.</w:t>
      </w:r>
    </w:p>
    <w:p w14:paraId="0035ADB1" w14:textId="11B8F958" w:rsidR="0059539E" w:rsidRDefault="007E3E0B" w:rsidP="008B1244">
      <w:r>
        <w:t xml:space="preserve">Some companies mentioned that </w:t>
      </w:r>
      <w:r w:rsidR="00865811">
        <w:t xml:space="preserve">the AI-ML model considered in RAN1 </w:t>
      </w:r>
      <w:r w:rsidR="00CD27BA">
        <w:t>uses (</w:t>
      </w:r>
      <w:proofErr w:type="spellStart"/>
      <w:r w:rsidR="00CD27BA">
        <w:t>gNB</w:t>
      </w:r>
      <w:proofErr w:type="spellEnd"/>
      <w:r w:rsidR="00CD27BA">
        <w:t xml:space="preserve"> Tx beam, measured RSRP) as inputs and the model does not explicitly indicate UE’s Rx beam. </w:t>
      </w:r>
      <w:r w:rsidR="0034527D">
        <w:t xml:space="preserve">RAN1 assumed that UE knows its corresponding </w:t>
      </w:r>
      <w:r w:rsidR="00362765">
        <w:t xml:space="preserve">RX beam for the </w:t>
      </w:r>
      <w:r w:rsidR="004120A1">
        <w:t xml:space="preserve">output of the AI-ML model, including predicted </w:t>
      </w:r>
      <w:proofErr w:type="spellStart"/>
      <w:r w:rsidR="004120A1">
        <w:t>gNB</w:t>
      </w:r>
      <w:proofErr w:type="spellEnd"/>
      <w:r w:rsidR="004120A1">
        <w:t xml:space="preserve"> T</w:t>
      </w:r>
      <w:r w:rsidR="0059539E">
        <w:t>x beam. That’s why, RAN1 did not explicitly include UE’s RX beam in the AI-ML model.</w:t>
      </w:r>
    </w:p>
    <w:p w14:paraId="52C41C14" w14:textId="77AEC9BC" w:rsidR="00B0285A" w:rsidRDefault="00B0285A" w:rsidP="008B1244">
      <w:pPr>
        <w:rPr>
          <w:b/>
          <w:bCs/>
        </w:rPr>
      </w:pPr>
      <w:r w:rsidRPr="00B0285A">
        <w:rPr>
          <w:b/>
          <w:bCs/>
        </w:rPr>
        <w:t xml:space="preserve">Observation </w:t>
      </w:r>
      <w:r w:rsidR="008A19B8">
        <w:rPr>
          <w:b/>
          <w:bCs/>
        </w:rPr>
        <w:t>7</w:t>
      </w:r>
      <w:r w:rsidRPr="00B0285A">
        <w:rPr>
          <w:b/>
          <w:bCs/>
        </w:rPr>
        <w:t>: Some companies mentioned that the AI-ML model considered in RAN1 uses (</w:t>
      </w:r>
      <w:proofErr w:type="spellStart"/>
      <w:r w:rsidRPr="00B0285A">
        <w:rPr>
          <w:b/>
          <w:bCs/>
        </w:rPr>
        <w:t>gNB</w:t>
      </w:r>
      <w:proofErr w:type="spellEnd"/>
      <w:r w:rsidRPr="00B0285A">
        <w:rPr>
          <w:b/>
          <w:bCs/>
        </w:rPr>
        <w:t xml:space="preserve"> Tx beam, measured RSRP) as inputs and the model does not explicitly indicate UE’s Rx beam. RAN1 assumed that UE knows its corresponding RX beam for the output of the AI-ML model, including predicted </w:t>
      </w:r>
      <w:proofErr w:type="spellStart"/>
      <w:r w:rsidRPr="00B0285A">
        <w:rPr>
          <w:b/>
          <w:bCs/>
        </w:rPr>
        <w:t>gNB</w:t>
      </w:r>
      <w:proofErr w:type="spellEnd"/>
      <w:r w:rsidRPr="00B0285A">
        <w:rPr>
          <w:b/>
          <w:bCs/>
        </w:rPr>
        <w:t xml:space="preserve"> Tx beam.</w:t>
      </w:r>
    </w:p>
    <w:p w14:paraId="0DBE83FE" w14:textId="392A4E4B" w:rsidR="00B0285A" w:rsidRPr="00B0285A" w:rsidRDefault="00B0285A" w:rsidP="008B1244">
      <w:r w:rsidRPr="00B0285A">
        <w:t xml:space="preserve">RAN4 </w:t>
      </w:r>
      <w:r>
        <w:t xml:space="preserve">needs to further discuss whether the TCI state corresponding to </w:t>
      </w:r>
      <w:r w:rsidR="000C46E0">
        <w:t xml:space="preserve">predicted TX beam is known or unknown. </w:t>
      </w:r>
    </w:p>
    <w:p w14:paraId="38DAEBA8" w14:textId="4A1F21D7" w:rsidR="007715F3" w:rsidRPr="003A4868" w:rsidRDefault="004120A1" w:rsidP="007715F3">
      <w:pPr>
        <w:rPr>
          <w:lang w:val="en-US"/>
        </w:rPr>
      </w:pPr>
      <w:r>
        <w:t xml:space="preserve"> </w:t>
      </w:r>
      <w:r w:rsidR="005D3E68">
        <w:t>RAN4 spec differentiates between known and unknown condition for TCI state in the following way</w:t>
      </w:r>
      <w:r w:rsidR="00405F94">
        <w:t xml:space="preserve"> [7]</w:t>
      </w:r>
      <w:r w:rsidR="005D3E68">
        <w:t>:</w:t>
      </w:r>
    </w:p>
    <w:tbl>
      <w:tblPr>
        <w:tblStyle w:val="TableGrid"/>
        <w:tblW w:w="0" w:type="auto"/>
        <w:tblLook w:val="04A0" w:firstRow="1" w:lastRow="0" w:firstColumn="1" w:lastColumn="0" w:noHBand="0" w:noVBand="1"/>
      </w:tblPr>
      <w:tblGrid>
        <w:gridCol w:w="9617"/>
      </w:tblGrid>
      <w:tr w:rsidR="007715F3" w:rsidRPr="001D0EB6" w14:paraId="6CDB69C9" w14:textId="77777777" w:rsidTr="000D64F9">
        <w:tc>
          <w:tcPr>
            <w:tcW w:w="9617" w:type="dxa"/>
          </w:tcPr>
          <w:p w14:paraId="0A30FF39" w14:textId="77777777" w:rsidR="005D3E68" w:rsidRPr="009C5807" w:rsidRDefault="005D3E68" w:rsidP="005D3E68">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TCI state is known if the following conditions are met:</w:t>
            </w:r>
          </w:p>
          <w:p w14:paraId="14BBF5DE" w14:textId="77777777" w:rsidR="005D3E68" w:rsidRPr="009C5807" w:rsidRDefault="005D3E68" w:rsidP="005D3E68">
            <w:pPr>
              <w:pStyle w:val="B1"/>
            </w:pPr>
            <w:r w:rsidRPr="009C5807">
              <w:rPr>
                <w:lang w:eastAsia="zh-CN"/>
              </w:rPr>
              <w:t>-</w:t>
            </w:r>
            <w:r w:rsidRPr="009C5807">
              <w:rPr>
                <w:lang w:eastAsia="zh-CN"/>
              </w:rPr>
              <w:tab/>
              <w:t xml:space="preserve">During the period from the last transmission of the RS resource used for the L1-RSRP measurement reporting </w:t>
            </w:r>
            <w:r w:rsidRPr="009C5807">
              <w:t xml:space="preserve">for the target TCI state to the completion of active TCI state switch, where the RS resource for L1-RSRP measurement is the RS in target TCI state or </w:t>
            </w:r>
            <w:proofErr w:type="spellStart"/>
            <w:r w:rsidRPr="009C5807">
              <w:t>QCLed</w:t>
            </w:r>
            <w:proofErr w:type="spellEnd"/>
            <w:r w:rsidRPr="009C5807">
              <w:t xml:space="preserve"> to the target TCI state</w:t>
            </w:r>
          </w:p>
          <w:p w14:paraId="09D3F60E" w14:textId="77777777" w:rsidR="005D3E68" w:rsidRPr="009C5807" w:rsidRDefault="005D3E68" w:rsidP="005D3E68">
            <w:pPr>
              <w:pStyle w:val="B2"/>
              <w:rPr>
                <w:lang w:eastAsia="zh-CN"/>
              </w:rPr>
            </w:pPr>
            <w:r w:rsidRPr="009C5807">
              <w:rPr>
                <w:lang w:eastAsia="zh-CN"/>
              </w:rPr>
              <w:t>-</w:t>
            </w:r>
            <w:r w:rsidRPr="009C5807">
              <w:rPr>
                <w:lang w:eastAsia="zh-CN"/>
              </w:rPr>
              <w:tab/>
              <w:t xml:space="preserve">TCI state switch command is received within 1280 </w:t>
            </w:r>
            <w:proofErr w:type="spellStart"/>
            <w:r w:rsidRPr="009C5807">
              <w:rPr>
                <w:lang w:eastAsia="zh-CN"/>
              </w:rPr>
              <w:t>ms</w:t>
            </w:r>
            <w:proofErr w:type="spellEnd"/>
            <w:r w:rsidRPr="009C5807">
              <w:rPr>
                <w:lang w:eastAsia="zh-CN"/>
              </w:rPr>
              <w:t xml:space="preserve"> upon the last transmission of the RS resource for beam reporting or measurement </w:t>
            </w:r>
          </w:p>
          <w:p w14:paraId="2393379A" w14:textId="77777777" w:rsidR="005D3E68" w:rsidRPr="009C5807" w:rsidRDefault="005D3E68" w:rsidP="005D3E68">
            <w:pPr>
              <w:pStyle w:val="B2"/>
              <w:rPr>
                <w:lang w:eastAsia="zh-CN"/>
              </w:rPr>
            </w:pPr>
            <w:r w:rsidRPr="009C5807">
              <w:rPr>
                <w:lang w:eastAsia="zh-CN"/>
              </w:rPr>
              <w:t>-</w:t>
            </w:r>
            <w:r w:rsidRPr="009C5807">
              <w:rPr>
                <w:lang w:eastAsia="zh-CN"/>
              </w:rPr>
              <w:tab/>
              <w:t>The UE has sent at least 1 L1-RSRP report for the target TCI state before the TCI state switch command</w:t>
            </w:r>
          </w:p>
          <w:p w14:paraId="61C8D17B" w14:textId="77777777" w:rsidR="005D3E68" w:rsidRPr="009C5807" w:rsidRDefault="005D3E68" w:rsidP="005D3E68">
            <w:pPr>
              <w:pStyle w:val="B2"/>
              <w:rPr>
                <w:lang w:eastAsia="zh-CN"/>
              </w:rPr>
            </w:pPr>
            <w:r w:rsidRPr="009C5807">
              <w:rPr>
                <w:lang w:eastAsia="zh-CN"/>
              </w:rPr>
              <w:t>-</w:t>
            </w:r>
            <w:r w:rsidRPr="009C5807">
              <w:rPr>
                <w:lang w:eastAsia="zh-CN"/>
              </w:rPr>
              <w:tab/>
              <w:t>The TCI state remains detectable during the TCI state switching period</w:t>
            </w:r>
          </w:p>
          <w:p w14:paraId="701940E9" w14:textId="77777777" w:rsidR="005D3E68" w:rsidRPr="009C5807" w:rsidRDefault="005D3E68" w:rsidP="005D3E68">
            <w:pPr>
              <w:pStyle w:val="B2"/>
              <w:rPr>
                <w:lang w:eastAsia="zh-CN"/>
              </w:rPr>
            </w:pPr>
            <w:r w:rsidRPr="009C5807">
              <w:rPr>
                <w:lang w:eastAsia="zh-CN"/>
              </w:rPr>
              <w:t>-</w:t>
            </w:r>
            <w:r w:rsidRPr="009C5807">
              <w:rPr>
                <w:lang w:eastAsia="zh-CN"/>
              </w:rPr>
              <w:tab/>
            </w:r>
            <w:bookmarkStart w:id="2" w:name="_Hlk18067072"/>
            <w:r w:rsidRPr="009C5807">
              <w:rPr>
                <w:lang w:eastAsia="zh-CN"/>
              </w:rPr>
              <w:t>The SSB associated with the TCI state remain detectable during the TCI switching period</w:t>
            </w:r>
            <w:bookmarkEnd w:id="2"/>
          </w:p>
          <w:p w14:paraId="13DC13B2" w14:textId="77777777" w:rsidR="005D3E68" w:rsidRPr="009C5807" w:rsidRDefault="005D3E68" w:rsidP="005D3E68">
            <w:pPr>
              <w:pStyle w:val="B3"/>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582DB73C" w14:textId="68A954DA" w:rsidR="007715F3" w:rsidRPr="005D3E68" w:rsidRDefault="005D3E68" w:rsidP="005D3E68">
            <w:pPr>
              <w:rPr>
                <w:rFonts w:eastAsia="Malgun Gothic"/>
                <w:lang w:eastAsia="zh-CN"/>
              </w:rPr>
            </w:pPr>
            <w:r w:rsidRPr="009C5807">
              <w:rPr>
                <w:rFonts w:eastAsia="Malgun Gothic"/>
                <w:lang w:eastAsia="zh-CN"/>
              </w:rPr>
              <w:t>Otherwise, the TCI state is unknown.</w:t>
            </w:r>
          </w:p>
        </w:tc>
      </w:tr>
    </w:tbl>
    <w:p w14:paraId="5D80A773" w14:textId="387640ED" w:rsidR="007E3E0B" w:rsidRDefault="007E3E0B" w:rsidP="008B1244"/>
    <w:p w14:paraId="78E84FD7" w14:textId="6639DB72" w:rsidR="00405F94" w:rsidRDefault="00405F94" w:rsidP="008B1244">
      <w:r>
        <w:t xml:space="preserve">As above text shows, </w:t>
      </w:r>
      <w:r w:rsidR="0098641F">
        <w:t>the SNR of the SSB associated with the TCI state needs to be &gt;= -3 dB for TCI state to be known. These types of side conditions need to r</w:t>
      </w:r>
      <w:r w:rsidR="00677085">
        <w:t>evisited to determine if the TCI state corresponding to the strongest beam is known or unknown.</w:t>
      </w:r>
    </w:p>
    <w:p w14:paraId="359FEE1B" w14:textId="3AE8AD37" w:rsidR="005C4E51" w:rsidRPr="005C4E51" w:rsidRDefault="008F4278" w:rsidP="005C4E51">
      <w:pPr>
        <w:rPr>
          <w:b/>
          <w:bCs/>
          <w:lang w:val="en-US"/>
        </w:rPr>
      </w:pPr>
      <w:r w:rsidRPr="005C4E51">
        <w:rPr>
          <w:b/>
          <w:bCs/>
        </w:rPr>
        <w:t xml:space="preserve">Proposal </w:t>
      </w:r>
      <w:r w:rsidR="00647DB0">
        <w:rPr>
          <w:b/>
          <w:bCs/>
        </w:rPr>
        <w:t>4</w:t>
      </w:r>
      <w:r w:rsidRPr="005C4E51">
        <w:rPr>
          <w:b/>
          <w:bCs/>
        </w:rPr>
        <w:t xml:space="preserve">: </w:t>
      </w:r>
      <w:r w:rsidR="005C4E51" w:rsidRPr="005C4E51">
        <w:rPr>
          <w:b/>
          <w:bCs/>
          <w:lang w:val="en-US"/>
        </w:rPr>
        <w:t>UE knows the RX beam paired with the predicted Tx beam.</w:t>
      </w:r>
    </w:p>
    <w:p w14:paraId="537E4FF5" w14:textId="77777777" w:rsidR="005C4E51" w:rsidRPr="005C4E51" w:rsidRDefault="005C4E51" w:rsidP="005C4E51">
      <w:pPr>
        <w:numPr>
          <w:ilvl w:val="1"/>
          <w:numId w:val="17"/>
        </w:numPr>
        <w:rPr>
          <w:b/>
          <w:bCs/>
          <w:lang w:val="en-US"/>
        </w:rPr>
      </w:pPr>
      <w:r w:rsidRPr="005C4E51">
        <w:rPr>
          <w:b/>
          <w:bCs/>
          <w:lang w:val="en-US"/>
        </w:rPr>
        <w:t xml:space="preserve">FFS: Whether TCI state should be considered known. </w:t>
      </w:r>
    </w:p>
    <w:p w14:paraId="7408A56B" w14:textId="1490869C" w:rsidR="008F4278" w:rsidRPr="009A67F6" w:rsidRDefault="005C4E51" w:rsidP="008B1244">
      <w:pPr>
        <w:numPr>
          <w:ilvl w:val="1"/>
          <w:numId w:val="17"/>
        </w:numPr>
        <w:rPr>
          <w:b/>
          <w:bCs/>
          <w:lang w:val="en-US"/>
        </w:rPr>
      </w:pPr>
      <w:r w:rsidRPr="005C4E51">
        <w:rPr>
          <w:b/>
          <w:bCs/>
          <w:lang w:val="en-US"/>
        </w:rPr>
        <w:t>FFS: Whether side conditions for known TCI state should be modified (relaxed) for this case.</w:t>
      </w:r>
    </w:p>
    <w:p w14:paraId="0C75B5F3" w14:textId="28DA1CA6" w:rsidR="00D800C0" w:rsidRPr="00D800C0" w:rsidRDefault="002F19CF" w:rsidP="00D800C0">
      <w:pPr>
        <w:pStyle w:val="Heading1"/>
        <w:rPr>
          <w:lang w:val="en-US"/>
        </w:rPr>
      </w:pPr>
      <w:r>
        <w:rPr>
          <w:lang w:val="en-US"/>
        </w:rPr>
        <w:lastRenderedPageBreak/>
        <w:t>Conclusions</w:t>
      </w:r>
    </w:p>
    <w:p w14:paraId="180FC870" w14:textId="06661ADC" w:rsidR="005C4E51" w:rsidRDefault="005C4E51" w:rsidP="005C4E51">
      <w:pPr>
        <w:rPr>
          <w:b/>
          <w:bCs/>
        </w:rPr>
      </w:pPr>
      <w:r w:rsidRPr="00530949">
        <w:rPr>
          <w:b/>
          <w:bCs/>
        </w:rPr>
        <w:t xml:space="preserve">Observation 1: Legacy RAN4 RRM spec allows UE to measure reference signals for a certain duration to meet corresponding accuracy requirements. </w:t>
      </w:r>
      <w:r>
        <w:rPr>
          <w:b/>
          <w:bCs/>
        </w:rPr>
        <w:t xml:space="preserve">The required duration depends on SMTC and measurement </w:t>
      </w:r>
      <w:r w:rsidR="0000310A">
        <w:rPr>
          <w:b/>
          <w:bCs/>
        </w:rPr>
        <w:t>gap-based</w:t>
      </w:r>
      <w:r>
        <w:rPr>
          <w:b/>
          <w:bCs/>
        </w:rPr>
        <w:t xml:space="preserve"> sharing factor, and DRX cycle.</w:t>
      </w:r>
    </w:p>
    <w:p w14:paraId="1A422346" w14:textId="3A9F9B26" w:rsidR="005C4E51" w:rsidRDefault="005C4E51" w:rsidP="005C4E51">
      <w:pPr>
        <w:rPr>
          <w:b/>
          <w:bCs/>
        </w:rPr>
      </w:pPr>
      <w:r w:rsidRPr="00BB360D">
        <w:rPr>
          <w:b/>
          <w:bCs/>
        </w:rPr>
        <w:t>Observation 2: RAN1 has introduced the concept of association ID that conveys the properties of a DL Tx beam set. UE may require different evaluation period for prediction for different properties of a DL Tx beam set.</w:t>
      </w:r>
    </w:p>
    <w:p w14:paraId="2EB98963" w14:textId="46E19588" w:rsidR="005C4E51" w:rsidRPr="008B1244" w:rsidRDefault="005C4E51" w:rsidP="005C4E51">
      <w:pPr>
        <w:rPr>
          <w:b/>
          <w:bCs/>
          <w:lang w:val="en-US"/>
        </w:rPr>
      </w:pPr>
      <w:r w:rsidRPr="008B1244">
        <w:rPr>
          <w:b/>
          <w:bCs/>
          <w:lang w:val="en-US"/>
        </w:rPr>
        <w:t>Observation 3: Option 2’s usefulness lies in the fact that network can use UE’s predicted top beam to change UE’s TCI state.</w:t>
      </w:r>
    </w:p>
    <w:p w14:paraId="0C3029A0" w14:textId="372629B9" w:rsidR="005C4E51" w:rsidRPr="005C4E51" w:rsidRDefault="005C4E51" w:rsidP="005C4E51">
      <w:pPr>
        <w:rPr>
          <w:b/>
          <w:bCs/>
          <w:lang w:val="en-US"/>
        </w:rPr>
      </w:pPr>
      <w:r w:rsidRPr="008B1244">
        <w:rPr>
          <w:b/>
          <w:bCs/>
          <w:lang w:val="en-US"/>
        </w:rPr>
        <w:t>Observation 4: Option 2’s drawback lies in the fact that its pass/fail criteria do</w:t>
      </w:r>
      <w:r w:rsidR="00AB72D9">
        <w:rPr>
          <w:b/>
          <w:bCs/>
          <w:lang w:val="en-US"/>
        </w:rPr>
        <w:t>es not</w:t>
      </w:r>
      <w:r w:rsidRPr="008B1244">
        <w:rPr>
          <w:b/>
          <w:bCs/>
          <w:lang w:val="en-US"/>
        </w:rPr>
        <w:t xml:space="preserve"> depend on whether the top predicted beams are adjacent to the strongest beams or not. Option 3 does not suffer from this drawback.</w:t>
      </w:r>
    </w:p>
    <w:p w14:paraId="0833A5DA" w14:textId="76FDB8A9" w:rsidR="005C4E51" w:rsidRDefault="005C4E51" w:rsidP="005C4E51">
      <w:pPr>
        <w:rPr>
          <w:b/>
          <w:bCs/>
        </w:rPr>
      </w:pPr>
      <w:r w:rsidRPr="00B0285A">
        <w:rPr>
          <w:b/>
          <w:bCs/>
        </w:rPr>
        <w:t xml:space="preserve">Observation 5: 3GPP is considering L1-RSRP accuracy as a potential prediction metric for AI-ML based beam management. UE </w:t>
      </w:r>
      <w:r w:rsidR="007A7E65">
        <w:rPr>
          <w:b/>
          <w:bCs/>
        </w:rPr>
        <w:t>has to</w:t>
      </w:r>
      <w:r w:rsidRPr="00B0285A">
        <w:rPr>
          <w:b/>
          <w:bCs/>
        </w:rPr>
        <w:t xml:space="preserve"> know its RX beam to predict L1-RSRP accuracy of a particular </w:t>
      </w:r>
      <w:proofErr w:type="spellStart"/>
      <w:r w:rsidRPr="00B0285A">
        <w:rPr>
          <w:b/>
          <w:bCs/>
        </w:rPr>
        <w:t>gNB</w:t>
      </w:r>
      <w:proofErr w:type="spellEnd"/>
      <w:r w:rsidRPr="00B0285A">
        <w:rPr>
          <w:b/>
          <w:bCs/>
        </w:rPr>
        <w:t xml:space="preserve"> TX beam.</w:t>
      </w:r>
    </w:p>
    <w:p w14:paraId="38B56073" w14:textId="4F871707" w:rsidR="007A7E65" w:rsidRPr="005C4E51" w:rsidRDefault="007A7E65" w:rsidP="005C4E51">
      <w:pPr>
        <w:rPr>
          <w:b/>
          <w:bCs/>
        </w:rPr>
      </w:pPr>
      <w:r w:rsidRPr="00FE5B8B">
        <w:rPr>
          <w:b/>
          <w:bCs/>
        </w:rPr>
        <w:t xml:space="preserve">Observation 6: To compare between </w:t>
      </w:r>
      <w:proofErr w:type="spellStart"/>
      <w:r w:rsidRPr="00FE5B8B">
        <w:rPr>
          <w:b/>
          <w:bCs/>
        </w:rPr>
        <w:t>gNB</w:t>
      </w:r>
      <w:proofErr w:type="spellEnd"/>
      <w:r w:rsidRPr="00FE5B8B">
        <w:rPr>
          <w:b/>
          <w:bCs/>
        </w:rPr>
        <w:t xml:space="preserve"> beams of </w:t>
      </w:r>
      <w:proofErr w:type="spellStart"/>
      <w:r w:rsidRPr="00FE5B8B">
        <w:rPr>
          <w:b/>
          <w:bCs/>
        </w:rPr>
        <w:t>setA</w:t>
      </w:r>
      <w:proofErr w:type="spellEnd"/>
      <w:r w:rsidRPr="00FE5B8B">
        <w:rPr>
          <w:b/>
          <w:bCs/>
        </w:rPr>
        <w:t xml:space="preserve">, UE needs to have some idea of the Rx gain associated with them. UE has to know the Rx beam of the predicted </w:t>
      </w:r>
      <w:proofErr w:type="spellStart"/>
      <w:r w:rsidRPr="00FE5B8B">
        <w:rPr>
          <w:b/>
          <w:bCs/>
        </w:rPr>
        <w:t>gNB</w:t>
      </w:r>
      <w:proofErr w:type="spellEnd"/>
      <w:r w:rsidRPr="00FE5B8B">
        <w:rPr>
          <w:b/>
          <w:bCs/>
        </w:rPr>
        <w:t xml:space="preserve"> beam even if it only has to predict top-1 (%) or top-K (%) beams.</w:t>
      </w:r>
    </w:p>
    <w:p w14:paraId="05599657" w14:textId="2B098B4C" w:rsidR="005C4E51" w:rsidRDefault="005C4E51" w:rsidP="005C4E51">
      <w:pPr>
        <w:rPr>
          <w:b/>
          <w:bCs/>
        </w:rPr>
      </w:pPr>
      <w:r w:rsidRPr="00B0285A">
        <w:rPr>
          <w:b/>
          <w:bCs/>
        </w:rPr>
        <w:t xml:space="preserve">Observation </w:t>
      </w:r>
      <w:r w:rsidR="007A7E65">
        <w:rPr>
          <w:b/>
          <w:bCs/>
        </w:rPr>
        <w:t>7</w:t>
      </w:r>
      <w:r w:rsidRPr="00B0285A">
        <w:rPr>
          <w:b/>
          <w:bCs/>
        </w:rPr>
        <w:t>: Some companies mentioned that the AI-ML model considered in RAN1 uses (</w:t>
      </w:r>
      <w:proofErr w:type="spellStart"/>
      <w:r w:rsidRPr="00B0285A">
        <w:rPr>
          <w:b/>
          <w:bCs/>
        </w:rPr>
        <w:t>gNB</w:t>
      </w:r>
      <w:proofErr w:type="spellEnd"/>
      <w:r w:rsidRPr="00B0285A">
        <w:rPr>
          <w:b/>
          <w:bCs/>
        </w:rPr>
        <w:t xml:space="preserve"> Tx beam, measured RSRP) as inputs and the model does not explicitly indicate UE’s Rx beam. RAN1 assumed that UE knows its corresponding RX beam for the output of the AI-ML model, including predicted </w:t>
      </w:r>
      <w:proofErr w:type="spellStart"/>
      <w:r w:rsidRPr="00B0285A">
        <w:rPr>
          <w:b/>
          <w:bCs/>
        </w:rPr>
        <w:t>gNB</w:t>
      </w:r>
      <w:proofErr w:type="spellEnd"/>
      <w:r w:rsidRPr="00B0285A">
        <w:rPr>
          <w:b/>
          <w:bCs/>
        </w:rPr>
        <w:t xml:space="preserve"> Tx beam.</w:t>
      </w:r>
    </w:p>
    <w:p w14:paraId="6C25F0F9" w14:textId="312F7D62" w:rsidR="00647DB0" w:rsidRPr="00647DB0" w:rsidRDefault="00647DB0" w:rsidP="00647DB0">
      <w:pPr>
        <w:rPr>
          <w:b/>
          <w:bCs/>
        </w:rPr>
      </w:pPr>
      <w:r w:rsidRPr="00647DB0">
        <w:rPr>
          <w:b/>
          <w:bCs/>
        </w:rPr>
        <w:t xml:space="preserve">Proposal 1: RAN4 should define AI-ML </w:t>
      </w:r>
      <w:r>
        <w:rPr>
          <w:b/>
          <w:bCs/>
        </w:rPr>
        <w:t xml:space="preserve">beam management </w:t>
      </w:r>
      <w:r w:rsidRPr="00647DB0">
        <w:rPr>
          <w:b/>
          <w:bCs/>
        </w:rPr>
        <w:t xml:space="preserve">related RRM core requirements in, at least, following three </w:t>
      </w:r>
      <w:r w:rsidR="00E5196A">
        <w:rPr>
          <w:b/>
          <w:bCs/>
        </w:rPr>
        <w:t>areas</w:t>
      </w:r>
      <w:r w:rsidRPr="00647DB0">
        <w:rPr>
          <w:b/>
          <w:bCs/>
        </w:rPr>
        <w:t>:</w:t>
      </w:r>
    </w:p>
    <w:p w14:paraId="069A5FFF" w14:textId="77777777" w:rsidR="00647DB0" w:rsidRPr="00647DB0" w:rsidRDefault="00647DB0" w:rsidP="00647DB0">
      <w:pPr>
        <w:pStyle w:val="ListParagraph"/>
        <w:numPr>
          <w:ilvl w:val="0"/>
          <w:numId w:val="19"/>
        </w:numPr>
        <w:rPr>
          <w:b/>
          <w:bCs/>
        </w:rPr>
      </w:pPr>
      <w:r w:rsidRPr="00647DB0">
        <w:rPr>
          <w:b/>
          <w:bCs/>
        </w:rPr>
        <w:t>Measurement period for prediction</w:t>
      </w:r>
    </w:p>
    <w:p w14:paraId="6B615D86" w14:textId="77777777" w:rsidR="00647DB0" w:rsidRPr="00647DB0" w:rsidRDefault="00647DB0" w:rsidP="00647DB0">
      <w:pPr>
        <w:pStyle w:val="ListParagraph"/>
        <w:numPr>
          <w:ilvl w:val="0"/>
          <w:numId w:val="19"/>
        </w:numPr>
        <w:rPr>
          <w:b/>
          <w:bCs/>
        </w:rPr>
      </w:pPr>
      <w:r w:rsidRPr="00647DB0">
        <w:rPr>
          <w:b/>
          <w:bCs/>
        </w:rPr>
        <w:t>Accuracy of predicted metrics</w:t>
      </w:r>
    </w:p>
    <w:p w14:paraId="0A2C9A3E" w14:textId="76285D3F" w:rsidR="00647DB0" w:rsidRPr="00647DB0" w:rsidRDefault="00647DB0" w:rsidP="00D800C0">
      <w:pPr>
        <w:pStyle w:val="ListParagraph"/>
        <w:numPr>
          <w:ilvl w:val="0"/>
          <w:numId w:val="19"/>
        </w:numPr>
        <w:rPr>
          <w:b/>
          <w:bCs/>
        </w:rPr>
      </w:pPr>
      <w:r w:rsidRPr="00647DB0">
        <w:rPr>
          <w:b/>
          <w:bCs/>
        </w:rPr>
        <w:t>TCI state status of predicted TX beam</w:t>
      </w:r>
    </w:p>
    <w:p w14:paraId="14DF78C2" w14:textId="3CECCF61" w:rsidR="00D800C0" w:rsidRPr="004C111F" w:rsidRDefault="00D800C0" w:rsidP="00D800C0">
      <w:pPr>
        <w:rPr>
          <w:b/>
          <w:bCs/>
          <w:lang w:val="en-US"/>
        </w:rPr>
      </w:pPr>
      <w:r w:rsidRPr="004C111F">
        <w:rPr>
          <w:b/>
          <w:bCs/>
        </w:rPr>
        <w:t xml:space="preserve">Proposal </w:t>
      </w:r>
      <w:r w:rsidR="00647DB0">
        <w:rPr>
          <w:b/>
          <w:bCs/>
        </w:rPr>
        <w:t>2</w:t>
      </w:r>
      <w:r w:rsidRPr="004C111F">
        <w:rPr>
          <w:b/>
          <w:bCs/>
        </w:rPr>
        <w:t xml:space="preserve">: </w:t>
      </w:r>
      <w:r w:rsidR="000701D7" w:rsidRPr="000701D7">
        <w:rPr>
          <w:b/>
          <w:bCs/>
          <w:lang w:val="en-US"/>
        </w:rPr>
        <w:t xml:space="preserve">Spec allows a minimum duration of measurements on the SSBs/CSI-RS before UE reports a CSI report containing predicted </w:t>
      </w:r>
      <w:r w:rsidR="00647DB0" w:rsidRPr="000701D7">
        <w:rPr>
          <w:b/>
          <w:bCs/>
          <w:lang w:val="en-US"/>
        </w:rPr>
        <w:t>metrics (</w:t>
      </w:r>
      <w:r w:rsidR="000701D7" w:rsidRPr="000701D7">
        <w:rPr>
          <w:b/>
          <w:bCs/>
          <w:lang w:val="en-US"/>
        </w:rPr>
        <w:t>i.e., channel characteristics).</w:t>
      </w:r>
    </w:p>
    <w:p w14:paraId="5C286D03" w14:textId="77777777" w:rsidR="00D800C0" w:rsidRPr="004C111F" w:rsidRDefault="00D800C0" w:rsidP="00D800C0">
      <w:pPr>
        <w:pStyle w:val="ListParagraph"/>
        <w:numPr>
          <w:ilvl w:val="0"/>
          <w:numId w:val="13"/>
        </w:numPr>
        <w:rPr>
          <w:b/>
          <w:bCs/>
          <w:lang w:val="en-US"/>
        </w:rPr>
      </w:pPr>
      <w:r w:rsidRPr="004C111F">
        <w:rPr>
          <w:b/>
          <w:bCs/>
          <w:lang w:val="en-US"/>
        </w:rPr>
        <w:t>Note: Measurement period should consider measurement gaps, SMTCs, DRX operation, etc.</w:t>
      </w:r>
    </w:p>
    <w:p w14:paraId="0835D956" w14:textId="7D61F11C" w:rsidR="00D800C0" w:rsidRPr="00D800C0" w:rsidRDefault="00D800C0" w:rsidP="005C4E51">
      <w:pPr>
        <w:pStyle w:val="ListParagraph"/>
        <w:numPr>
          <w:ilvl w:val="0"/>
          <w:numId w:val="13"/>
        </w:numPr>
        <w:rPr>
          <w:b/>
          <w:bCs/>
          <w:lang w:val="en-US"/>
        </w:rPr>
      </w:pPr>
      <w:r w:rsidRPr="004C111F">
        <w:rPr>
          <w:b/>
          <w:bCs/>
          <w:lang w:val="en-US"/>
        </w:rPr>
        <w:t>FFS: Minimum duration may depend on other factors e.g., associated ID, level of accuracy, etc.</w:t>
      </w:r>
    </w:p>
    <w:p w14:paraId="22CCBB74" w14:textId="0CD14871" w:rsidR="005C4E51" w:rsidRPr="008B1244" w:rsidRDefault="005C4E51" w:rsidP="005C4E51">
      <w:pPr>
        <w:rPr>
          <w:b/>
          <w:bCs/>
        </w:rPr>
      </w:pPr>
      <w:r w:rsidRPr="008B1244">
        <w:rPr>
          <w:b/>
          <w:bCs/>
        </w:rPr>
        <w:t xml:space="preserve">Proposal </w:t>
      </w:r>
      <w:r w:rsidR="00647DB0">
        <w:rPr>
          <w:b/>
          <w:bCs/>
        </w:rPr>
        <w:t>3</w:t>
      </w:r>
      <w:r w:rsidRPr="008B1244">
        <w:rPr>
          <w:b/>
          <w:bCs/>
        </w:rPr>
        <w:t xml:space="preserve">: Regarding down-selection of prediction metrics, RAN4 </w:t>
      </w:r>
      <w:r w:rsidR="00D451E2">
        <w:rPr>
          <w:b/>
          <w:bCs/>
        </w:rPr>
        <w:t>takes</w:t>
      </w:r>
      <w:r w:rsidRPr="008B1244">
        <w:rPr>
          <w:b/>
          <w:bCs/>
        </w:rPr>
        <w:t xml:space="preserve"> one of the following two approaches:</w:t>
      </w:r>
    </w:p>
    <w:p w14:paraId="23400FB5" w14:textId="29A17718" w:rsidR="005C4E51" w:rsidRPr="008B1244" w:rsidRDefault="005C4E51" w:rsidP="005C4E51">
      <w:pPr>
        <w:pStyle w:val="ListParagraph"/>
        <w:numPr>
          <w:ilvl w:val="0"/>
          <w:numId w:val="16"/>
        </w:numPr>
        <w:rPr>
          <w:b/>
          <w:bCs/>
        </w:rPr>
      </w:pPr>
      <w:r w:rsidRPr="008B1244">
        <w:rPr>
          <w:b/>
          <w:bCs/>
        </w:rPr>
        <w:t>Approach 1: Wait for RAN1 to down</w:t>
      </w:r>
      <w:r w:rsidR="00143C67">
        <w:rPr>
          <w:b/>
          <w:bCs/>
        </w:rPr>
        <w:t>-</w:t>
      </w:r>
      <w:r w:rsidRPr="008B1244">
        <w:rPr>
          <w:b/>
          <w:bCs/>
        </w:rPr>
        <w:t>select the prediction metrics.</w:t>
      </w:r>
    </w:p>
    <w:p w14:paraId="6BA75FED" w14:textId="0AA651EC" w:rsidR="005C4E51" w:rsidRPr="008B1244" w:rsidRDefault="005C4E51" w:rsidP="005C4E51">
      <w:pPr>
        <w:pStyle w:val="ListParagraph"/>
        <w:numPr>
          <w:ilvl w:val="0"/>
          <w:numId w:val="16"/>
        </w:numPr>
        <w:rPr>
          <w:b/>
          <w:bCs/>
        </w:rPr>
      </w:pPr>
      <w:r w:rsidRPr="008B1244">
        <w:rPr>
          <w:b/>
          <w:bCs/>
        </w:rPr>
        <w:t>Approach 2: Down</w:t>
      </w:r>
      <w:r w:rsidR="00143C67">
        <w:rPr>
          <w:b/>
          <w:bCs/>
        </w:rPr>
        <w:t>-</w:t>
      </w:r>
      <w:r w:rsidRPr="008B1244">
        <w:rPr>
          <w:b/>
          <w:bCs/>
        </w:rPr>
        <w:t>select the prediction metrics for RAN4 tests in RAN4.</w:t>
      </w:r>
    </w:p>
    <w:p w14:paraId="3B9D7636" w14:textId="793CFA00" w:rsidR="005C4E51" w:rsidRPr="005C4E51" w:rsidRDefault="005C4E51" w:rsidP="005C4E51">
      <w:pPr>
        <w:pStyle w:val="ListParagraph"/>
        <w:numPr>
          <w:ilvl w:val="1"/>
          <w:numId w:val="16"/>
        </w:numPr>
        <w:rPr>
          <w:b/>
          <w:bCs/>
        </w:rPr>
      </w:pPr>
      <w:r w:rsidRPr="008B1244">
        <w:rPr>
          <w:b/>
          <w:bCs/>
        </w:rPr>
        <w:t>In approach 2, RAN4 should select option 2 and option 3 of 38.843.</w:t>
      </w:r>
    </w:p>
    <w:p w14:paraId="499BF7D0" w14:textId="6E8CF19D" w:rsidR="005C4E51" w:rsidRPr="005C4E51" w:rsidRDefault="005C4E51" w:rsidP="005C4E51">
      <w:pPr>
        <w:rPr>
          <w:b/>
          <w:bCs/>
          <w:lang w:val="en-US"/>
        </w:rPr>
      </w:pPr>
      <w:r w:rsidRPr="005C4E51">
        <w:rPr>
          <w:b/>
          <w:bCs/>
        </w:rPr>
        <w:t xml:space="preserve">Proposal </w:t>
      </w:r>
      <w:r w:rsidR="00647DB0">
        <w:rPr>
          <w:b/>
          <w:bCs/>
        </w:rPr>
        <w:t>4</w:t>
      </w:r>
      <w:r w:rsidRPr="005C4E51">
        <w:rPr>
          <w:b/>
          <w:bCs/>
        </w:rPr>
        <w:t xml:space="preserve">: </w:t>
      </w:r>
      <w:r w:rsidRPr="005C4E51">
        <w:rPr>
          <w:b/>
          <w:bCs/>
          <w:lang w:val="en-US"/>
        </w:rPr>
        <w:t>UE knows the RX beam paired with the predicted Tx beam.</w:t>
      </w:r>
    </w:p>
    <w:p w14:paraId="7F7ED18E" w14:textId="77777777" w:rsidR="005C4E51" w:rsidRPr="005C4E51" w:rsidRDefault="005C4E51" w:rsidP="005C4E51">
      <w:pPr>
        <w:numPr>
          <w:ilvl w:val="1"/>
          <w:numId w:val="17"/>
        </w:numPr>
        <w:rPr>
          <w:b/>
          <w:bCs/>
          <w:lang w:val="en-US"/>
        </w:rPr>
      </w:pPr>
      <w:r w:rsidRPr="005C4E51">
        <w:rPr>
          <w:b/>
          <w:bCs/>
          <w:lang w:val="en-US"/>
        </w:rPr>
        <w:t xml:space="preserve">FFS: Whether TCI state should be considered known. </w:t>
      </w:r>
    </w:p>
    <w:p w14:paraId="60A41683" w14:textId="736D0A8D" w:rsidR="002F19CF" w:rsidRPr="00D800C0" w:rsidRDefault="005C4E51" w:rsidP="002F19CF">
      <w:pPr>
        <w:numPr>
          <w:ilvl w:val="1"/>
          <w:numId w:val="17"/>
        </w:numPr>
        <w:rPr>
          <w:b/>
          <w:bCs/>
          <w:lang w:val="en-US"/>
        </w:rPr>
      </w:pPr>
      <w:r w:rsidRPr="005C4E51">
        <w:rPr>
          <w:b/>
          <w:bCs/>
          <w:lang w:val="en-US"/>
        </w:rPr>
        <w:t>FFS: Whether side conditions for known TCI state should be modified (relaxed) for this case.</w:t>
      </w:r>
    </w:p>
    <w:p w14:paraId="4E10B31E" w14:textId="77777777" w:rsidR="002F19CF" w:rsidRPr="00405F94" w:rsidRDefault="002F19CF" w:rsidP="002F19CF">
      <w:pPr>
        <w:pStyle w:val="Heading1"/>
        <w:ind w:right="72"/>
        <w:rPr>
          <w:b/>
          <w:bCs/>
          <w:lang w:val="en-US"/>
        </w:rPr>
      </w:pPr>
      <w:r w:rsidRPr="00B01D97">
        <w:rPr>
          <w:lang w:val="en-US"/>
        </w:rPr>
        <w:t>Refe</w:t>
      </w:r>
      <w:r>
        <w:rPr>
          <w:lang w:val="en-US"/>
        </w:rPr>
        <w:t>r</w:t>
      </w:r>
      <w:r w:rsidRPr="00B01D97">
        <w:rPr>
          <w:lang w:val="en-US"/>
        </w:rPr>
        <w:t>ences</w:t>
      </w:r>
    </w:p>
    <w:p w14:paraId="5BC07EEF" w14:textId="77777777" w:rsidR="002F19CF" w:rsidRPr="00405F94" w:rsidRDefault="002F19CF" w:rsidP="002F19CF">
      <w:pPr>
        <w:pStyle w:val="List"/>
        <w:numPr>
          <w:ilvl w:val="0"/>
          <w:numId w:val="4"/>
        </w:numPr>
        <w:tabs>
          <w:tab w:val="left" w:pos="270"/>
        </w:tabs>
        <w:ind w:left="360"/>
        <w:jc w:val="both"/>
        <w:rPr>
          <w:rFonts w:eastAsia="SimSun"/>
          <w:b/>
          <w:bCs/>
          <w:szCs w:val="22"/>
          <w:lang w:eastAsia="zh-CN"/>
        </w:rPr>
      </w:pPr>
      <w:r w:rsidRPr="00405F94">
        <w:rPr>
          <w:b/>
          <w:bCs/>
        </w:rPr>
        <w:t>R4-2414446</w:t>
      </w:r>
      <w:r w:rsidRPr="00405F94">
        <w:rPr>
          <w:rFonts w:hint="eastAsia"/>
          <w:b/>
          <w:bCs/>
          <w:lang w:eastAsia="zh-CN"/>
        </w:rPr>
        <w:t xml:space="preserve">, </w:t>
      </w:r>
      <w:r w:rsidRPr="00405F94">
        <w:rPr>
          <w:b/>
          <w:bCs/>
          <w:lang w:eastAsia="zh-CN"/>
        </w:rPr>
        <w:t>‘</w:t>
      </w:r>
      <w:r w:rsidRPr="00405F94">
        <w:rPr>
          <w:b/>
          <w:bCs/>
        </w:rPr>
        <w:t>AI/ML ad-hoc meeting minutes</w:t>
      </w:r>
      <w:r w:rsidRPr="00405F94">
        <w:rPr>
          <w:b/>
          <w:bCs/>
          <w:lang w:eastAsia="zh-CN"/>
        </w:rPr>
        <w:t>’</w:t>
      </w:r>
      <w:r w:rsidRPr="00405F94">
        <w:rPr>
          <w:rFonts w:hint="eastAsia"/>
          <w:b/>
          <w:bCs/>
          <w:lang w:eastAsia="zh-CN"/>
        </w:rPr>
        <w:t>, Moderator (Qualcomm)</w:t>
      </w:r>
    </w:p>
    <w:p w14:paraId="02D28D71" w14:textId="77777777" w:rsidR="002F19CF" w:rsidRPr="00405F94" w:rsidRDefault="002F19CF" w:rsidP="002F19CF">
      <w:pPr>
        <w:pStyle w:val="List"/>
        <w:numPr>
          <w:ilvl w:val="0"/>
          <w:numId w:val="4"/>
        </w:numPr>
        <w:tabs>
          <w:tab w:val="left" w:pos="270"/>
        </w:tabs>
        <w:ind w:left="360"/>
        <w:jc w:val="both"/>
        <w:rPr>
          <w:rFonts w:eastAsia="SimSun"/>
          <w:b/>
          <w:bCs/>
          <w:szCs w:val="22"/>
          <w:lang w:eastAsia="zh-CN"/>
        </w:rPr>
      </w:pPr>
      <w:r w:rsidRPr="00405F94">
        <w:rPr>
          <w:b/>
          <w:bCs/>
        </w:rPr>
        <w:t>R4-2414323</w:t>
      </w:r>
      <w:r w:rsidRPr="00405F94">
        <w:rPr>
          <w:rFonts w:hint="eastAsia"/>
          <w:b/>
          <w:bCs/>
          <w:lang w:eastAsia="zh-CN"/>
        </w:rPr>
        <w:t xml:space="preserve">, </w:t>
      </w:r>
      <w:r w:rsidRPr="00405F94">
        <w:rPr>
          <w:b/>
          <w:bCs/>
          <w:lang w:eastAsia="zh-CN"/>
        </w:rPr>
        <w:t>‘</w:t>
      </w:r>
      <w:r w:rsidRPr="00405F94">
        <w:rPr>
          <w:b/>
          <w:bCs/>
        </w:rPr>
        <w:t>WF on AI/ML</w:t>
      </w:r>
      <w:r w:rsidRPr="00405F94">
        <w:rPr>
          <w:b/>
          <w:bCs/>
          <w:lang w:eastAsia="zh-CN"/>
        </w:rPr>
        <w:t>’</w:t>
      </w:r>
      <w:r w:rsidRPr="00405F94">
        <w:rPr>
          <w:rFonts w:hint="eastAsia"/>
          <w:b/>
          <w:bCs/>
          <w:lang w:eastAsia="zh-CN"/>
        </w:rPr>
        <w:t>, Qualcomm</w:t>
      </w:r>
    </w:p>
    <w:p w14:paraId="72289675" w14:textId="609E0EB4" w:rsidR="002F19CF" w:rsidRPr="00405F94" w:rsidRDefault="002F19CF" w:rsidP="002F19CF">
      <w:pPr>
        <w:pStyle w:val="List"/>
        <w:numPr>
          <w:ilvl w:val="0"/>
          <w:numId w:val="4"/>
        </w:numPr>
        <w:tabs>
          <w:tab w:val="left" w:pos="270"/>
        </w:tabs>
        <w:ind w:left="360"/>
        <w:jc w:val="both"/>
        <w:rPr>
          <w:rFonts w:eastAsia="SimSun"/>
          <w:b/>
          <w:bCs/>
          <w:szCs w:val="22"/>
          <w:lang w:eastAsia="zh-CN"/>
        </w:rPr>
      </w:pPr>
      <w:r w:rsidRPr="00405F94">
        <w:rPr>
          <w:b/>
          <w:bCs/>
        </w:rPr>
        <w:t>3GPP TR 38.843 V18.0.0, Technical Report (TR): Study on artificial Intelligence (AI)/Machine Learning (ML) for NR air interface.</w:t>
      </w:r>
    </w:p>
    <w:p w14:paraId="6DF791B9" w14:textId="2D6ECC61" w:rsidR="00715ED2" w:rsidRPr="00405F94" w:rsidRDefault="00715ED2" w:rsidP="002F19CF">
      <w:pPr>
        <w:pStyle w:val="List"/>
        <w:numPr>
          <w:ilvl w:val="0"/>
          <w:numId w:val="4"/>
        </w:numPr>
        <w:tabs>
          <w:tab w:val="left" w:pos="270"/>
        </w:tabs>
        <w:ind w:left="360"/>
        <w:jc w:val="both"/>
        <w:rPr>
          <w:rFonts w:eastAsia="SimSun"/>
          <w:b/>
          <w:bCs/>
          <w:szCs w:val="22"/>
          <w:lang w:eastAsia="zh-CN"/>
        </w:rPr>
      </w:pPr>
      <w:r w:rsidRPr="00405F94">
        <w:rPr>
          <w:b/>
          <w:bCs/>
        </w:rPr>
        <w:t xml:space="preserve">RP-242399, “Revised WID on Artificial Intelligence (AI)/Machine Learning (ML) for NR Air Interface”, </w:t>
      </w:r>
      <w:r w:rsidR="009305E7" w:rsidRPr="00405F94">
        <w:rPr>
          <w:b/>
          <w:bCs/>
        </w:rPr>
        <w:t>3GPP TSG RAN #105.</w:t>
      </w:r>
    </w:p>
    <w:p w14:paraId="45185E6A" w14:textId="579FDB01" w:rsidR="00B7272D" w:rsidRPr="00405F94" w:rsidRDefault="008D1BE2" w:rsidP="002F19CF">
      <w:pPr>
        <w:pStyle w:val="List"/>
        <w:numPr>
          <w:ilvl w:val="0"/>
          <w:numId w:val="4"/>
        </w:numPr>
        <w:tabs>
          <w:tab w:val="left" w:pos="270"/>
        </w:tabs>
        <w:ind w:left="360"/>
        <w:jc w:val="both"/>
        <w:rPr>
          <w:rFonts w:eastAsia="SimSun"/>
          <w:b/>
          <w:bCs/>
          <w:szCs w:val="22"/>
          <w:lang w:eastAsia="zh-CN"/>
        </w:rPr>
      </w:pPr>
      <w:r w:rsidRPr="00405F94">
        <w:rPr>
          <w:b/>
          <w:bCs/>
        </w:rPr>
        <w:t xml:space="preserve">RAN1 </w:t>
      </w:r>
      <w:r w:rsidR="00B7272D" w:rsidRPr="00405F94">
        <w:rPr>
          <w:b/>
          <w:bCs/>
        </w:rPr>
        <w:t xml:space="preserve">Chair’s </w:t>
      </w:r>
      <w:r w:rsidR="0060745F" w:rsidRPr="00405F94">
        <w:rPr>
          <w:b/>
          <w:bCs/>
        </w:rPr>
        <w:t>N</w:t>
      </w:r>
      <w:r w:rsidR="00B7272D" w:rsidRPr="00405F94">
        <w:rPr>
          <w:b/>
          <w:bCs/>
        </w:rPr>
        <w:t>otes, 3GPP TSG RAN WG1 #117.</w:t>
      </w:r>
    </w:p>
    <w:p w14:paraId="32B54BB6" w14:textId="45D888BB" w:rsidR="008D1BE2" w:rsidRPr="00405F94" w:rsidRDefault="0060745F" w:rsidP="002F19CF">
      <w:pPr>
        <w:pStyle w:val="List"/>
        <w:numPr>
          <w:ilvl w:val="0"/>
          <w:numId w:val="4"/>
        </w:numPr>
        <w:tabs>
          <w:tab w:val="left" w:pos="270"/>
        </w:tabs>
        <w:ind w:left="360"/>
        <w:jc w:val="both"/>
        <w:rPr>
          <w:rFonts w:eastAsia="SimSun"/>
          <w:b/>
          <w:bCs/>
          <w:szCs w:val="22"/>
          <w:lang w:eastAsia="zh-CN"/>
        </w:rPr>
      </w:pPr>
      <w:r w:rsidRPr="00405F94">
        <w:rPr>
          <w:b/>
          <w:bCs/>
        </w:rPr>
        <w:lastRenderedPageBreak/>
        <w:t>RAN1 Chair’s Notes, 3GPP TSG RAN WG1 #118.</w:t>
      </w:r>
    </w:p>
    <w:p w14:paraId="07C0FE3C" w14:textId="2955F6E6" w:rsidR="005D3E68" w:rsidRPr="00405F94" w:rsidRDefault="006C2EBC" w:rsidP="002F19CF">
      <w:pPr>
        <w:pStyle w:val="List"/>
        <w:numPr>
          <w:ilvl w:val="0"/>
          <w:numId w:val="4"/>
        </w:numPr>
        <w:tabs>
          <w:tab w:val="left" w:pos="270"/>
        </w:tabs>
        <w:ind w:left="360"/>
        <w:jc w:val="both"/>
        <w:rPr>
          <w:rFonts w:eastAsia="SimSun"/>
          <w:b/>
          <w:bCs/>
          <w:szCs w:val="22"/>
          <w:lang w:eastAsia="zh-CN"/>
        </w:rPr>
      </w:pPr>
      <w:r w:rsidRPr="00405F94">
        <w:rPr>
          <w:b/>
          <w:bCs/>
        </w:rPr>
        <w:t>38.133</w:t>
      </w:r>
      <w:r w:rsidR="00405F94" w:rsidRPr="00405F94">
        <w:rPr>
          <w:b/>
          <w:bCs/>
        </w:rPr>
        <w:t>, Requirements for support of radio resource management, V 17.11.0.</w:t>
      </w:r>
    </w:p>
    <w:p w14:paraId="1B4FB431" w14:textId="77777777" w:rsidR="002F19CF" w:rsidRPr="002F19CF" w:rsidRDefault="002F19CF" w:rsidP="002F19CF">
      <w:pPr>
        <w:rPr>
          <w:lang w:val="en-US"/>
        </w:rPr>
      </w:pPr>
    </w:p>
    <w:p w14:paraId="71B458FE" w14:textId="77777777" w:rsidR="002F19CF" w:rsidRDefault="002F19CF" w:rsidP="002F19CF">
      <w:pPr>
        <w:spacing w:after="120"/>
        <w:rPr>
          <w:noProof/>
          <w:sz w:val="24"/>
        </w:rPr>
      </w:pPr>
    </w:p>
    <w:p w14:paraId="24D13E5B" w14:textId="1E9E9BF7" w:rsidR="002F19CF" w:rsidRDefault="002F19CF"/>
    <w:sectPr w:rsidR="002F19CF" w:rsidSect="002F19CF">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5555DB" w14:textId="77777777" w:rsidR="001D4EE3" w:rsidRDefault="001D4EE3">
      <w:pPr>
        <w:spacing w:after="0"/>
      </w:pPr>
      <w:r>
        <w:separator/>
      </w:r>
    </w:p>
  </w:endnote>
  <w:endnote w:type="continuationSeparator" w:id="0">
    <w:p w14:paraId="434C53F4" w14:textId="77777777" w:rsidR="001D4EE3" w:rsidRDefault="001D4E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448FD5" w14:textId="77777777" w:rsidR="00143C67" w:rsidRDefault="00143C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C4EA87C" w14:textId="77777777" w:rsidR="00143C67" w:rsidRDefault="00143C67">
    <w:pPr>
      <w:pStyle w:val="Footer"/>
    </w:pPr>
  </w:p>
  <w:p w14:paraId="30A2692D" w14:textId="77777777" w:rsidR="00143C67" w:rsidRDefault="00143C6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30CA1D" w14:textId="77777777" w:rsidR="00143C67" w:rsidRDefault="00143C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7BC690ED" w14:textId="77777777" w:rsidR="00143C67" w:rsidRDefault="00143C67">
    <w:pPr>
      <w:pStyle w:val="Footer"/>
      <w:ind w:right="360"/>
    </w:pPr>
  </w:p>
  <w:p w14:paraId="0BB2BE80" w14:textId="77777777" w:rsidR="00143C67" w:rsidRDefault="00143C6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9227BB" w14:textId="77777777" w:rsidR="001D4EE3" w:rsidRDefault="001D4EE3">
      <w:pPr>
        <w:spacing w:after="0"/>
      </w:pPr>
      <w:r>
        <w:separator/>
      </w:r>
    </w:p>
  </w:footnote>
  <w:footnote w:type="continuationSeparator" w:id="0">
    <w:p w14:paraId="090826D9" w14:textId="77777777" w:rsidR="001D4EE3" w:rsidRDefault="001D4E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8418B"/>
    <w:multiLevelType w:val="hybridMultilevel"/>
    <w:tmpl w:val="7C72A7E8"/>
    <w:lvl w:ilvl="0" w:tplc="E7DEE270">
      <w:start w:val="1"/>
      <w:numFmt w:val="bullet"/>
      <w:lvlText w:val="•"/>
      <w:lvlJc w:val="left"/>
      <w:pPr>
        <w:tabs>
          <w:tab w:val="num" w:pos="720"/>
        </w:tabs>
        <w:ind w:left="720" w:hanging="360"/>
      </w:pPr>
      <w:rPr>
        <w:rFonts w:ascii="Arial" w:hAnsi="Arial" w:hint="default"/>
      </w:rPr>
    </w:lvl>
    <w:lvl w:ilvl="1" w:tplc="75D299A4">
      <w:numFmt w:val="bullet"/>
      <w:lvlText w:val="•"/>
      <w:lvlJc w:val="left"/>
      <w:pPr>
        <w:tabs>
          <w:tab w:val="num" w:pos="1440"/>
        </w:tabs>
        <w:ind w:left="1440" w:hanging="360"/>
      </w:pPr>
      <w:rPr>
        <w:rFonts w:ascii="Arial" w:hAnsi="Arial" w:hint="default"/>
      </w:rPr>
    </w:lvl>
    <w:lvl w:ilvl="2" w:tplc="C3FE9416" w:tentative="1">
      <w:start w:val="1"/>
      <w:numFmt w:val="bullet"/>
      <w:lvlText w:val="•"/>
      <w:lvlJc w:val="left"/>
      <w:pPr>
        <w:tabs>
          <w:tab w:val="num" w:pos="2160"/>
        </w:tabs>
        <w:ind w:left="2160" w:hanging="360"/>
      </w:pPr>
      <w:rPr>
        <w:rFonts w:ascii="Arial" w:hAnsi="Arial" w:hint="default"/>
      </w:rPr>
    </w:lvl>
    <w:lvl w:ilvl="3" w:tplc="74E6FCB2" w:tentative="1">
      <w:start w:val="1"/>
      <w:numFmt w:val="bullet"/>
      <w:lvlText w:val="•"/>
      <w:lvlJc w:val="left"/>
      <w:pPr>
        <w:tabs>
          <w:tab w:val="num" w:pos="2880"/>
        </w:tabs>
        <w:ind w:left="2880" w:hanging="360"/>
      </w:pPr>
      <w:rPr>
        <w:rFonts w:ascii="Arial" w:hAnsi="Arial" w:hint="default"/>
      </w:rPr>
    </w:lvl>
    <w:lvl w:ilvl="4" w:tplc="D4ECE8E2" w:tentative="1">
      <w:start w:val="1"/>
      <w:numFmt w:val="bullet"/>
      <w:lvlText w:val="•"/>
      <w:lvlJc w:val="left"/>
      <w:pPr>
        <w:tabs>
          <w:tab w:val="num" w:pos="3600"/>
        </w:tabs>
        <w:ind w:left="3600" w:hanging="360"/>
      </w:pPr>
      <w:rPr>
        <w:rFonts w:ascii="Arial" w:hAnsi="Arial" w:hint="default"/>
      </w:rPr>
    </w:lvl>
    <w:lvl w:ilvl="5" w:tplc="D318E60A" w:tentative="1">
      <w:start w:val="1"/>
      <w:numFmt w:val="bullet"/>
      <w:lvlText w:val="•"/>
      <w:lvlJc w:val="left"/>
      <w:pPr>
        <w:tabs>
          <w:tab w:val="num" w:pos="4320"/>
        </w:tabs>
        <w:ind w:left="4320" w:hanging="360"/>
      </w:pPr>
      <w:rPr>
        <w:rFonts w:ascii="Arial" w:hAnsi="Arial" w:hint="default"/>
      </w:rPr>
    </w:lvl>
    <w:lvl w:ilvl="6" w:tplc="B8203D4A" w:tentative="1">
      <w:start w:val="1"/>
      <w:numFmt w:val="bullet"/>
      <w:lvlText w:val="•"/>
      <w:lvlJc w:val="left"/>
      <w:pPr>
        <w:tabs>
          <w:tab w:val="num" w:pos="5040"/>
        </w:tabs>
        <w:ind w:left="5040" w:hanging="360"/>
      </w:pPr>
      <w:rPr>
        <w:rFonts w:ascii="Arial" w:hAnsi="Arial" w:hint="default"/>
      </w:rPr>
    </w:lvl>
    <w:lvl w:ilvl="7" w:tplc="A594C4B4" w:tentative="1">
      <w:start w:val="1"/>
      <w:numFmt w:val="bullet"/>
      <w:lvlText w:val="•"/>
      <w:lvlJc w:val="left"/>
      <w:pPr>
        <w:tabs>
          <w:tab w:val="num" w:pos="5760"/>
        </w:tabs>
        <w:ind w:left="5760" w:hanging="360"/>
      </w:pPr>
      <w:rPr>
        <w:rFonts w:ascii="Arial" w:hAnsi="Arial" w:hint="default"/>
      </w:rPr>
    </w:lvl>
    <w:lvl w:ilvl="8" w:tplc="AD06489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1A0393"/>
    <w:multiLevelType w:val="hybridMultilevel"/>
    <w:tmpl w:val="80863D44"/>
    <w:lvl w:ilvl="0" w:tplc="D32007B4">
      <w:start w:val="1"/>
      <w:numFmt w:val="bullet"/>
      <w:lvlText w:val="•"/>
      <w:lvlJc w:val="left"/>
      <w:pPr>
        <w:tabs>
          <w:tab w:val="num" w:pos="720"/>
        </w:tabs>
        <w:ind w:left="720" w:hanging="360"/>
      </w:pPr>
      <w:rPr>
        <w:rFonts w:ascii="Arial" w:hAnsi="Arial" w:hint="default"/>
      </w:rPr>
    </w:lvl>
    <w:lvl w:ilvl="1" w:tplc="E6920A7E" w:tentative="1">
      <w:start w:val="1"/>
      <w:numFmt w:val="bullet"/>
      <w:lvlText w:val="•"/>
      <w:lvlJc w:val="left"/>
      <w:pPr>
        <w:tabs>
          <w:tab w:val="num" w:pos="1440"/>
        </w:tabs>
        <w:ind w:left="1440" w:hanging="360"/>
      </w:pPr>
      <w:rPr>
        <w:rFonts w:ascii="Arial" w:hAnsi="Arial" w:hint="default"/>
      </w:rPr>
    </w:lvl>
    <w:lvl w:ilvl="2" w:tplc="07EA16C6" w:tentative="1">
      <w:start w:val="1"/>
      <w:numFmt w:val="bullet"/>
      <w:lvlText w:val="•"/>
      <w:lvlJc w:val="left"/>
      <w:pPr>
        <w:tabs>
          <w:tab w:val="num" w:pos="2160"/>
        </w:tabs>
        <w:ind w:left="2160" w:hanging="360"/>
      </w:pPr>
      <w:rPr>
        <w:rFonts w:ascii="Arial" w:hAnsi="Arial" w:hint="default"/>
      </w:rPr>
    </w:lvl>
    <w:lvl w:ilvl="3" w:tplc="0E22ABA2" w:tentative="1">
      <w:start w:val="1"/>
      <w:numFmt w:val="bullet"/>
      <w:lvlText w:val="•"/>
      <w:lvlJc w:val="left"/>
      <w:pPr>
        <w:tabs>
          <w:tab w:val="num" w:pos="2880"/>
        </w:tabs>
        <w:ind w:left="2880" w:hanging="360"/>
      </w:pPr>
      <w:rPr>
        <w:rFonts w:ascii="Arial" w:hAnsi="Arial" w:hint="default"/>
      </w:rPr>
    </w:lvl>
    <w:lvl w:ilvl="4" w:tplc="F52EB06C" w:tentative="1">
      <w:start w:val="1"/>
      <w:numFmt w:val="bullet"/>
      <w:lvlText w:val="•"/>
      <w:lvlJc w:val="left"/>
      <w:pPr>
        <w:tabs>
          <w:tab w:val="num" w:pos="3600"/>
        </w:tabs>
        <w:ind w:left="3600" w:hanging="360"/>
      </w:pPr>
      <w:rPr>
        <w:rFonts w:ascii="Arial" w:hAnsi="Arial" w:hint="default"/>
      </w:rPr>
    </w:lvl>
    <w:lvl w:ilvl="5" w:tplc="D6006430" w:tentative="1">
      <w:start w:val="1"/>
      <w:numFmt w:val="bullet"/>
      <w:lvlText w:val="•"/>
      <w:lvlJc w:val="left"/>
      <w:pPr>
        <w:tabs>
          <w:tab w:val="num" w:pos="4320"/>
        </w:tabs>
        <w:ind w:left="4320" w:hanging="360"/>
      </w:pPr>
      <w:rPr>
        <w:rFonts w:ascii="Arial" w:hAnsi="Arial" w:hint="default"/>
      </w:rPr>
    </w:lvl>
    <w:lvl w:ilvl="6" w:tplc="15A4AC66" w:tentative="1">
      <w:start w:val="1"/>
      <w:numFmt w:val="bullet"/>
      <w:lvlText w:val="•"/>
      <w:lvlJc w:val="left"/>
      <w:pPr>
        <w:tabs>
          <w:tab w:val="num" w:pos="5040"/>
        </w:tabs>
        <w:ind w:left="5040" w:hanging="360"/>
      </w:pPr>
      <w:rPr>
        <w:rFonts w:ascii="Arial" w:hAnsi="Arial" w:hint="default"/>
      </w:rPr>
    </w:lvl>
    <w:lvl w:ilvl="7" w:tplc="598CD5E2" w:tentative="1">
      <w:start w:val="1"/>
      <w:numFmt w:val="bullet"/>
      <w:lvlText w:val="•"/>
      <w:lvlJc w:val="left"/>
      <w:pPr>
        <w:tabs>
          <w:tab w:val="num" w:pos="5760"/>
        </w:tabs>
        <w:ind w:left="5760" w:hanging="360"/>
      </w:pPr>
      <w:rPr>
        <w:rFonts w:ascii="Arial" w:hAnsi="Arial" w:hint="default"/>
      </w:rPr>
    </w:lvl>
    <w:lvl w:ilvl="8" w:tplc="C8C830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A70408"/>
    <w:multiLevelType w:val="hybridMultilevel"/>
    <w:tmpl w:val="A88462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500FE7"/>
    <w:multiLevelType w:val="hybridMultilevel"/>
    <w:tmpl w:val="9E90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FA04EF4"/>
    <w:multiLevelType w:val="hybridMultilevel"/>
    <w:tmpl w:val="9E908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5D2B06"/>
    <w:multiLevelType w:val="hybridMultilevel"/>
    <w:tmpl w:val="8374A1CA"/>
    <w:lvl w:ilvl="0" w:tplc="5D444BCE">
      <w:start w:val="1"/>
      <w:numFmt w:val="bullet"/>
      <w:lvlText w:val="-"/>
      <w:lvlJc w:val="left"/>
      <w:pPr>
        <w:tabs>
          <w:tab w:val="num" w:pos="720"/>
        </w:tabs>
        <w:ind w:left="720" w:hanging="360"/>
      </w:pPr>
      <w:rPr>
        <w:rFonts w:ascii="Times New Roman" w:hAnsi="Times New Roman" w:hint="default"/>
      </w:rPr>
    </w:lvl>
    <w:lvl w:ilvl="1" w:tplc="A20E93B0">
      <w:numFmt w:val="bullet"/>
      <w:lvlText w:val="o"/>
      <w:lvlJc w:val="left"/>
      <w:pPr>
        <w:tabs>
          <w:tab w:val="num" w:pos="1440"/>
        </w:tabs>
        <w:ind w:left="1440" w:hanging="360"/>
      </w:pPr>
      <w:rPr>
        <w:rFonts w:ascii="Courier New" w:hAnsi="Courier New" w:hint="default"/>
      </w:rPr>
    </w:lvl>
    <w:lvl w:ilvl="2" w:tplc="5290EE3A" w:tentative="1">
      <w:start w:val="1"/>
      <w:numFmt w:val="bullet"/>
      <w:lvlText w:val="-"/>
      <w:lvlJc w:val="left"/>
      <w:pPr>
        <w:tabs>
          <w:tab w:val="num" w:pos="2160"/>
        </w:tabs>
        <w:ind w:left="2160" w:hanging="360"/>
      </w:pPr>
      <w:rPr>
        <w:rFonts w:ascii="Times New Roman" w:hAnsi="Times New Roman" w:hint="default"/>
      </w:rPr>
    </w:lvl>
    <w:lvl w:ilvl="3" w:tplc="A9A22336" w:tentative="1">
      <w:start w:val="1"/>
      <w:numFmt w:val="bullet"/>
      <w:lvlText w:val="-"/>
      <w:lvlJc w:val="left"/>
      <w:pPr>
        <w:tabs>
          <w:tab w:val="num" w:pos="2880"/>
        </w:tabs>
        <w:ind w:left="2880" w:hanging="360"/>
      </w:pPr>
      <w:rPr>
        <w:rFonts w:ascii="Times New Roman" w:hAnsi="Times New Roman" w:hint="default"/>
      </w:rPr>
    </w:lvl>
    <w:lvl w:ilvl="4" w:tplc="2790490A" w:tentative="1">
      <w:start w:val="1"/>
      <w:numFmt w:val="bullet"/>
      <w:lvlText w:val="-"/>
      <w:lvlJc w:val="left"/>
      <w:pPr>
        <w:tabs>
          <w:tab w:val="num" w:pos="3600"/>
        </w:tabs>
        <w:ind w:left="3600" w:hanging="360"/>
      </w:pPr>
      <w:rPr>
        <w:rFonts w:ascii="Times New Roman" w:hAnsi="Times New Roman" w:hint="default"/>
      </w:rPr>
    </w:lvl>
    <w:lvl w:ilvl="5" w:tplc="811EF004" w:tentative="1">
      <w:start w:val="1"/>
      <w:numFmt w:val="bullet"/>
      <w:lvlText w:val="-"/>
      <w:lvlJc w:val="left"/>
      <w:pPr>
        <w:tabs>
          <w:tab w:val="num" w:pos="4320"/>
        </w:tabs>
        <w:ind w:left="4320" w:hanging="360"/>
      </w:pPr>
      <w:rPr>
        <w:rFonts w:ascii="Times New Roman" w:hAnsi="Times New Roman" w:hint="default"/>
      </w:rPr>
    </w:lvl>
    <w:lvl w:ilvl="6" w:tplc="8FDC59B6" w:tentative="1">
      <w:start w:val="1"/>
      <w:numFmt w:val="bullet"/>
      <w:lvlText w:val="-"/>
      <w:lvlJc w:val="left"/>
      <w:pPr>
        <w:tabs>
          <w:tab w:val="num" w:pos="5040"/>
        </w:tabs>
        <w:ind w:left="5040" w:hanging="360"/>
      </w:pPr>
      <w:rPr>
        <w:rFonts w:ascii="Times New Roman" w:hAnsi="Times New Roman" w:hint="default"/>
      </w:rPr>
    </w:lvl>
    <w:lvl w:ilvl="7" w:tplc="25E4EF8A" w:tentative="1">
      <w:start w:val="1"/>
      <w:numFmt w:val="bullet"/>
      <w:lvlText w:val="-"/>
      <w:lvlJc w:val="left"/>
      <w:pPr>
        <w:tabs>
          <w:tab w:val="num" w:pos="5760"/>
        </w:tabs>
        <w:ind w:left="5760" w:hanging="360"/>
      </w:pPr>
      <w:rPr>
        <w:rFonts w:ascii="Times New Roman" w:hAnsi="Times New Roman" w:hint="default"/>
      </w:rPr>
    </w:lvl>
    <w:lvl w:ilvl="8" w:tplc="3C4C805A"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900796D"/>
    <w:multiLevelType w:val="hybridMultilevel"/>
    <w:tmpl w:val="390E4956"/>
    <w:lvl w:ilvl="0" w:tplc="D218987A">
      <w:start w:val="1"/>
      <w:numFmt w:val="bullet"/>
      <w:lvlText w:val="•"/>
      <w:lvlJc w:val="left"/>
      <w:pPr>
        <w:tabs>
          <w:tab w:val="num" w:pos="720"/>
        </w:tabs>
        <w:ind w:left="720" w:hanging="360"/>
      </w:pPr>
      <w:rPr>
        <w:rFonts w:ascii="Arial" w:hAnsi="Arial" w:hint="default"/>
      </w:rPr>
    </w:lvl>
    <w:lvl w:ilvl="1" w:tplc="1FC4E9EA">
      <w:numFmt w:val="bullet"/>
      <w:lvlText w:val="•"/>
      <w:lvlJc w:val="left"/>
      <w:pPr>
        <w:tabs>
          <w:tab w:val="num" w:pos="1440"/>
        </w:tabs>
        <w:ind w:left="1440" w:hanging="360"/>
      </w:pPr>
      <w:rPr>
        <w:rFonts w:ascii="Arial" w:hAnsi="Arial" w:hint="default"/>
      </w:rPr>
    </w:lvl>
    <w:lvl w:ilvl="2" w:tplc="4D9A6B6A" w:tentative="1">
      <w:start w:val="1"/>
      <w:numFmt w:val="bullet"/>
      <w:lvlText w:val="•"/>
      <w:lvlJc w:val="left"/>
      <w:pPr>
        <w:tabs>
          <w:tab w:val="num" w:pos="2160"/>
        </w:tabs>
        <w:ind w:left="2160" w:hanging="360"/>
      </w:pPr>
      <w:rPr>
        <w:rFonts w:ascii="Arial" w:hAnsi="Arial" w:hint="default"/>
      </w:rPr>
    </w:lvl>
    <w:lvl w:ilvl="3" w:tplc="4EAA275C" w:tentative="1">
      <w:start w:val="1"/>
      <w:numFmt w:val="bullet"/>
      <w:lvlText w:val="•"/>
      <w:lvlJc w:val="left"/>
      <w:pPr>
        <w:tabs>
          <w:tab w:val="num" w:pos="2880"/>
        </w:tabs>
        <w:ind w:left="2880" w:hanging="360"/>
      </w:pPr>
      <w:rPr>
        <w:rFonts w:ascii="Arial" w:hAnsi="Arial" w:hint="default"/>
      </w:rPr>
    </w:lvl>
    <w:lvl w:ilvl="4" w:tplc="61A20AE6" w:tentative="1">
      <w:start w:val="1"/>
      <w:numFmt w:val="bullet"/>
      <w:lvlText w:val="•"/>
      <w:lvlJc w:val="left"/>
      <w:pPr>
        <w:tabs>
          <w:tab w:val="num" w:pos="3600"/>
        </w:tabs>
        <w:ind w:left="3600" w:hanging="360"/>
      </w:pPr>
      <w:rPr>
        <w:rFonts w:ascii="Arial" w:hAnsi="Arial" w:hint="default"/>
      </w:rPr>
    </w:lvl>
    <w:lvl w:ilvl="5" w:tplc="9C0E6344" w:tentative="1">
      <w:start w:val="1"/>
      <w:numFmt w:val="bullet"/>
      <w:lvlText w:val="•"/>
      <w:lvlJc w:val="left"/>
      <w:pPr>
        <w:tabs>
          <w:tab w:val="num" w:pos="4320"/>
        </w:tabs>
        <w:ind w:left="4320" w:hanging="360"/>
      </w:pPr>
      <w:rPr>
        <w:rFonts w:ascii="Arial" w:hAnsi="Arial" w:hint="default"/>
      </w:rPr>
    </w:lvl>
    <w:lvl w:ilvl="6" w:tplc="A1F27352" w:tentative="1">
      <w:start w:val="1"/>
      <w:numFmt w:val="bullet"/>
      <w:lvlText w:val="•"/>
      <w:lvlJc w:val="left"/>
      <w:pPr>
        <w:tabs>
          <w:tab w:val="num" w:pos="5040"/>
        </w:tabs>
        <w:ind w:left="5040" w:hanging="360"/>
      </w:pPr>
      <w:rPr>
        <w:rFonts w:ascii="Arial" w:hAnsi="Arial" w:hint="default"/>
      </w:rPr>
    </w:lvl>
    <w:lvl w:ilvl="7" w:tplc="71E03AD8" w:tentative="1">
      <w:start w:val="1"/>
      <w:numFmt w:val="bullet"/>
      <w:lvlText w:val="•"/>
      <w:lvlJc w:val="left"/>
      <w:pPr>
        <w:tabs>
          <w:tab w:val="num" w:pos="5760"/>
        </w:tabs>
        <w:ind w:left="5760" w:hanging="360"/>
      </w:pPr>
      <w:rPr>
        <w:rFonts w:ascii="Arial" w:hAnsi="Arial" w:hint="default"/>
      </w:rPr>
    </w:lvl>
    <w:lvl w:ilvl="8" w:tplc="CD98FD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2894731"/>
    <w:multiLevelType w:val="hybridMultilevel"/>
    <w:tmpl w:val="ED127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1F47FF"/>
    <w:multiLevelType w:val="hybridMultilevel"/>
    <w:tmpl w:val="ADE83618"/>
    <w:lvl w:ilvl="0" w:tplc="B56698B4">
      <w:start w:val="1"/>
      <w:numFmt w:val="bullet"/>
      <w:lvlText w:val="•"/>
      <w:lvlJc w:val="left"/>
      <w:pPr>
        <w:tabs>
          <w:tab w:val="num" w:pos="720"/>
        </w:tabs>
        <w:ind w:left="720" w:hanging="360"/>
      </w:pPr>
      <w:rPr>
        <w:rFonts w:ascii="Arial" w:hAnsi="Arial" w:hint="default"/>
      </w:rPr>
    </w:lvl>
    <w:lvl w:ilvl="1" w:tplc="D0ECA51C" w:tentative="1">
      <w:start w:val="1"/>
      <w:numFmt w:val="bullet"/>
      <w:lvlText w:val="•"/>
      <w:lvlJc w:val="left"/>
      <w:pPr>
        <w:tabs>
          <w:tab w:val="num" w:pos="1440"/>
        </w:tabs>
        <w:ind w:left="1440" w:hanging="360"/>
      </w:pPr>
      <w:rPr>
        <w:rFonts w:ascii="Arial" w:hAnsi="Arial" w:hint="default"/>
      </w:rPr>
    </w:lvl>
    <w:lvl w:ilvl="2" w:tplc="C4846DF4" w:tentative="1">
      <w:start w:val="1"/>
      <w:numFmt w:val="bullet"/>
      <w:lvlText w:val="•"/>
      <w:lvlJc w:val="left"/>
      <w:pPr>
        <w:tabs>
          <w:tab w:val="num" w:pos="2160"/>
        </w:tabs>
        <w:ind w:left="2160" w:hanging="360"/>
      </w:pPr>
      <w:rPr>
        <w:rFonts w:ascii="Arial" w:hAnsi="Arial" w:hint="default"/>
      </w:rPr>
    </w:lvl>
    <w:lvl w:ilvl="3" w:tplc="C1C091D4" w:tentative="1">
      <w:start w:val="1"/>
      <w:numFmt w:val="bullet"/>
      <w:lvlText w:val="•"/>
      <w:lvlJc w:val="left"/>
      <w:pPr>
        <w:tabs>
          <w:tab w:val="num" w:pos="2880"/>
        </w:tabs>
        <w:ind w:left="2880" w:hanging="360"/>
      </w:pPr>
      <w:rPr>
        <w:rFonts w:ascii="Arial" w:hAnsi="Arial" w:hint="default"/>
      </w:rPr>
    </w:lvl>
    <w:lvl w:ilvl="4" w:tplc="E3F6F258" w:tentative="1">
      <w:start w:val="1"/>
      <w:numFmt w:val="bullet"/>
      <w:lvlText w:val="•"/>
      <w:lvlJc w:val="left"/>
      <w:pPr>
        <w:tabs>
          <w:tab w:val="num" w:pos="3600"/>
        </w:tabs>
        <w:ind w:left="3600" w:hanging="360"/>
      </w:pPr>
      <w:rPr>
        <w:rFonts w:ascii="Arial" w:hAnsi="Arial" w:hint="default"/>
      </w:rPr>
    </w:lvl>
    <w:lvl w:ilvl="5" w:tplc="BB9E313A" w:tentative="1">
      <w:start w:val="1"/>
      <w:numFmt w:val="bullet"/>
      <w:lvlText w:val="•"/>
      <w:lvlJc w:val="left"/>
      <w:pPr>
        <w:tabs>
          <w:tab w:val="num" w:pos="4320"/>
        </w:tabs>
        <w:ind w:left="4320" w:hanging="360"/>
      </w:pPr>
      <w:rPr>
        <w:rFonts w:ascii="Arial" w:hAnsi="Arial" w:hint="default"/>
      </w:rPr>
    </w:lvl>
    <w:lvl w:ilvl="6" w:tplc="D534E29A" w:tentative="1">
      <w:start w:val="1"/>
      <w:numFmt w:val="bullet"/>
      <w:lvlText w:val="•"/>
      <w:lvlJc w:val="left"/>
      <w:pPr>
        <w:tabs>
          <w:tab w:val="num" w:pos="5040"/>
        </w:tabs>
        <w:ind w:left="5040" w:hanging="360"/>
      </w:pPr>
      <w:rPr>
        <w:rFonts w:ascii="Arial" w:hAnsi="Arial" w:hint="default"/>
      </w:rPr>
    </w:lvl>
    <w:lvl w:ilvl="7" w:tplc="CA92D6DA" w:tentative="1">
      <w:start w:val="1"/>
      <w:numFmt w:val="bullet"/>
      <w:lvlText w:val="•"/>
      <w:lvlJc w:val="left"/>
      <w:pPr>
        <w:tabs>
          <w:tab w:val="num" w:pos="5760"/>
        </w:tabs>
        <w:ind w:left="5760" w:hanging="360"/>
      </w:pPr>
      <w:rPr>
        <w:rFonts w:ascii="Arial" w:hAnsi="Arial" w:hint="default"/>
      </w:rPr>
    </w:lvl>
    <w:lvl w:ilvl="8" w:tplc="F6FE0A1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87F7B58"/>
    <w:multiLevelType w:val="hybridMultilevel"/>
    <w:tmpl w:val="9E90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19D4652"/>
    <w:multiLevelType w:val="hybridMultilevel"/>
    <w:tmpl w:val="F05A716E"/>
    <w:lvl w:ilvl="0" w:tplc="E2CEA6CE">
      <w:start w:val="1"/>
      <w:numFmt w:val="bullet"/>
      <w:lvlText w:val="-"/>
      <w:lvlJc w:val="left"/>
      <w:pPr>
        <w:tabs>
          <w:tab w:val="num" w:pos="720"/>
        </w:tabs>
        <w:ind w:left="720" w:hanging="360"/>
      </w:pPr>
      <w:rPr>
        <w:rFonts w:ascii="Times New Roman" w:hAnsi="Times New Roman" w:hint="default"/>
      </w:rPr>
    </w:lvl>
    <w:lvl w:ilvl="1" w:tplc="C1E4C368">
      <w:numFmt w:val="bullet"/>
      <w:lvlText w:val="o"/>
      <w:lvlJc w:val="left"/>
      <w:pPr>
        <w:tabs>
          <w:tab w:val="num" w:pos="1440"/>
        </w:tabs>
        <w:ind w:left="1440" w:hanging="360"/>
      </w:pPr>
      <w:rPr>
        <w:rFonts w:ascii="Courier New" w:hAnsi="Courier New" w:hint="default"/>
      </w:rPr>
    </w:lvl>
    <w:lvl w:ilvl="2" w:tplc="E078E43E" w:tentative="1">
      <w:start w:val="1"/>
      <w:numFmt w:val="bullet"/>
      <w:lvlText w:val="-"/>
      <w:lvlJc w:val="left"/>
      <w:pPr>
        <w:tabs>
          <w:tab w:val="num" w:pos="2160"/>
        </w:tabs>
        <w:ind w:left="2160" w:hanging="360"/>
      </w:pPr>
      <w:rPr>
        <w:rFonts w:ascii="Times New Roman" w:hAnsi="Times New Roman" w:hint="default"/>
      </w:rPr>
    </w:lvl>
    <w:lvl w:ilvl="3" w:tplc="A02C34CE" w:tentative="1">
      <w:start w:val="1"/>
      <w:numFmt w:val="bullet"/>
      <w:lvlText w:val="-"/>
      <w:lvlJc w:val="left"/>
      <w:pPr>
        <w:tabs>
          <w:tab w:val="num" w:pos="2880"/>
        </w:tabs>
        <w:ind w:left="2880" w:hanging="360"/>
      </w:pPr>
      <w:rPr>
        <w:rFonts w:ascii="Times New Roman" w:hAnsi="Times New Roman" w:hint="default"/>
      </w:rPr>
    </w:lvl>
    <w:lvl w:ilvl="4" w:tplc="2A9E3B6A" w:tentative="1">
      <w:start w:val="1"/>
      <w:numFmt w:val="bullet"/>
      <w:lvlText w:val="-"/>
      <w:lvlJc w:val="left"/>
      <w:pPr>
        <w:tabs>
          <w:tab w:val="num" w:pos="3600"/>
        </w:tabs>
        <w:ind w:left="3600" w:hanging="360"/>
      </w:pPr>
      <w:rPr>
        <w:rFonts w:ascii="Times New Roman" w:hAnsi="Times New Roman" w:hint="default"/>
      </w:rPr>
    </w:lvl>
    <w:lvl w:ilvl="5" w:tplc="B8C03AB0" w:tentative="1">
      <w:start w:val="1"/>
      <w:numFmt w:val="bullet"/>
      <w:lvlText w:val="-"/>
      <w:lvlJc w:val="left"/>
      <w:pPr>
        <w:tabs>
          <w:tab w:val="num" w:pos="4320"/>
        </w:tabs>
        <w:ind w:left="4320" w:hanging="360"/>
      </w:pPr>
      <w:rPr>
        <w:rFonts w:ascii="Times New Roman" w:hAnsi="Times New Roman" w:hint="default"/>
      </w:rPr>
    </w:lvl>
    <w:lvl w:ilvl="6" w:tplc="DAF8ED8A" w:tentative="1">
      <w:start w:val="1"/>
      <w:numFmt w:val="bullet"/>
      <w:lvlText w:val="-"/>
      <w:lvlJc w:val="left"/>
      <w:pPr>
        <w:tabs>
          <w:tab w:val="num" w:pos="5040"/>
        </w:tabs>
        <w:ind w:left="5040" w:hanging="360"/>
      </w:pPr>
      <w:rPr>
        <w:rFonts w:ascii="Times New Roman" w:hAnsi="Times New Roman" w:hint="default"/>
      </w:rPr>
    </w:lvl>
    <w:lvl w:ilvl="7" w:tplc="6A22FCA6" w:tentative="1">
      <w:start w:val="1"/>
      <w:numFmt w:val="bullet"/>
      <w:lvlText w:val="-"/>
      <w:lvlJc w:val="left"/>
      <w:pPr>
        <w:tabs>
          <w:tab w:val="num" w:pos="5760"/>
        </w:tabs>
        <w:ind w:left="5760" w:hanging="360"/>
      </w:pPr>
      <w:rPr>
        <w:rFonts w:ascii="Times New Roman" w:hAnsi="Times New Roman" w:hint="default"/>
      </w:rPr>
    </w:lvl>
    <w:lvl w:ilvl="8" w:tplc="0004E6AE"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97E7F06"/>
    <w:multiLevelType w:val="hybridMultilevel"/>
    <w:tmpl w:val="9946B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DE84917"/>
    <w:multiLevelType w:val="hybridMultilevel"/>
    <w:tmpl w:val="70108CFE"/>
    <w:lvl w:ilvl="0" w:tplc="5152313A">
      <w:start w:val="1"/>
      <w:numFmt w:val="bullet"/>
      <w:lvlText w:val="•"/>
      <w:lvlJc w:val="left"/>
      <w:pPr>
        <w:tabs>
          <w:tab w:val="num" w:pos="720"/>
        </w:tabs>
        <w:ind w:left="720" w:hanging="360"/>
      </w:pPr>
      <w:rPr>
        <w:rFonts w:ascii="Arial" w:hAnsi="Arial" w:hint="default"/>
      </w:rPr>
    </w:lvl>
    <w:lvl w:ilvl="1" w:tplc="DFE0152C">
      <w:numFmt w:val="bullet"/>
      <w:lvlText w:val="•"/>
      <w:lvlJc w:val="left"/>
      <w:pPr>
        <w:tabs>
          <w:tab w:val="num" w:pos="1440"/>
        </w:tabs>
        <w:ind w:left="1440" w:hanging="360"/>
      </w:pPr>
      <w:rPr>
        <w:rFonts w:ascii="Arial" w:hAnsi="Arial" w:hint="default"/>
      </w:rPr>
    </w:lvl>
    <w:lvl w:ilvl="2" w:tplc="92BCB4DE">
      <w:numFmt w:val="bullet"/>
      <w:lvlText w:val="•"/>
      <w:lvlJc w:val="left"/>
      <w:pPr>
        <w:tabs>
          <w:tab w:val="num" w:pos="2160"/>
        </w:tabs>
        <w:ind w:left="2160" w:hanging="360"/>
      </w:pPr>
      <w:rPr>
        <w:rFonts w:ascii="Arial" w:hAnsi="Arial" w:hint="default"/>
      </w:rPr>
    </w:lvl>
    <w:lvl w:ilvl="3" w:tplc="19821972">
      <w:numFmt w:val="bullet"/>
      <w:lvlText w:val="•"/>
      <w:lvlJc w:val="left"/>
      <w:pPr>
        <w:tabs>
          <w:tab w:val="num" w:pos="2880"/>
        </w:tabs>
        <w:ind w:left="2880" w:hanging="360"/>
      </w:pPr>
      <w:rPr>
        <w:rFonts w:ascii="Arial" w:hAnsi="Arial" w:hint="default"/>
      </w:rPr>
    </w:lvl>
    <w:lvl w:ilvl="4" w:tplc="9C86587E" w:tentative="1">
      <w:start w:val="1"/>
      <w:numFmt w:val="bullet"/>
      <w:lvlText w:val="•"/>
      <w:lvlJc w:val="left"/>
      <w:pPr>
        <w:tabs>
          <w:tab w:val="num" w:pos="3600"/>
        </w:tabs>
        <w:ind w:left="3600" w:hanging="360"/>
      </w:pPr>
      <w:rPr>
        <w:rFonts w:ascii="Arial" w:hAnsi="Arial" w:hint="default"/>
      </w:rPr>
    </w:lvl>
    <w:lvl w:ilvl="5" w:tplc="60061BD8" w:tentative="1">
      <w:start w:val="1"/>
      <w:numFmt w:val="bullet"/>
      <w:lvlText w:val="•"/>
      <w:lvlJc w:val="left"/>
      <w:pPr>
        <w:tabs>
          <w:tab w:val="num" w:pos="4320"/>
        </w:tabs>
        <w:ind w:left="4320" w:hanging="360"/>
      </w:pPr>
      <w:rPr>
        <w:rFonts w:ascii="Arial" w:hAnsi="Arial" w:hint="default"/>
      </w:rPr>
    </w:lvl>
    <w:lvl w:ilvl="6" w:tplc="96BAD244" w:tentative="1">
      <w:start w:val="1"/>
      <w:numFmt w:val="bullet"/>
      <w:lvlText w:val="•"/>
      <w:lvlJc w:val="left"/>
      <w:pPr>
        <w:tabs>
          <w:tab w:val="num" w:pos="5040"/>
        </w:tabs>
        <w:ind w:left="5040" w:hanging="360"/>
      </w:pPr>
      <w:rPr>
        <w:rFonts w:ascii="Arial" w:hAnsi="Arial" w:hint="default"/>
      </w:rPr>
    </w:lvl>
    <w:lvl w:ilvl="7" w:tplc="F4E0E100" w:tentative="1">
      <w:start w:val="1"/>
      <w:numFmt w:val="bullet"/>
      <w:lvlText w:val="•"/>
      <w:lvlJc w:val="left"/>
      <w:pPr>
        <w:tabs>
          <w:tab w:val="num" w:pos="5760"/>
        </w:tabs>
        <w:ind w:left="5760" w:hanging="360"/>
      </w:pPr>
      <w:rPr>
        <w:rFonts w:ascii="Arial" w:hAnsi="Arial" w:hint="default"/>
      </w:rPr>
    </w:lvl>
    <w:lvl w:ilvl="8" w:tplc="6F86C74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71724F"/>
    <w:multiLevelType w:val="hybridMultilevel"/>
    <w:tmpl w:val="A994138A"/>
    <w:lvl w:ilvl="0" w:tplc="C4DA94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81838743">
    <w:abstractNumId w:val="18"/>
  </w:num>
  <w:num w:numId="2" w16cid:durableId="1770005428">
    <w:abstractNumId w:val="14"/>
  </w:num>
  <w:num w:numId="3" w16cid:durableId="1682512861">
    <w:abstractNumId w:val="12"/>
  </w:num>
  <w:num w:numId="4" w16cid:durableId="796340308">
    <w:abstractNumId w:val="16"/>
  </w:num>
  <w:num w:numId="5" w16cid:durableId="934366344">
    <w:abstractNumId w:val="5"/>
  </w:num>
  <w:num w:numId="6" w16cid:durableId="683047236">
    <w:abstractNumId w:val="11"/>
  </w:num>
  <w:num w:numId="7" w16cid:durableId="64298899">
    <w:abstractNumId w:val="1"/>
  </w:num>
  <w:num w:numId="8" w16cid:durableId="899943017">
    <w:abstractNumId w:val="6"/>
  </w:num>
  <w:num w:numId="9" w16cid:durableId="1149520591">
    <w:abstractNumId w:val="9"/>
  </w:num>
  <w:num w:numId="10" w16cid:durableId="766393149">
    <w:abstractNumId w:val="8"/>
  </w:num>
  <w:num w:numId="11" w16cid:durableId="1365593390">
    <w:abstractNumId w:val="15"/>
  </w:num>
  <w:num w:numId="12" w16cid:durableId="1202942339">
    <w:abstractNumId w:val="0"/>
  </w:num>
  <w:num w:numId="13" w16cid:durableId="1924148632">
    <w:abstractNumId w:val="13"/>
  </w:num>
  <w:num w:numId="14" w16cid:durableId="1745909663">
    <w:abstractNumId w:val="17"/>
  </w:num>
  <w:num w:numId="15" w16cid:durableId="715786610">
    <w:abstractNumId w:val="3"/>
  </w:num>
  <w:num w:numId="16" w16cid:durableId="949047078">
    <w:abstractNumId w:val="2"/>
  </w:num>
  <w:num w:numId="17" w16cid:durableId="1637024375">
    <w:abstractNumId w:val="7"/>
  </w:num>
  <w:num w:numId="18" w16cid:durableId="788162042">
    <w:abstractNumId w:val="10"/>
  </w:num>
  <w:num w:numId="19" w16cid:durableId="11555633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9CF"/>
    <w:rsid w:val="0000310A"/>
    <w:rsid w:val="00053FB1"/>
    <w:rsid w:val="000701D7"/>
    <w:rsid w:val="00073C28"/>
    <w:rsid w:val="00093E6A"/>
    <w:rsid w:val="000C0114"/>
    <w:rsid w:val="000C46E0"/>
    <w:rsid w:val="00143C67"/>
    <w:rsid w:val="001C672D"/>
    <w:rsid w:val="001C67C0"/>
    <w:rsid w:val="001D0EB6"/>
    <w:rsid w:val="001D4EE3"/>
    <w:rsid w:val="001E269D"/>
    <w:rsid w:val="00201207"/>
    <w:rsid w:val="00220CB7"/>
    <w:rsid w:val="002232E6"/>
    <w:rsid w:val="0024235A"/>
    <w:rsid w:val="002B581A"/>
    <w:rsid w:val="002E1C9A"/>
    <w:rsid w:val="002E376A"/>
    <w:rsid w:val="002F19CF"/>
    <w:rsid w:val="0034527D"/>
    <w:rsid w:val="00360772"/>
    <w:rsid w:val="00362765"/>
    <w:rsid w:val="00394961"/>
    <w:rsid w:val="003A4868"/>
    <w:rsid w:val="003B503A"/>
    <w:rsid w:val="003C0EC8"/>
    <w:rsid w:val="00405F94"/>
    <w:rsid w:val="004120A1"/>
    <w:rsid w:val="00427291"/>
    <w:rsid w:val="004411D0"/>
    <w:rsid w:val="0045182F"/>
    <w:rsid w:val="004C111F"/>
    <w:rsid w:val="005213DD"/>
    <w:rsid w:val="00530949"/>
    <w:rsid w:val="005761CA"/>
    <w:rsid w:val="0057706F"/>
    <w:rsid w:val="0059539E"/>
    <w:rsid w:val="005A559A"/>
    <w:rsid w:val="005C4E51"/>
    <w:rsid w:val="005D3E68"/>
    <w:rsid w:val="005E2FBA"/>
    <w:rsid w:val="005E43D0"/>
    <w:rsid w:val="005E789D"/>
    <w:rsid w:val="005F4C74"/>
    <w:rsid w:val="005F75E9"/>
    <w:rsid w:val="0060745F"/>
    <w:rsid w:val="00610DBD"/>
    <w:rsid w:val="00625285"/>
    <w:rsid w:val="00640C95"/>
    <w:rsid w:val="00647DB0"/>
    <w:rsid w:val="00677085"/>
    <w:rsid w:val="006821B7"/>
    <w:rsid w:val="0068580C"/>
    <w:rsid w:val="006C2EBC"/>
    <w:rsid w:val="0070173E"/>
    <w:rsid w:val="00715ED2"/>
    <w:rsid w:val="007308B5"/>
    <w:rsid w:val="00761D4C"/>
    <w:rsid w:val="007648E7"/>
    <w:rsid w:val="00764CBD"/>
    <w:rsid w:val="007715F3"/>
    <w:rsid w:val="00781531"/>
    <w:rsid w:val="007A7E65"/>
    <w:rsid w:val="007B39B1"/>
    <w:rsid w:val="007C5923"/>
    <w:rsid w:val="007E3E0B"/>
    <w:rsid w:val="007F01AA"/>
    <w:rsid w:val="007F23EC"/>
    <w:rsid w:val="007F4E5D"/>
    <w:rsid w:val="008263D6"/>
    <w:rsid w:val="00826955"/>
    <w:rsid w:val="00865811"/>
    <w:rsid w:val="00872E4E"/>
    <w:rsid w:val="008743C1"/>
    <w:rsid w:val="00877E54"/>
    <w:rsid w:val="00884F7A"/>
    <w:rsid w:val="008A19B8"/>
    <w:rsid w:val="008B1244"/>
    <w:rsid w:val="008D1BE2"/>
    <w:rsid w:val="008E41B2"/>
    <w:rsid w:val="008F3416"/>
    <w:rsid w:val="008F4278"/>
    <w:rsid w:val="009305E7"/>
    <w:rsid w:val="00936EE7"/>
    <w:rsid w:val="0098641F"/>
    <w:rsid w:val="009A67F6"/>
    <w:rsid w:val="009D6AE1"/>
    <w:rsid w:val="009E0043"/>
    <w:rsid w:val="00A46684"/>
    <w:rsid w:val="00A9222C"/>
    <w:rsid w:val="00AA0A9C"/>
    <w:rsid w:val="00AA1C79"/>
    <w:rsid w:val="00AB1327"/>
    <w:rsid w:val="00AB72D9"/>
    <w:rsid w:val="00AF1AD7"/>
    <w:rsid w:val="00B024E4"/>
    <w:rsid w:val="00B0285A"/>
    <w:rsid w:val="00B02D49"/>
    <w:rsid w:val="00B039AC"/>
    <w:rsid w:val="00B05589"/>
    <w:rsid w:val="00B2014A"/>
    <w:rsid w:val="00B509FF"/>
    <w:rsid w:val="00B7272D"/>
    <w:rsid w:val="00B806B7"/>
    <w:rsid w:val="00B96B98"/>
    <w:rsid w:val="00BA1E8C"/>
    <w:rsid w:val="00BB360D"/>
    <w:rsid w:val="00BC06DE"/>
    <w:rsid w:val="00BD2C83"/>
    <w:rsid w:val="00C67740"/>
    <w:rsid w:val="00CC6585"/>
    <w:rsid w:val="00CD27BA"/>
    <w:rsid w:val="00CD2E23"/>
    <w:rsid w:val="00CE61D9"/>
    <w:rsid w:val="00D04C91"/>
    <w:rsid w:val="00D451E2"/>
    <w:rsid w:val="00D664CB"/>
    <w:rsid w:val="00D800C0"/>
    <w:rsid w:val="00D85C27"/>
    <w:rsid w:val="00DA685C"/>
    <w:rsid w:val="00DC6858"/>
    <w:rsid w:val="00DD4815"/>
    <w:rsid w:val="00DE531D"/>
    <w:rsid w:val="00E11AA2"/>
    <w:rsid w:val="00E17619"/>
    <w:rsid w:val="00E25B96"/>
    <w:rsid w:val="00E33CAF"/>
    <w:rsid w:val="00E4342E"/>
    <w:rsid w:val="00E469C2"/>
    <w:rsid w:val="00E5196A"/>
    <w:rsid w:val="00E740B8"/>
    <w:rsid w:val="00E86A80"/>
    <w:rsid w:val="00EB5C47"/>
    <w:rsid w:val="00EC598E"/>
    <w:rsid w:val="00EC61EB"/>
    <w:rsid w:val="00EE110D"/>
    <w:rsid w:val="00EE5A23"/>
    <w:rsid w:val="00EF16E1"/>
    <w:rsid w:val="00EF7397"/>
    <w:rsid w:val="00F16A01"/>
    <w:rsid w:val="00F41B7E"/>
    <w:rsid w:val="00F72CE5"/>
    <w:rsid w:val="00F86744"/>
    <w:rsid w:val="00F86CFB"/>
    <w:rsid w:val="00FD2B70"/>
    <w:rsid w:val="00FD6A0A"/>
    <w:rsid w:val="00FE5B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AF8E8"/>
  <w15:chartTrackingRefBased/>
  <w15:docId w15:val="{BCF61238-133A-4C16-88F9-8CE2EF2F1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E65"/>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2F19C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2F19C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F19C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F19C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F19C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F19C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F19C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F19C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F19C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F19C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2F19C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F19C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F19C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F19C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F19C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F19C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F19C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F19CF"/>
    <w:rPr>
      <w:rFonts w:eastAsiaTheme="majorEastAsia" w:cstheme="majorBidi"/>
      <w:color w:val="272727" w:themeColor="text1" w:themeTint="D8"/>
    </w:rPr>
  </w:style>
  <w:style w:type="paragraph" w:styleId="Title">
    <w:name w:val="Title"/>
    <w:basedOn w:val="Normal"/>
    <w:next w:val="Normal"/>
    <w:link w:val="TitleChar"/>
    <w:uiPriority w:val="10"/>
    <w:qFormat/>
    <w:rsid w:val="002F19C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19C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F19C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F19C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F19CF"/>
    <w:pPr>
      <w:spacing w:before="160"/>
      <w:jc w:val="center"/>
    </w:pPr>
    <w:rPr>
      <w:i/>
      <w:iCs/>
      <w:color w:val="404040" w:themeColor="text1" w:themeTint="BF"/>
    </w:rPr>
  </w:style>
  <w:style w:type="character" w:customStyle="1" w:styleId="QuoteChar">
    <w:name w:val="Quote Char"/>
    <w:basedOn w:val="DefaultParagraphFont"/>
    <w:link w:val="Quote"/>
    <w:uiPriority w:val="29"/>
    <w:rsid w:val="002F19CF"/>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2F19CF"/>
    <w:pPr>
      <w:ind w:left="720"/>
      <w:contextualSpacing/>
    </w:pPr>
  </w:style>
  <w:style w:type="character" w:styleId="IntenseEmphasis">
    <w:name w:val="Intense Emphasis"/>
    <w:basedOn w:val="DefaultParagraphFont"/>
    <w:uiPriority w:val="21"/>
    <w:qFormat/>
    <w:rsid w:val="002F19CF"/>
    <w:rPr>
      <w:i/>
      <w:iCs/>
      <w:color w:val="2F5496" w:themeColor="accent1" w:themeShade="BF"/>
    </w:rPr>
  </w:style>
  <w:style w:type="paragraph" w:styleId="IntenseQuote">
    <w:name w:val="Intense Quote"/>
    <w:basedOn w:val="Normal"/>
    <w:next w:val="Normal"/>
    <w:link w:val="IntenseQuoteChar"/>
    <w:uiPriority w:val="30"/>
    <w:qFormat/>
    <w:rsid w:val="002F19C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F19CF"/>
    <w:rPr>
      <w:i/>
      <w:iCs/>
      <w:color w:val="2F5496" w:themeColor="accent1" w:themeShade="BF"/>
    </w:rPr>
  </w:style>
  <w:style w:type="character" w:styleId="IntenseReference">
    <w:name w:val="Intense Reference"/>
    <w:basedOn w:val="DefaultParagraphFont"/>
    <w:uiPriority w:val="32"/>
    <w:qFormat/>
    <w:rsid w:val="002F19CF"/>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2F19CF"/>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F19CF"/>
    <w:rPr>
      <w:rFonts w:ascii="Times New Roman" w:eastAsia="SimSun" w:hAnsi="Times New Roman" w:cs="Times New Roman"/>
      <w:sz w:val="20"/>
      <w:szCs w:val="20"/>
      <w:lang w:val="en-GB"/>
    </w:rPr>
  </w:style>
  <w:style w:type="paragraph" w:styleId="Footer">
    <w:name w:val="footer"/>
    <w:basedOn w:val="Header"/>
    <w:link w:val="FooterChar"/>
    <w:uiPriority w:val="99"/>
    <w:rsid w:val="002F19CF"/>
    <w:pPr>
      <w:widowControl w:val="0"/>
      <w:tabs>
        <w:tab w:val="clear" w:pos="4680"/>
        <w:tab w:val="clear" w:pos="9360"/>
      </w:tabs>
      <w:jc w:val="center"/>
    </w:pPr>
    <w:rPr>
      <w:rFonts w:ascii="Arial" w:eastAsiaTheme="minorEastAsia" w:hAnsi="Arial"/>
      <w:b/>
      <w:i/>
      <w:noProof/>
      <w:sz w:val="18"/>
      <w:lang w:val="en-US" w:eastAsia="ko-KR"/>
    </w:rPr>
  </w:style>
  <w:style w:type="character" w:customStyle="1" w:styleId="FooterChar">
    <w:name w:val="Footer Char"/>
    <w:basedOn w:val="DefaultParagraphFont"/>
    <w:link w:val="Footer"/>
    <w:uiPriority w:val="99"/>
    <w:rsid w:val="002F19CF"/>
    <w:rPr>
      <w:rFonts w:ascii="Arial" w:eastAsiaTheme="minorEastAsia" w:hAnsi="Arial" w:cs="Times New Roman"/>
      <w:b/>
      <w:i/>
      <w:noProof/>
      <w:sz w:val="18"/>
      <w:szCs w:val="20"/>
      <w:lang w:eastAsia="ko-KR"/>
    </w:rPr>
  </w:style>
  <w:style w:type="paragraph" w:customStyle="1" w:styleId="CRCoverPage">
    <w:name w:val="CR Cover Page"/>
    <w:link w:val="CRCoverPageChar"/>
    <w:qFormat/>
    <w:rsid w:val="002F19CF"/>
    <w:pPr>
      <w:spacing w:after="120" w:line="240" w:lineRule="auto"/>
    </w:pPr>
    <w:rPr>
      <w:rFonts w:ascii="Arial" w:eastAsia="MS Mincho" w:hAnsi="Arial" w:cs="Times New Roman"/>
      <w:sz w:val="20"/>
      <w:szCs w:val="20"/>
      <w:lang w:val="en-GB"/>
    </w:rPr>
  </w:style>
  <w:style w:type="table" w:styleId="TableGrid">
    <w:name w:val="Table Grid"/>
    <w:aliases w:val="SGS Table Basic 1"/>
    <w:basedOn w:val="TableNormal"/>
    <w:uiPriority w:val="39"/>
    <w:qFormat/>
    <w:rsid w:val="002F19C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F19CF"/>
    <w:rPr>
      <w:rFonts w:ascii="Arial" w:eastAsia="MS Mincho" w:hAnsi="Arial" w:cs="Times New Roman"/>
      <w:sz w:val="20"/>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2F19CF"/>
  </w:style>
  <w:style w:type="character" w:styleId="PageNumber">
    <w:name w:val="page number"/>
    <w:basedOn w:val="DefaultParagraphFont"/>
    <w:rsid w:val="002F19CF"/>
  </w:style>
  <w:style w:type="paragraph" w:customStyle="1" w:styleId="PL">
    <w:name w:val="PL"/>
    <w:qFormat/>
    <w:rsid w:val="002F19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List">
    <w:name w:val="List"/>
    <w:basedOn w:val="Normal"/>
    <w:rsid w:val="002F19CF"/>
    <w:pPr>
      <w:ind w:left="568" w:hanging="284"/>
    </w:pPr>
    <w:rPr>
      <w:rFonts w:eastAsiaTheme="minorEastAsia"/>
      <w:lang w:eastAsia="ko-KR"/>
    </w:rPr>
  </w:style>
  <w:style w:type="paragraph" w:customStyle="1" w:styleId="B1">
    <w:name w:val="B1"/>
    <w:basedOn w:val="List"/>
    <w:link w:val="B1Char1"/>
    <w:qFormat/>
    <w:rsid w:val="00AA1C79"/>
    <w:rPr>
      <w:rFonts w:eastAsia="MS Mincho"/>
      <w:lang w:eastAsia="ja-JP"/>
    </w:rPr>
  </w:style>
  <w:style w:type="character" w:customStyle="1" w:styleId="B1Char1">
    <w:name w:val="B1 Char1"/>
    <w:link w:val="B1"/>
    <w:rsid w:val="00AA1C79"/>
    <w:rPr>
      <w:rFonts w:ascii="Times New Roman" w:eastAsia="MS Mincho" w:hAnsi="Times New Roman" w:cs="Times New Roman"/>
      <w:sz w:val="20"/>
      <w:szCs w:val="20"/>
      <w:lang w:val="en-GB" w:eastAsia="ja-JP"/>
    </w:rPr>
  </w:style>
  <w:style w:type="paragraph" w:customStyle="1" w:styleId="B2">
    <w:name w:val="B2"/>
    <w:basedOn w:val="Normal"/>
    <w:link w:val="B2Char"/>
    <w:qFormat/>
    <w:rsid w:val="00AA1C79"/>
    <w:pPr>
      <w:ind w:left="851" w:hanging="284"/>
    </w:pPr>
    <w:rPr>
      <w:rFonts w:eastAsia="MS Mincho"/>
    </w:rPr>
  </w:style>
  <w:style w:type="character" w:customStyle="1" w:styleId="B2Char">
    <w:name w:val="B2 Char"/>
    <w:link w:val="B2"/>
    <w:qFormat/>
    <w:rsid w:val="00AA1C79"/>
    <w:rPr>
      <w:rFonts w:ascii="Times New Roman" w:eastAsia="MS Mincho" w:hAnsi="Times New Roman" w:cs="Times New Roman"/>
      <w:sz w:val="20"/>
      <w:szCs w:val="20"/>
      <w:lang w:val="en-GB"/>
    </w:rPr>
  </w:style>
  <w:style w:type="character" w:customStyle="1" w:styleId="B1Char">
    <w:name w:val="B1 Char"/>
    <w:qFormat/>
    <w:rsid w:val="005D3E68"/>
    <w:rPr>
      <w:rFonts w:eastAsia="Times New Roman"/>
      <w:lang w:eastAsia="en-US"/>
    </w:rPr>
  </w:style>
  <w:style w:type="paragraph" w:customStyle="1" w:styleId="B3">
    <w:name w:val="B3"/>
    <w:basedOn w:val="List3"/>
    <w:link w:val="B3Char"/>
    <w:rsid w:val="005D3E68"/>
    <w:pPr>
      <w:overflowPunct w:val="0"/>
      <w:autoSpaceDE w:val="0"/>
      <w:autoSpaceDN w:val="0"/>
      <w:adjustRightInd w:val="0"/>
      <w:ind w:left="1135" w:hanging="284"/>
      <w:contextualSpacing w:val="0"/>
      <w:textAlignment w:val="baseline"/>
    </w:pPr>
    <w:rPr>
      <w:rFonts w:eastAsia="Times New Roman"/>
    </w:rPr>
  </w:style>
  <w:style w:type="character" w:customStyle="1" w:styleId="B3Char">
    <w:name w:val="B3 Char"/>
    <w:link w:val="B3"/>
    <w:qFormat/>
    <w:locked/>
    <w:rsid w:val="005D3E68"/>
    <w:rPr>
      <w:rFonts w:ascii="Times New Roman" w:eastAsia="Times New Roman" w:hAnsi="Times New Roman" w:cs="Times New Roman"/>
      <w:sz w:val="20"/>
      <w:szCs w:val="20"/>
      <w:lang w:val="en-GB"/>
    </w:rPr>
  </w:style>
  <w:style w:type="paragraph" w:styleId="List3">
    <w:name w:val="List 3"/>
    <w:basedOn w:val="Normal"/>
    <w:uiPriority w:val="99"/>
    <w:semiHidden/>
    <w:unhideWhenUsed/>
    <w:rsid w:val="005D3E68"/>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049596">
      <w:bodyDiv w:val="1"/>
      <w:marLeft w:val="0"/>
      <w:marRight w:val="0"/>
      <w:marTop w:val="0"/>
      <w:marBottom w:val="0"/>
      <w:divBdr>
        <w:top w:val="none" w:sz="0" w:space="0" w:color="auto"/>
        <w:left w:val="none" w:sz="0" w:space="0" w:color="auto"/>
        <w:bottom w:val="none" w:sz="0" w:space="0" w:color="auto"/>
        <w:right w:val="none" w:sz="0" w:space="0" w:color="auto"/>
      </w:divBdr>
      <w:divsChild>
        <w:div w:id="360665972">
          <w:marLeft w:val="634"/>
          <w:marRight w:val="0"/>
          <w:marTop w:val="60"/>
          <w:marBottom w:val="0"/>
          <w:divBdr>
            <w:top w:val="none" w:sz="0" w:space="0" w:color="auto"/>
            <w:left w:val="none" w:sz="0" w:space="0" w:color="auto"/>
            <w:bottom w:val="none" w:sz="0" w:space="0" w:color="auto"/>
            <w:right w:val="none" w:sz="0" w:space="0" w:color="auto"/>
          </w:divBdr>
        </w:div>
        <w:div w:id="1194617270">
          <w:marLeft w:val="850"/>
          <w:marRight w:val="0"/>
          <w:marTop w:val="60"/>
          <w:marBottom w:val="240"/>
          <w:divBdr>
            <w:top w:val="none" w:sz="0" w:space="0" w:color="auto"/>
            <w:left w:val="none" w:sz="0" w:space="0" w:color="auto"/>
            <w:bottom w:val="none" w:sz="0" w:space="0" w:color="auto"/>
            <w:right w:val="none" w:sz="0" w:space="0" w:color="auto"/>
          </w:divBdr>
        </w:div>
        <w:div w:id="199246934">
          <w:marLeft w:val="274"/>
          <w:marRight w:val="0"/>
          <w:marTop w:val="0"/>
          <w:marBottom w:val="0"/>
          <w:divBdr>
            <w:top w:val="none" w:sz="0" w:space="0" w:color="auto"/>
            <w:left w:val="none" w:sz="0" w:space="0" w:color="auto"/>
            <w:bottom w:val="none" w:sz="0" w:space="0" w:color="auto"/>
            <w:right w:val="none" w:sz="0" w:space="0" w:color="auto"/>
          </w:divBdr>
        </w:div>
        <w:div w:id="838887190">
          <w:marLeft w:val="634"/>
          <w:marRight w:val="0"/>
          <w:marTop w:val="60"/>
          <w:marBottom w:val="0"/>
          <w:divBdr>
            <w:top w:val="none" w:sz="0" w:space="0" w:color="auto"/>
            <w:left w:val="none" w:sz="0" w:space="0" w:color="auto"/>
            <w:bottom w:val="none" w:sz="0" w:space="0" w:color="auto"/>
            <w:right w:val="none" w:sz="0" w:space="0" w:color="auto"/>
          </w:divBdr>
        </w:div>
        <w:div w:id="298923918">
          <w:marLeft w:val="850"/>
          <w:marRight w:val="0"/>
          <w:marTop w:val="60"/>
          <w:marBottom w:val="0"/>
          <w:divBdr>
            <w:top w:val="none" w:sz="0" w:space="0" w:color="auto"/>
            <w:left w:val="none" w:sz="0" w:space="0" w:color="auto"/>
            <w:bottom w:val="none" w:sz="0" w:space="0" w:color="auto"/>
            <w:right w:val="none" w:sz="0" w:space="0" w:color="auto"/>
          </w:divBdr>
        </w:div>
        <w:div w:id="2108885481">
          <w:marLeft w:val="1051"/>
          <w:marRight w:val="0"/>
          <w:marTop w:val="30"/>
          <w:marBottom w:val="0"/>
          <w:divBdr>
            <w:top w:val="none" w:sz="0" w:space="0" w:color="auto"/>
            <w:left w:val="none" w:sz="0" w:space="0" w:color="auto"/>
            <w:bottom w:val="none" w:sz="0" w:space="0" w:color="auto"/>
            <w:right w:val="none" w:sz="0" w:space="0" w:color="auto"/>
          </w:divBdr>
        </w:div>
        <w:div w:id="1731690447">
          <w:marLeft w:val="1051"/>
          <w:marRight w:val="0"/>
          <w:marTop w:val="30"/>
          <w:marBottom w:val="0"/>
          <w:divBdr>
            <w:top w:val="none" w:sz="0" w:space="0" w:color="auto"/>
            <w:left w:val="none" w:sz="0" w:space="0" w:color="auto"/>
            <w:bottom w:val="none" w:sz="0" w:space="0" w:color="auto"/>
            <w:right w:val="none" w:sz="0" w:space="0" w:color="auto"/>
          </w:divBdr>
        </w:div>
        <w:div w:id="2122795849">
          <w:marLeft w:val="634"/>
          <w:marRight w:val="0"/>
          <w:marTop w:val="60"/>
          <w:marBottom w:val="0"/>
          <w:divBdr>
            <w:top w:val="none" w:sz="0" w:space="0" w:color="auto"/>
            <w:left w:val="none" w:sz="0" w:space="0" w:color="auto"/>
            <w:bottom w:val="none" w:sz="0" w:space="0" w:color="auto"/>
            <w:right w:val="none" w:sz="0" w:space="0" w:color="auto"/>
          </w:divBdr>
        </w:div>
        <w:div w:id="1990862387">
          <w:marLeft w:val="850"/>
          <w:marRight w:val="0"/>
          <w:marTop w:val="60"/>
          <w:marBottom w:val="0"/>
          <w:divBdr>
            <w:top w:val="none" w:sz="0" w:space="0" w:color="auto"/>
            <w:left w:val="none" w:sz="0" w:space="0" w:color="auto"/>
            <w:bottom w:val="none" w:sz="0" w:space="0" w:color="auto"/>
            <w:right w:val="none" w:sz="0" w:space="0" w:color="auto"/>
          </w:divBdr>
        </w:div>
      </w:divsChild>
    </w:div>
    <w:div w:id="220945850">
      <w:bodyDiv w:val="1"/>
      <w:marLeft w:val="0"/>
      <w:marRight w:val="0"/>
      <w:marTop w:val="0"/>
      <w:marBottom w:val="0"/>
      <w:divBdr>
        <w:top w:val="none" w:sz="0" w:space="0" w:color="auto"/>
        <w:left w:val="none" w:sz="0" w:space="0" w:color="auto"/>
        <w:bottom w:val="none" w:sz="0" w:space="0" w:color="auto"/>
        <w:right w:val="none" w:sz="0" w:space="0" w:color="auto"/>
      </w:divBdr>
      <w:divsChild>
        <w:div w:id="1649479627">
          <w:marLeft w:val="634"/>
          <w:marRight w:val="0"/>
          <w:marTop w:val="60"/>
          <w:marBottom w:val="0"/>
          <w:divBdr>
            <w:top w:val="none" w:sz="0" w:space="0" w:color="auto"/>
            <w:left w:val="none" w:sz="0" w:space="0" w:color="auto"/>
            <w:bottom w:val="none" w:sz="0" w:space="0" w:color="auto"/>
            <w:right w:val="none" w:sz="0" w:space="0" w:color="auto"/>
          </w:divBdr>
        </w:div>
        <w:div w:id="359093279">
          <w:marLeft w:val="850"/>
          <w:marRight w:val="0"/>
          <w:marTop w:val="60"/>
          <w:marBottom w:val="240"/>
          <w:divBdr>
            <w:top w:val="none" w:sz="0" w:space="0" w:color="auto"/>
            <w:left w:val="none" w:sz="0" w:space="0" w:color="auto"/>
            <w:bottom w:val="none" w:sz="0" w:space="0" w:color="auto"/>
            <w:right w:val="none" w:sz="0" w:space="0" w:color="auto"/>
          </w:divBdr>
        </w:div>
        <w:div w:id="637955948">
          <w:marLeft w:val="274"/>
          <w:marRight w:val="0"/>
          <w:marTop w:val="0"/>
          <w:marBottom w:val="0"/>
          <w:divBdr>
            <w:top w:val="none" w:sz="0" w:space="0" w:color="auto"/>
            <w:left w:val="none" w:sz="0" w:space="0" w:color="auto"/>
            <w:bottom w:val="none" w:sz="0" w:space="0" w:color="auto"/>
            <w:right w:val="none" w:sz="0" w:space="0" w:color="auto"/>
          </w:divBdr>
        </w:div>
        <w:div w:id="1030687967">
          <w:marLeft w:val="634"/>
          <w:marRight w:val="0"/>
          <w:marTop w:val="60"/>
          <w:marBottom w:val="0"/>
          <w:divBdr>
            <w:top w:val="none" w:sz="0" w:space="0" w:color="auto"/>
            <w:left w:val="none" w:sz="0" w:space="0" w:color="auto"/>
            <w:bottom w:val="none" w:sz="0" w:space="0" w:color="auto"/>
            <w:right w:val="none" w:sz="0" w:space="0" w:color="auto"/>
          </w:divBdr>
        </w:div>
        <w:div w:id="142085651">
          <w:marLeft w:val="850"/>
          <w:marRight w:val="0"/>
          <w:marTop w:val="60"/>
          <w:marBottom w:val="0"/>
          <w:divBdr>
            <w:top w:val="none" w:sz="0" w:space="0" w:color="auto"/>
            <w:left w:val="none" w:sz="0" w:space="0" w:color="auto"/>
            <w:bottom w:val="none" w:sz="0" w:space="0" w:color="auto"/>
            <w:right w:val="none" w:sz="0" w:space="0" w:color="auto"/>
          </w:divBdr>
        </w:div>
        <w:div w:id="1905408098">
          <w:marLeft w:val="1051"/>
          <w:marRight w:val="0"/>
          <w:marTop w:val="30"/>
          <w:marBottom w:val="0"/>
          <w:divBdr>
            <w:top w:val="none" w:sz="0" w:space="0" w:color="auto"/>
            <w:left w:val="none" w:sz="0" w:space="0" w:color="auto"/>
            <w:bottom w:val="none" w:sz="0" w:space="0" w:color="auto"/>
            <w:right w:val="none" w:sz="0" w:space="0" w:color="auto"/>
          </w:divBdr>
        </w:div>
        <w:div w:id="1233466795">
          <w:marLeft w:val="1051"/>
          <w:marRight w:val="0"/>
          <w:marTop w:val="30"/>
          <w:marBottom w:val="0"/>
          <w:divBdr>
            <w:top w:val="none" w:sz="0" w:space="0" w:color="auto"/>
            <w:left w:val="none" w:sz="0" w:space="0" w:color="auto"/>
            <w:bottom w:val="none" w:sz="0" w:space="0" w:color="auto"/>
            <w:right w:val="none" w:sz="0" w:space="0" w:color="auto"/>
          </w:divBdr>
        </w:div>
        <w:div w:id="1512144227">
          <w:marLeft w:val="634"/>
          <w:marRight w:val="0"/>
          <w:marTop w:val="60"/>
          <w:marBottom w:val="0"/>
          <w:divBdr>
            <w:top w:val="none" w:sz="0" w:space="0" w:color="auto"/>
            <w:left w:val="none" w:sz="0" w:space="0" w:color="auto"/>
            <w:bottom w:val="none" w:sz="0" w:space="0" w:color="auto"/>
            <w:right w:val="none" w:sz="0" w:space="0" w:color="auto"/>
          </w:divBdr>
        </w:div>
        <w:div w:id="2002351626">
          <w:marLeft w:val="850"/>
          <w:marRight w:val="0"/>
          <w:marTop w:val="60"/>
          <w:marBottom w:val="0"/>
          <w:divBdr>
            <w:top w:val="none" w:sz="0" w:space="0" w:color="auto"/>
            <w:left w:val="none" w:sz="0" w:space="0" w:color="auto"/>
            <w:bottom w:val="none" w:sz="0" w:space="0" w:color="auto"/>
            <w:right w:val="none" w:sz="0" w:space="0" w:color="auto"/>
          </w:divBdr>
        </w:div>
      </w:divsChild>
    </w:div>
    <w:div w:id="606012790">
      <w:bodyDiv w:val="1"/>
      <w:marLeft w:val="0"/>
      <w:marRight w:val="0"/>
      <w:marTop w:val="0"/>
      <w:marBottom w:val="0"/>
      <w:divBdr>
        <w:top w:val="none" w:sz="0" w:space="0" w:color="auto"/>
        <w:left w:val="none" w:sz="0" w:space="0" w:color="auto"/>
        <w:bottom w:val="none" w:sz="0" w:space="0" w:color="auto"/>
        <w:right w:val="none" w:sz="0" w:space="0" w:color="auto"/>
      </w:divBdr>
      <w:divsChild>
        <w:div w:id="827667797">
          <w:marLeft w:val="634"/>
          <w:marRight w:val="0"/>
          <w:marTop w:val="60"/>
          <w:marBottom w:val="0"/>
          <w:divBdr>
            <w:top w:val="none" w:sz="0" w:space="0" w:color="auto"/>
            <w:left w:val="none" w:sz="0" w:space="0" w:color="auto"/>
            <w:bottom w:val="none" w:sz="0" w:space="0" w:color="auto"/>
            <w:right w:val="none" w:sz="0" w:space="0" w:color="auto"/>
          </w:divBdr>
        </w:div>
        <w:div w:id="2013608230">
          <w:marLeft w:val="850"/>
          <w:marRight w:val="0"/>
          <w:marTop w:val="60"/>
          <w:marBottom w:val="240"/>
          <w:divBdr>
            <w:top w:val="none" w:sz="0" w:space="0" w:color="auto"/>
            <w:left w:val="none" w:sz="0" w:space="0" w:color="auto"/>
            <w:bottom w:val="none" w:sz="0" w:space="0" w:color="auto"/>
            <w:right w:val="none" w:sz="0" w:space="0" w:color="auto"/>
          </w:divBdr>
        </w:div>
        <w:div w:id="730229364">
          <w:marLeft w:val="274"/>
          <w:marRight w:val="0"/>
          <w:marTop w:val="0"/>
          <w:marBottom w:val="0"/>
          <w:divBdr>
            <w:top w:val="none" w:sz="0" w:space="0" w:color="auto"/>
            <w:left w:val="none" w:sz="0" w:space="0" w:color="auto"/>
            <w:bottom w:val="none" w:sz="0" w:space="0" w:color="auto"/>
            <w:right w:val="none" w:sz="0" w:space="0" w:color="auto"/>
          </w:divBdr>
        </w:div>
        <w:div w:id="1654678156">
          <w:marLeft w:val="634"/>
          <w:marRight w:val="0"/>
          <w:marTop w:val="60"/>
          <w:marBottom w:val="0"/>
          <w:divBdr>
            <w:top w:val="none" w:sz="0" w:space="0" w:color="auto"/>
            <w:left w:val="none" w:sz="0" w:space="0" w:color="auto"/>
            <w:bottom w:val="none" w:sz="0" w:space="0" w:color="auto"/>
            <w:right w:val="none" w:sz="0" w:space="0" w:color="auto"/>
          </w:divBdr>
        </w:div>
        <w:div w:id="385448741">
          <w:marLeft w:val="850"/>
          <w:marRight w:val="0"/>
          <w:marTop w:val="60"/>
          <w:marBottom w:val="0"/>
          <w:divBdr>
            <w:top w:val="none" w:sz="0" w:space="0" w:color="auto"/>
            <w:left w:val="none" w:sz="0" w:space="0" w:color="auto"/>
            <w:bottom w:val="none" w:sz="0" w:space="0" w:color="auto"/>
            <w:right w:val="none" w:sz="0" w:space="0" w:color="auto"/>
          </w:divBdr>
        </w:div>
        <w:div w:id="641887929">
          <w:marLeft w:val="1051"/>
          <w:marRight w:val="0"/>
          <w:marTop w:val="30"/>
          <w:marBottom w:val="0"/>
          <w:divBdr>
            <w:top w:val="none" w:sz="0" w:space="0" w:color="auto"/>
            <w:left w:val="none" w:sz="0" w:space="0" w:color="auto"/>
            <w:bottom w:val="none" w:sz="0" w:space="0" w:color="auto"/>
            <w:right w:val="none" w:sz="0" w:space="0" w:color="auto"/>
          </w:divBdr>
        </w:div>
        <w:div w:id="708265938">
          <w:marLeft w:val="1051"/>
          <w:marRight w:val="0"/>
          <w:marTop w:val="30"/>
          <w:marBottom w:val="0"/>
          <w:divBdr>
            <w:top w:val="none" w:sz="0" w:space="0" w:color="auto"/>
            <w:left w:val="none" w:sz="0" w:space="0" w:color="auto"/>
            <w:bottom w:val="none" w:sz="0" w:space="0" w:color="auto"/>
            <w:right w:val="none" w:sz="0" w:space="0" w:color="auto"/>
          </w:divBdr>
        </w:div>
        <w:div w:id="665520122">
          <w:marLeft w:val="634"/>
          <w:marRight w:val="0"/>
          <w:marTop w:val="60"/>
          <w:marBottom w:val="0"/>
          <w:divBdr>
            <w:top w:val="none" w:sz="0" w:space="0" w:color="auto"/>
            <w:left w:val="none" w:sz="0" w:space="0" w:color="auto"/>
            <w:bottom w:val="none" w:sz="0" w:space="0" w:color="auto"/>
            <w:right w:val="none" w:sz="0" w:space="0" w:color="auto"/>
          </w:divBdr>
        </w:div>
        <w:div w:id="1300064097">
          <w:marLeft w:val="850"/>
          <w:marRight w:val="0"/>
          <w:marTop w:val="60"/>
          <w:marBottom w:val="0"/>
          <w:divBdr>
            <w:top w:val="none" w:sz="0" w:space="0" w:color="auto"/>
            <w:left w:val="none" w:sz="0" w:space="0" w:color="auto"/>
            <w:bottom w:val="none" w:sz="0" w:space="0" w:color="auto"/>
            <w:right w:val="none" w:sz="0" w:space="0" w:color="auto"/>
          </w:divBdr>
        </w:div>
      </w:divsChild>
    </w:div>
    <w:div w:id="831410547">
      <w:bodyDiv w:val="1"/>
      <w:marLeft w:val="0"/>
      <w:marRight w:val="0"/>
      <w:marTop w:val="0"/>
      <w:marBottom w:val="0"/>
      <w:divBdr>
        <w:top w:val="none" w:sz="0" w:space="0" w:color="auto"/>
        <w:left w:val="none" w:sz="0" w:space="0" w:color="auto"/>
        <w:bottom w:val="none" w:sz="0" w:space="0" w:color="auto"/>
        <w:right w:val="none" w:sz="0" w:space="0" w:color="auto"/>
      </w:divBdr>
      <w:divsChild>
        <w:div w:id="2032220203">
          <w:marLeft w:val="547"/>
          <w:marRight w:val="0"/>
          <w:marTop w:val="0"/>
          <w:marBottom w:val="0"/>
          <w:divBdr>
            <w:top w:val="none" w:sz="0" w:space="0" w:color="auto"/>
            <w:left w:val="none" w:sz="0" w:space="0" w:color="auto"/>
            <w:bottom w:val="none" w:sz="0" w:space="0" w:color="auto"/>
            <w:right w:val="none" w:sz="0" w:space="0" w:color="auto"/>
          </w:divBdr>
        </w:div>
        <w:div w:id="467747998">
          <w:marLeft w:val="1166"/>
          <w:marRight w:val="0"/>
          <w:marTop w:val="0"/>
          <w:marBottom w:val="0"/>
          <w:divBdr>
            <w:top w:val="none" w:sz="0" w:space="0" w:color="auto"/>
            <w:left w:val="none" w:sz="0" w:space="0" w:color="auto"/>
            <w:bottom w:val="none" w:sz="0" w:space="0" w:color="auto"/>
            <w:right w:val="none" w:sz="0" w:space="0" w:color="auto"/>
          </w:divBdr>
        </w:div>
        <w:div w:id="1817602310">
          <w:marLeft w:val="1166"/>
          <w:marRight w:val="0"/>
          <w:marTop w:val="0"/>
          <w:marBottom w:val="0"/>
          <w:divBdr>
            <w:top w:val="none" w:sz="0" w:space="0" w:color="auto"/>
            <w:left w:val="none" w:sz="0" w:space="0" w:color="auto"/>
            <w:bottom w:val="none" w:sz="0" w:space="0" w:color="auto"/>
            <w:right w:val="none" w:sz="0" w:space="0" w:color="auto"/>
          </w:divBdr>
        </w:div>
        <w:div w:id="1909462073">
          <w:marLeft w:val="1166"/>
          <w:marRight w:val="0"/>
          <w:marTop w:val="0"/>
          <w:marBottom w:val="0"/>
          <w:divBdr>
            <w:top w:val="none" w:sz="0" w:space="0" w:color="auto"/>
            <w:left w:val="none" w:sz="0" w:space="0" w:color="auto"/>
            <w:bottom w:val="none" w:sz="0" w:space="0" w:color="auto"/>
            <w:right w:val="none" w:sz="0" w:space="0" w:color="auto"/>
          </w:divBdr>
        </w:div>
        <w:div w:id="511067097">
          <w:marLeft w:val="1166"/>
          <w:marRight w:val="0"/>
          <w:marTop w:val="0"/>
          <w:marBottom w:val="0"/>
          <w:divBdr>
            <w:top w:val="none" w:sz="0" w:space="0" w:color="auto"/>
            <w:left w:val="none" w:sz="0" w:space="0" w:color="auto"/>
            <w:bottom w:val="none" w:sz="0" w:space="0" w:color="auto"/>
            <w:right w:val="none" w:sz="0" w:space="0" w:color="auto"/>
          </w:divBdr>
        </w:div>
        <w:div w:id="1711109690">
          <w:marLeft w:val="360"/>
          <w:marRight w:val="0"/>
          <w:marTop w:val="0"/>
          <w:marBottom w:val="0"/>
          <w:divBdr>
            <w:top w:val="none" w:sz="0" w:space="0" w:color="auto"/>
            <w:left w:val="none" w:sz="0" w:space="0" w:color="auto"/>
            <w:bottom w:val="none" w:sz="0" w:space="0" w:color="auto"/>
            <w:right w:val="none" w:sz="0" w:space="0" w:color="auto"/>
          </w:divBdr>
        </w:div>
        <w:div w:id="1391611457">
          <w:marLeft w:val="720"/>
          <w:marRight w:val="0"/>
          <w:marTop w:val="0"/>
          <w:marBottom w:val="0"/>
          <w:divBdr>
            <w:top w:val="none" w:sz="0" w:space="0" w:color="auto"/>
            <w:left w:val="none" w:sz="0" w:space="0" w:color="auto"/>
            <w:bottom w:val="none" w:sz="0" w:space="0" w:color="auto"/>
            <w:right w:val="none" w:sz="0" w:space="0" w:color="auto"/>
          </w:divBdr>
        </w:div>
      </w:divsChild>
    </w:div>
    <w:div w:id="1294411491">
      <w:bodyDiv w:val="1"/>
      <w:marLeft w:val="0"/>
      <w:marRight w:val="0"/>
      <w:marTop w:val="0"/>
      <w:marBottom w:val="0"/>
      <w:divBdr>
        <w:top w:val="none" w:sz="0" w:space="0" w:color="auto"/>
        <w:left w:val="none" w:sz="0" w:space="0" w:color="auto"/>
        <w:bottom w:val="none" w:sz="0" w:space="0" w:color="auto"/>
        <w:right w:val="none" w:sz="0" w:space="0" w:color="auto"/>
      </w:divBdr>
      <w:divsChild>
        <w:div w:id="1853571797">
          <w:marLeft w:val="274"/>
          <w:marRight w:val="0"/>
          <w:marTop w:val="180"/>
          <w:marBottom w:val="60"/>
          <w:divBdr>
            <w:top w:val="none" w:sz="0" w:space="0" w:color="auto"/>
            <w:left w:val="none" w:sz="0" w:space="0" w:color="auto"/>
            <w:bottom w:val="none" w:sz="0" w:space="0" w:color="auto"/>
            <w:right w:val="none" w:sz="0" w:space="0" w:color="auto"/>
          </w:divBdr>
        </w:div>
        <w:div w:id="1649895069">
          <w:marLeft w:val="634"/>
          <w:marRight w:val="0"/>
          <w:marTop w:val="60"/>
          <w:marBottom w:val="0"/>
          <w:divBdr>
            <w:top w:val="none" w:sz="0" w:space="0" w:color="auto"/>
            <w:left w:val="none" w:sz="0" w:space="0" w:color="auto"/>
            <w:bottom w:val="none" w:sz="0" w:space="0" w:color="auto"/>
            <w:right w:val="none" w:sz="0" w:space="0" w:color="auto"/>
          </w:divBdr>
        </w:div>
        <w:div w:id="1390768335">
          <w:marLeft w:val="634"/>
          <w:marRight w:val="0"/>
          <w:marTop w:val="60"/>
          <w:marBottom w:val="0"/>
          <w:divBdr>
            <w:top w:val="none" w:sz="0" w:space="0" w:color="auto"/>
            <w:left w:val="none" w:sz="0" w:space="0" w:color="auto"/>
            <w:bottom w:val="none" w:sz="0" w:space="0" w:color="auto"/>
            <w:right w:val="none" w:sz="0" w:space="0" w:color="auto"/>
          </w:divBdr>
        </w:div>
      </w:divsChild>
    </w:div>
    <w:div w:id="1440447219">
      <w:bodyDiv w:val="1"/>
      <w:marLeft w:val="0"/>
      <w:marRight w:val="0"/>
      <w:marTop w:val="0"/>
      <w:marBottom w:val="0"/>
      <w:divBdr>
        <w:top w:val="none" w:sz="0" w:space="0" w:color="auto"/>
        <w:left w:val="none" w:sz="0" w:space="0" w:color="auto"/>
        <w:bottom w:val="none" w:sz="0" w:space="0" w:color="auto"/>
        <w:right w:val="none" w:sz="0" w:space="0" w:color="auto"/>
      </w:divBdr>
      <w:divsChild>
        <w:div w:id="1126199365">
          <w:marLeft w:val="547"/>
          <w:marRight w:val="0"/>
          <w:marTop w:val="0"/>
          <w:marBottom w:val="0"/>
          <w:divBdr>
            <w:top w:val="none" w:sz="0" w:space="0" w:color="auto"/>
            <w:left w:val="none" w:sz="0" w:space="0" w:color="auto"/>
            <w:bottom w:val="none" w:sz="0" w:space="0" w:color="auto"/>
            <w:right w:val="none" w:sz="0" w:space="0" w:color="auto"/>
          </w:divBdr>
        </w:div>
        <w:div w:id="540940100">
          <w:marLeft w:val="1166"/>
          <w:marRight w:val="0"/>
          <w:marTop w:val="0"/>
          <w:marBottom w:val="0"/>
          <w:divBdr>
            <w:top w:val="none" w:sz="0" w:space="0" w:color="auto"/>
            <w:left w:val="none" w:sz="0" w:space="0" w:color="auto"/>
            <w:bottom w:val="none" w:sz="0" w:space="0" w:color="auto"/>
            <w:right w:val="none" w:sz="0" w:space="0" w:color="auto"/>
          </w:divBdr>
        </w:div>
        <w:div w:id="1164666290">
          <w:marLeft w:val="1166"/>
          <w:marRight w:val="0"/>
          <w:marTop w:val="0"/>
          <w:marBottom w:val="0"/>
          <w:divBdr>
            <w:top w:val="none" w:sz="0" w:space="0" w:color="auto"/>
            <w:left w:val="none" w:sz="0" w:space="0" w:color="auto"/>
            <w:bottom w:val="none" w:sz="0" w:space="0" w:color="auto"/>
            <w:right w:val="none" w:sz="0" w:space="0" w:color="auto"/>
          </w:divBdr>
        </w:div>
        <w:div w:id="1232354180">
          <w:marLeft w:val="1166"/>
          <w:marRight w:val="0"/>
          <w:marTop w:val="0"/>
          <w:marBottom w:val="0"/>
          <w:divBdr>
            <w:top w:val="none" w:sz="0" w:space="0" w:color="auto"/>
            <w:left w:val="none" w:sz="0" w:space="0" w:color="auto"/>
            <w:bottom w:val="none" w:sz="0" w:space="0" w:color="auto"/>
            <w:right w:val="none" w:sz="0" w:space="0" w:color="auto"/>
          </w:divBdr>
        </w:div>
        <w:div w:id="583807418">
          <w:marLeft w:val="1166"/>
          <w:marRight w:val="0"/>
          <w:marTop w:val="0"/>
          <w:marBottom w:val="0"/>
          <w:divBdr>
            <w:top w:val="none" w:sz="0" w:space="0" w:color="auto"/>
            <w:left w:val="none" w:sz="0" w:space="0" w:color="auto"/>
            <w:bottom w:val="none" w:sz="0" w:space="0" w:color="auto"/>
            <w:right w:val="none" w:sz="0" w:space="0" w:color="auto"/>
          </w:divBdr>
        </w:div>
        <w:div w:id="889346567">
          <w:marLeft w:val="360"/>
          <w:marRight w:val="0"/>
          <w:marTop w:val="0"/>
          <w:marBottom w:val="0"/>
          <w:divBdr>
            <w:top w:val="none" w:sz="0" w:space="0" w:color="auto"/>
            <w:left w:val="none" w:sz="0" w:space="0" w:color="auto"/>
            <w:bottom w:val="none" w:sz="0" w:space="0" w:color="auto"/>
            <w:right w:val="none" w:sz="0" w:space="0" w:color="auto"/>
          </w:divBdr>
        </w:div>
      </w:divsChild>
    </w:div>
    <w:div w:id="2032223091">
      <w:bodyDiv w:val="1"/>
      <w:marLeft w:val="0"/>
      <w:marRight w:val="0"/>
      <w:marTop w:val="0"/>
      <w:marBottom w:val="0"/>
      <w:divBdr>
        <w:top w:val="none" w:sz="0" w:space="0" w:color="auto"/>
        <w:left w:val="none" w:sz="0" w:space="0" w:color="auto"/>
        <w:bottom w:val="none" w:sz="0" w:space="0" w:color="auto"/>
        <w:right w:val="none" w:sz="0" w:space="0" w:color="auto"/>
      </w:divBdr>
      <w:divsChild>
        <w:div w:id="616134795">
          <w:marLeft w:val="360"/>
          <w:marRight w:val="0"/>
          <w:marTop w:val="200"/>
          <w:marBottom w:val="0"/>
          <w:divBdr>
            <w:top w:val="none" w:sz="0" w:space="0" w:color="auto"/>
            <w:left w:val="none" w:sz="0" w:space="0" w:color="auto"/>
            <w:bottom w:val="none" w:sz="0" w:space="0" w:color="auto"/>
            <w:right w:val="none" w:sz="0" w:space="0" w:color="auto"/>
          </w:divBdr>
        </w:div>
        <w:div w:id="1906722665">
          <w:marLeft w:val="778"/>
          <w:marRight w:val="0"/>
          <w:marTop w:val="100"/>
          <w:marBottom w:val="0"/>
          <w:divBdr>
            <w:top w:val="none" w:sz="0" w:space="0" w:color="auto"/>
            <w:left w:val="none" w:sz="0" w:space="0" w:color="auto"/>
            <w:bottom w:val="none" w:sz="0" w:space="0" w:color="auto"/>
            <w:right w:val="none" w:sz="0" w:space="0" w:color="auto"/>
          </w:divBdr>
        </w:div>
        <w:div w:id="1021738213">
          <w:marLeft w:val="778"/>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8</TotalTime>
  <Pages>7</Pages>
  <Words>2602</Words>
  <Characters>14836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8</cp:revision>
  <dcterms:created xsi:type="dcterms:W3CDTF">2024-10-07T15:09:00Z</dcterms:created>
  <dcterms:modified xsi:type="dcterms:W3CDTF">2024-10-07T15:23:00Z</dcterms:modified>
</cp:coreProperties>
</file>