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3E939" w14:textId="554E3BA1" w:rsidR="00D738D3" w:rsidRPr="008B6C01" w:rsidRDefault="00D738D3" w:rsidP="00D738D3">
      <w:pPr>
        <w:pStyle w:val="3GPPHeader"/>
        <w:spacing w:after="60"/>
        <w:rPr>
          <w:sz w:val="28"/>
          <w:szCs w:val="28"/>
        </w:rPr>
      </w:pPr>
      <w:r w:rsidRPr="008B6C01">
        <w:rPr>
          <w:szCs w:val="24"/>
        </w:rPr>
        <w:t>3GPP TSG-RAN WG4 #112</w:t>
      </w:r>
      <w:r w:rsidR="009C1A82" w:rsidRPr="008B6C01">
        <w:rPr>
          <w:rFonts w:hint="eastAsia"/>
          <w:szCs w:val="24"/>
        </w:rPr>
        <w:t>bis</w:t>
      </w:r>
      <w:r w:rsidRPr="00F82993">
        <w:tab/>
      </w:r>
      <w:r w:rsidR="004D7D81" w:rsidRPr="008B6C01">
        <w:rPr>
          <w:sz w:val="28"/>
          <w:szCs w:val="28"/>
        </w:rPr>
        <w:t>R4-241</w:t>
      </w:r>
      <w:r w:rsidR="00637644" w:rsidRPr="00637644">
        <w:rPr>
          <w:sz w:val="28"/>
          <w:szCs w:val="28"/>
        </w:rPr>
        <w:t>5839</w:t>
      </w:r>
    </w:p>
    <w:p w14:paraId="674DBB2A" w14:textId="53CCCE53" w:rsidR="00F60D1A" w:rsidRPr="00F82993" w:rsidRDefault="00B83414" w:rsidP="00D738D3">
      <w:pPr>
        <w:pStyle w:val="3GPPHeader"/>
      </w:pPr>
      <w:r w:rsidRPr="00F82993">
        <w:t>Hefei, China, 14</w:t>
      </w:r>
      <w:r w:rsidR="00E7459E">
        <w:t xml:space="preserve"> - </w:t>
      </w:r>
      <w:r w:rsidRPr="00F82993">
        <w:t>18 October 2024</w:t>
      </w:r>
    </w:p>
    <w:p w14:paraId="0A09A3B2" w14:textId="36A54B1A" w:rsidR="00D738D3" w:rsidRPr="00F82993" w:rsidRDefault="00D738D3" w:rsidP="00D738D3">
      <w:pPr>
        <w:pStyle w:val="3GPPHeader"/>
        <w:rPr>
          <w:sz w:val="22"/>
        </w:rPr>
      </w:pPr>
      <w:r w:rsidRPr="00F82993">
        <w:rPr>
          <w:sz w:val="22"/>
        </w:rPr>
        <w:t xml:space="preserve">Source: </w:t>
      </w:r>
      <w:r w:rsidRPr="00F82993">
        <w:rPr>
          <w:sz w:val="22"/>
        </w:rPr>
        <w:tab/>
      </w:r>
      <w:r w:rsidRPr="00F82993">
        <w:rPr>
          <w:b w:val="0"/>
          <w:sz w:val="22"/>
        </w:rPr>
        <w:t>Huawei</w:t>
      </w:r>
      <w:r w:rsidR="00A84702" w:rsidRPr="00F82993">
        <w:rPr>
          <w:b w:val="0"/>
          <w:sz w:val="22"/>
        </w:rPr>
        <w:t xml:space="preserve">, </w:t>
      </w:r>
      <w:proofErr w:type="spellStart"/>
      <w:r w:rsidR="00610248" w:rsidRPr="00F82993">
        <w:rPr>
          <w:b w:val="0"/>
          <w:sz w:val="22"/>
        </w:rPr>
        <w:t>Hi</w:t>
      </w:r>
      <w:r w:rsidR="00DD6C54">
        <w:rPr>
          <w:b w:val="0"/>
          <w:sz w:val="22"/>
        </w:rPr>
        <w:t>S</w:t>
      </w:r>
      <w:r w:rsidR="00610248" w:rsidRPr="00F82993">
        <w:rPr>
          <w:b w:val="0"/>
          <w:sz w:val="22"/>
        </w:rPr>
        <w:t>ilicon</w:t>
      </w:r>
      <w:proofErr w:type="spellEnd"/>
    </w:p>
    <w:p w14:paraId="2ED9AA19" w14:textId="612CB71C" w:rsidR="00D738D3" w:rsidRPr="00F82993" w:rsidRDefault="00D738D3" w:rsidP="00D738D3">
      <w:pPr>
        <w:pStyle w:val="3GPPHeader"/>
        <w:rPr>
          <w:sz w:val="22"/>
        </w:rPr>
      </w:pPr>
      <w:r w:rsidRPr="00F82993">
        <w:rPr>
          <w:sz w:val="22"/>
        </w:rPr>
        <w:t xml:space="preserve">Title:  </w:t>
      </w:r>
      <w:r w:rsidRPr="00F82993">
        <w:rPr>
          <w:sz w:val="22"/>
        </w:rPr>
        <w:tab/>
      </w:r>
      <w:r w:rsidRPr="00F82993">
        <w:rPr>
          <w:b w:val="0"/>
          <w:sz w:val="22"/>
        </w:rPr>
        <w:t xml:space="preserve">Discussions on RRM </w:t>
      </w:r>
      <w:r w:rsidR="00B35E65" w:rsidRPr="00F82993">
        <w:rPr>
          <w:b w:val="0"/>
          <w:sz w:val="22"/>
        </w:rPr>
        <w:t>requirements for Rel-19 ATG</w:t>
      </w:r>
    </w:p>
    <w:p w14:paraId="6F5F5107" w14:textId="23F272F4" w:rsidR="00D738D3" w:rsidRPr="00F82993" w:rsidRDefault="00D738D3" w:rsidP="00D738D3">
      <w:pPr>
        <w:pStyle w:val="3GPPHeader"/>
        <w:rPr>
          <w:sz w:val="22"/>
        </w:rPr>
      </w:pPr>
      <w:r w:rsidRPr="00F82993">
        <w:rPr>
          <w:sz w:val="22"/>
        </w:rPr>
        <w:t>Agenda Item:</w:t>
      </w:r>
      <w:r w:rsidRPr="00F82993">
        <w:rPr>
          <w:sz w:val="22"/>
        </w:rPr>
        <w:tab/>
      </w:r>
      <w:r w:rsidR="00BC4D08">
        <w:rPr>
          <w:b w:val="0"/>
          <w:sz w:val="22"/>
        </w:rPr>
        <w:t>6</w:t>
      </w:r>
      <w:r w:rsidR="00091077" w:rsidRPr="00F82993">
        <w:rPr>
          <w:b w:val="0"/>
          <w:sz w:val="22"/>
        </w:rPr>
        <w:t>.10.4</w:t>
      </w:r>
    </w:p>
    <w:p w14:paraId="36B4727A" w14:textId="77777777" w:rsidR="00D738D3" w:rsidRPr="00F82993" w:rsidRDefault="00D738D3" w:rsidP="00D738D3">
      <w:pPr>
        <w:pStyle w:val="3GPPHeader"/>
        <w:rPr>
          <w:sz w:val="22"/>
        </w:rPr>
      </w:pPr>
      <w:r w:rsidRPr="00F82993">
        <w:rPr>
          <w:sz w:val="22"/>
        </w:rPr>
        <w:t>Document for:</w:t>
      </w:r>
      <w:r w:rsidRPr="00F82993">
        <w:rPr>
          <w:sz w:val="22"/>
        </w:rPr>
        <w:tab/>
      </w:r>
      <w:r w:rsidRPr="00F82993">
        <w:rPr>
          <w:b w:val="0"/>
          <w:sz w:val="22"/>
        </w:rPr>
        <w:t>Discussion</w:t>
      </w:r>
    </w:p>
    <w:p w14:paraId="439892C1" w14:textId="77777777" w:rsidR="00D738D3" w:rsidRPr="00F82993" w:rsidRDefault="00D738D3" w:rsidP="00FD1206">
      <w:pPr>
        <w:pStyle w:val="1"/>
      </w:pPr>
      <w:r w:rsidRPr="00F82993">
        <w:t>Introduction</w:t>
      </w:r>
    </w:p>
    <w:p w14:paraId="4F42C72F" w14:textId="4C201072" w:rsidR="004749E1" w:rsidRPr="00F82993" w:rsidRDefault="00B35E65" w:rsidP="00EF5258">
      <w:pPr>
        <w:rPr>
          <w:kern w:val="2"/>
          <w:lang w:val="en-GB"/>
        </w:rPr>
      </w:pPr>
      <w:r w:rsidRPr="00F82993">
        <w:t xml:space="preserve">In </w:t>
      </w:r>
      <w:r w:rsidR="000E5708" w:rsidRPr="00F82993">
        <w:rPr>
          <w:lang w:val="en-GB"/>
        </w:rPr>
        <w:t>the last meeting</w:t>
      </w:r>
      <w:r w:rsidR="00A139DE" w:rsidRPr="00F82993">
        <w:rPr>
          <w:lang w:val="en-GB"/>
        </w:rPr>
        <w:t>,</w:t>
      </w:r>
      <w:r w:rsidR="000E5708" w:rsidRPr="00F82993">
        <w:rPr>
          <w:lang w:val="en-GB"/>
        </w:rPr>
        <w:t xml:space="preserve"> </w:t>
      </w:r>
      <w:r w:rsidR="00353759" w:rsidRPr="00F82993">
        <w:rPr>
          <w:lang w:val="en-GB"/>
        </w:rPr>
        <w:t>we started the discussion of the Rel-19 ATG CA enh</w:t>
      </w:r>
      <w:r w:rsidR="00A139DE" w:rsidRPr="00F82993">
        <w:rPr>
          <w:lang w:val="en-GB"/>
        </w:rPr>
        <w:t>anceme</w:t>
      </w:r>
      <w:r w:rsidR="00353759" w:rsidRPr="00F82993">
        <w:rPr>
          <w:lang w:val="en-GB"/>
        </w:rPr>
        <w:t>nt.</w:t>
      </w:r>
      <w:r w:rsidR="004B10C9" w:rsidRPr="00F82993">
        <w:rPr>
          <w:lang w:val="en-GB"/>
        </w:rPr>
        <w:t xml:space="preserve"> </w:t>
      </w:r>
      <w:r w:rsidR="00A139DE" w:rsidRPr="00F82993">
        <w:rPr>
          <w:lang w:val="en-GB"/>
        </w:rPr>
        <w:t xml:space="preserve">The points and views of companies are detailed in the </w:t>
      </w:r>
      <w:r w:rsidR="00325D2E" w:rsidRPr="00F82993">
        <w:rPr>
          <w:lang w:val="en-GB"/>
        </w:rPr>
        <w:t>WF [</w:t>
      </w:r>
      <w:r w:rsidR="00A139DE" w:rsidRPr="00F82993">
        <w:rPr>
          <w:lang w:val="en-GB"/>
        </w:rPr>
        <w:t xml:space="preserve">1]. </w:t>
      </w:r>
      <w:r w:rsidR="00383073">
        <w:t>This paper presents</w:t>
      </w:r>
      <w:r w:rsidR="00496B38" w:rsidRPr="00F82993">
        <w:t xml:space="preserve"> our observations and </w:t>
      </w:r>
      <w:r w:rsidR="00496B38" w:rsidRPr="00F82993">
        <w:rPr>
          <w:rFonts w:hint="eastAsia"/>
        </w:rPr>
        <w:t>views</w:t>
      </w:r>
      <w:r w:rsidR="00496B38" w:rsidRPr="00F82993">
        <w:t xml:space="preserve"> on RRM impacts </w:t>
      </w:r>
      <w:r w:rsidR="0091597A">
        <w:t>on</w:t>
      </w:r>
      <w:r w:rsidR="00496B38" w:rsidRPr="00F82993">
        <w:t xml:space="preserve"> </w:t>
      </w:r>
      <w:r w:rsidR="0091597A">
        <w:t>A</w:t>
      </w:r>
      <w:r w:rsidR="00496B38" w:rsidRPr="00F82993">
        <w:t>TG</w:t>
      </w:r>
      <w:r w:rsidR="0091597A">
        <w:t xml:space="preserve"> CA</w:t>
      </w:r>
      <w:r w:rsidR="00496B38" w:rsidRPr="00F82993">
        <w:t>.</w:t>
      </w:r>
    </w:p>
    <w:p w14:paraId="1E519057" w14:textId="611963BE" w:rsidR="006B4867" w:rsidRPr="00F82993" w:rsidRDefault="00BD612D" w:rsidP="00FD1206">
      <w:pPr>
        <w:pStyle w:val="1"/>
        <w:rPr>
          <w:lang w:val="en-GB"/>
        </w:rPr>
      </w:pPr>
      <w:r w:rsidRPr="00F82993">
        <w:rPr>
          <w:lang w:val="en-GB"/>
        </w:rPr>
        <w:t>RRM core requirement analysis</w:t>
      </w:r>
    </w:p>
    <w:p w14:paraId="7FA1B786" w14:textId="240E32B6" w:rsidR="00A45CCD" w:rsidRPr="00F82993" w:rsidRDefault="008E1DA0" w:rsidP="00EF5258">
      <w:pPr>
        <w:rPr>
          <w:lang w:val="en-GB"/>
        </w:rPr>
      </w:pPr>
      <w:r w:rsidRPr="00F82993">
        <w:rPr>
          <w:lang w:val="en-GB"/>
        </w:rPr>
        <w:t>Compared with the requirements defined in Rel-18 ATG for single</w:t>
      </w:r>
      <w:r w:rsidR="00DC56EB" w:rsidRPr="00F82993">
        <w:rPr>
          <w:lang w:val="en-GB"/>
        </w:rPr>
        <w:t>-</w:t>
      </w:r>
      <w:r w:rsidRPr="00F82993">
        <w:rPr>
          <w:lang w:val="en-GB"/>
        </w:rPr>
        <w:t xml:space="preserve">Cell, we provide our analysis on the potential RRM impacts to support CA in </w:t>
      </w:r>
      <w:proofErr w:type="gramStart"/>
      <w:r w:rsidRPr="00F82993">
        <w:rPr>
          <w:lang w:val="en-GB"/>
        </w:rPr>
        <w:t>case by case</w:t>
      </w:r>
      <w:proofErr w:type="gramEnd"/>
      <w:r w:rsidRPr="00F82993">
        <w:rPr>
          <w:lang w:val="en-GB"/>
        </w:rPr>
        <w:t xml:space="preserve"> manner in </w:t>
      </w:r>
      <w:r w:rsidR="00717F0A" w:rsidRPr="00F82993">
        <w:rPr>
          <w:lang w:val="en-GB"/>
        </w:rPr>
        <w:t xml:space="preserve">the </w:t>
      </w:r>
      <w:r w:rsidRPr="00F82993">
        <w:rPr>
          <w:lang w:val="en-GB"/>
        </w:rPr>
        <w:t>following part.</w:t>
      </w:r>
    </w:p>
    <w:p w14:paraId="3D941FDF" w14:textId="02F2BC06" w:rsidR="003D4B4A" w:rsidRPr="00F82993" w:rsidRDefault="003D4B4A" w:rsidP="003D4B4A">
      <w:pPr>
        <w:pStyle w:val="2"/>
        <w:rPr>
          <w:lang w:val="en-GB"/>
        </w:rPr>
      </w:pPr>
      <w:r w:rsidRPr="00F82993">
        <w:rPr>
          <w:rFonts w:hint="eastAsia"/>
          <w:lang w:val="en-GB"/>
        </w:rPr>
        <w:t>C</w:t>
      </w:r>
      <w:r w:rsidRPr="00F82993">
        <w:rPr>
          <w:lang w:val="en-GB"/>
        </w:rPr>
        <w:t>o-location</w:t>
      </w:r>
      <w:r w:rsidR="0080509D" w:rsidRPr="00F82993">
        <w:rPr>
          <w:lang w:val="en-GB"/>
        </w:rPr>
        <w:t xml:space="preserve"> </w:t>
      </w:r>
      <w:r w:rsidR="00AA0A3B" w:rsidRPr="00F82993">
        <w:rPr>
          <w:lang w:val="en-GB"/>
        </w:rPr>
        <w:t>signa</w:t>
      </w:r>
      <w:r w:rsidR="00346654" w:rsidRPr="00F82993">
        <w:rPr>
          <w:lang w:val="en-GB"/>
        </w:rPr>
        <w:t>l</w:t>
      </w:r>
      <w:r w:rsidR="00AA0A3B" w:rsidRPr="00F82993">
        <w:rPr>
          <w:lang w:val="en-GB"/>
        </w:rPr>
        <w:t>ling</w:t>
      </w:r>
    </w:p>
    <w:p w14:paraId="1E48D975" w14:textId="64A59C84" w:rsidR="00717F0A" w:rsidRPr="00F82993" w:rsidRDefault="00717F0A" w:rsidP="00717F0A">
      <w:pPr>
        <w:rPr>
          <w:color w:val="000000" w:themeColor="text1"/>
          <w:szCs w:val="24"/>
        </w:rPr>
      </w:pPr>
      <w:r w:rsidRPr="00F82993">
        <w:rPr>
          <w:color w:val="000000" w:themeColor="text1"/>
          <w:szCs w:val="24"/>
        </w:rPr>
        <w:t xml:space="preserve">Based on the discussions regarding the co-location of ATG DL Cells, as clarified in the WID, it is established that ATG </w:t>
      </w:r>
      <w:proofErr w:type="spellStart"/>
      <w:r w:rsidR="0050197F" w:rsidRPr="00F82993">
        <w:rPr>
          <w:color w:val="000000" w:themeColor="text1"/>
          <w:szCs w:val="24"/>
        </w:rPr>
        <w:t>PCell</w:t>
      </w:r>
      <w:proofErr w:type="spellEnd"/>
      <w:r w:rsidR="0050197F" w:rsidRPr="00F82993">
        <w:rPr>
          <w:color w:val="000000" w:themeColor="text1"/>
          <w:szCs w:val="24"/>
        </w:rPr>
        <w:t xml:space="preserve"> and </w:t>
      </w:r>
      <w:proofErr w:type="spellStart"/>
      <w:r w:rsidR="0050197F" w:rsidRPr="00F82993">
        <w:rPr>
          <w:color w:val="000000" w:themeColor="text1"/>
          <w:szCs w:val="24"/>
        </w:rPr>
        <w:t>SCell</w:t>
      </w:r>
      <w:proofErr w:type="spellEnd"/>
      <w:r w:rsidRPr="00F82993">
        <w:rPr>
          <w:color w:val="000000" w:themeColor="text1"/>
          <w:szCs w:val="24"/>
        </w:rPr>
        <w:t xml:space="preserve"> will be co-located. Since there will be only one deployment method for ATG Cells—co-located deployment—both the </w:t>
      </w:r>
      <w:r w:rsidR="00D7695E" w:rsidRPr="00D7695E">
        <w:rPr>
          <w:color w:val="000000" w:themeColor="text1"/>
          <w:szCs w:val="24"/>
        </w:rPr>
        <w:t>ATG UE and the NW</w:t>
      </w:r>
      <w:r w:rsidR="00D7695E">
        <w:rPr>
          <w:color w:val="000000" w:themeColor="text1"/>
          <w:szCs w:val="24"/>
        </w:rPr>
        <w:t xml:space="preserve"> can</w:t>
      </w:r>
      <w:r w:rsidR="00D7695E" w:rsidRPr="00D7695E">
        <w:rPr>
          <w:color w:val="000000" w:themeColor="text1"/>
          <w:szCs w:val="24"/>
        </w:rPr>
        <w:t xml:space="preserve"> have predefined configurations specifically for co-located deployment.</w:t>
      </w:r>
    </w:p>
    <w:p w14:paraId="5C16C3D8" w14:textId="55461F9A" w:rsidR="002E21DF" w:rsidRPr="00F82993" w:rsidRDefault="002E21DF" w:rsidP="00717F0A">
      <w:pPr>
        <w:rPr>
          <w:b/>
          <w:color w:val="000000" w:themeColor="text1"/>
          <w:lang w:val="en-GB"/>
        </w:rPr>
      </w:pPr>
      <w:r w:rsidRPr="00B26955">
        <w:rPr>
          <w:rFonts w:hint="eastAsia"/>
          <w:b/>
          <w:color w:val="000000" w:themeColor="text1"/>
          <w:lang w:val="en-GB"/>
        </w:rPr>
        <w:t>P</w:t>
      </w:r>
      <w:r w:rsidRPr="00B26955">
        <w:rPr>
          <w:b/>
          <w:color w:val="000000" w:themeColor="text1"/>
          <w:lang w:val="en-GB"/>
        </w:rPr>
        <w:t xml:space="preserve">roposal </w:t>
      </w:r>
      <w:r w:rsidR="00E16574" w:rsidRPr="00B26955">
        <w:rPr>
          <w:b/>
          <w:color w:val="000000" w:themeColor="text1"/>
          <w:lang w:val="en-GB"/>
        </w:rPr>
        <w:t>1</w:t>
      </w:r>
      <w:r w:rsidRPr="00B26955">
        <w:rPr>
          <w:b/>
          <w:color w:val="000000" w:themeColor="text1"/>
          <w:lang w:val="en-GB"/>
        </w:rPr>
        <w:t>:</w:t>
      </w:r>
      <w:r w:rsidR="002C5444" w:rsidRPr="00B26955">
        <w:rPr>
          <w:b/>
          <w:color w:val="000000" w:themeColor="text1"/>
          <w:lang w:val="en-GB"/>
        </w:rPr>
        <w:t xml:space="preserve"> </w:t>
      </w:r>
      <w:r w:rsidR="002A6E69" w:rsidRPr="00B26955">
        <w:rPr>
          <w:b/>
          <w:color w:val="000000" w:themeColor="text1"/>
          <w:lang w:val="en-GB"/>
        </w:rPr>
        <w:t>T</w:t>
      </w:r>
      <w:r w:rsidR="002A6E69" w:rsidRPr="002A6E69">
        <w:rPr>
          <w:b/>
          <w:color w:val="000000" w:themeColor="text1"/>
          <w:lang w:val="en-GB"/>
        </w:rPr>
        <w:t xml:space="preserve">here is no necessity for </w:t>
      </w:r>
      <w:r w:rsidR="002A6E69">
        <w:rPr>
          <w:rFonts w:hint="eastAsia"/>
          <w:b/>
          <w:color w:val="000000" w:themeColor="text1"/>
          <w:lang w:val="en-GB"/>
        </w:rPr>
        <w:t>NW</w:t>
      </w:r>
      <w:r w:rsidR="002A6E69">
        <w:rPr>
          <w:b/>
          <w:color w:val="000000" w:themeColor="text1"/>
          <w:lang w:val="en-GB"/>
        </w:rPr>
        <w:t xml:space="preserve"> </w:t>
      </w:r>
      <w:r w:rsidR="002A6E69" w:rsidRPr="002A6E69">
        <w:rPr>
          <w:b/>
          <w:color w:val="000000" w:themeColor="text1"/>
          <w:lang w:val="en-GB"/>
        </w:rPr>
        <w:t>to introduce additional signa</w:t>
      </w:r>
      <w:r w:rsidR="002A6E69">
        <w:rPr>
          <w:b/>
          <w:color w:val="000000" w:themeColor="text1"/>
          <w:lang w:val="en-GB"/>
        </w:rPr>
        <w:t>l</w:t>
      </w:r>
      <w:r w:rsidR="002A6E69" w:rsidRPr="002A6E69">
        <w:rPr>
          <w:b/>
          <w:color w:val="000000" w:themeColor="text1"/>
          <w:lang w:val="en-GB"/>
        </w:rPr>
        <w:t>ling to provide co-location information to the UE.</w:t>
      </w:r>
    </w:p>
    <w:p w14:paraId="6AC0BEFF" w14:textId="624F9923" w:rsidR="007E07AD" w:rsidRPr="00F82993" w:rsidRDefault="000E26B2" w:rsidP="00BA4895">
      <w:pPr>
        <w:pStyle w:val="2"/>
        <w:rPr>
          <w:lang w:val="en-GB"/>
        </w:rPr>
      </w:pPr>
      <w:r w:rsidRPr="00F82993">
        <w:rPr>
          <w:lang w:val="en-GB"/>
        </w:rPr>
        <w:t>F</w:t>
      </w:r>
      <w:r w:rsidR="00ED23B4" w:rsidRPr="00F82993">
        <w:rPr>
          <w:lang w:val="en-GB"/>
        </w:rPr>
        <w:t>ast CA/DC</w:t>
      </w:r>
      <w:r w:rsidRPr="00F82993">
        <w:rPr>
          <w:lang w:val="en-GB"/>
        </w:rPr>
        <w:t xml:space="preserve"> requirement</w:t>
      </w:r>
    </w:p>
    <w:p w14:paraId="0852E87C" w14:textId="44FFD96B" w:rsidR="00BB170C" w:rsidRPr="00F82993" w:rsidRDefault="008A3E48" w:rsidP="00BB170C">
      <w:r>
        <w:t>EMR measurement report introduced in previous release is for fast CA/DC setup upon entering connected mode. NW can utilize the mea</w:t>
      </w:r>
      <w:r w:rsidR="001B0EC7">
        <w:t>surement</w:t>
      </w:r>
      <w:r>
        <w:t xml:space="preserve"> result from IDLE mode, and RAN4 discuss the validity of the results to avoid </w:t>
      </w:r>
      <w:r w:rsidR="00A016A6">
        <w:t>outdated</w:t>
      </w:r>
      <w:r>
        <w:t xml:space="preserve"> res</w:t>
      </w:r>
      <w:r w:rsidR="001B0EC7">
        <w:t>ult</w:t>
      </w:r>
      <w:r>
        <w:t>s. However, for Rel-19 ATG</w:t>
      </w:r>
      <w:r w:rsidR="00BB170C" w:rsidRPr="00F82993">
        <w:t xml:space="preserve">, it is important to note that the co-location of the ATG </w:t>
      </w:r>
      <w:proofErr w:type="spellStart"/>
      <w:r w:rsidR="00BB170C" w:rsidRPr="00F82993">
        <w:t>PCell</w:t>
      </w:r>
      <w:proofErr w:type="spellEnd"/>
      <w:r w:rsidR="00BB170C" w:rsidRPr="00F82993">
        <w:t xml:space="preserve"> and </w:t>
      </w:r>
      <w:proofErr w:type="spellStart"/>
      <w:r w:rsidR="00BB170C" w:rsidRPr="00F82993">
        <w:t>SCell</w:t>
      </w:r>
      <w:proofErr w:type="spellEnd"/>
      <w:r w:rsidR="00BB170C" w:rsidRPr="00F82993">
        <w:t xml:space="preserve"> facilitates a seamless transition for the ATG UE from idle to active mode</w:t>
      </w:r>
      <w:r w:rsidR="00BC449E">
        <w:t xml:space="preserve"> with CA</w:t>
      </w:r>
      <w:r w:rsidR="00BB170C" w:rsidRPr="00F82993">
        <w:t xml:space="preserve">. The </w:t>
      </w:r>
      <w:r w:rsidR="002F0B14" w:rsidRPr="00F82993">
        <w:t>NW</w:t>
      </w:r>
      <w:r w:rsidR="00BB170C" w:rsidRPr="00F82993">
        <w:t xml:space="preserve"> can directly configure both the </w:t>
      </w:r>
      <w:proofErr w:type="spellStart"/>
      <w:r w:rsidR="00BB170C" w:rsidRPr="00F82993">
        <w:t>PCell</w:t>
      </w:r>
      <w:proofErr w:type="spellEnd"/>
      <w:r w:rsidR="00BB170C" w:rsidRPr="00F82993">
        <w:t xml:space="preserve"> and </w:t>
      </w:r>
      <w:proofErr w:type="spellStart"/>
      <w:r w:rsidR="00BB170C" w:rsidRPr="00F82993">
        <w:t>SCell</w:t>
      </w:r>
      <w:proofErr w:type="spellEnd"/>
      <w:r w:rsidR="00BB170C" w:rsidRPr="00F82993">
        <w:t xml:space="preserve"> to establish CA, a process that is already sufficiently fast and efficient. Therefore, there is no </w:t>
      </w:r>
      <w:bookmarkStart w:id="0" w:name="_Hlk178514079"/>
      <w:r w:rsidR="00BB170C" w:rsidRPr="00F82993">
        <w:t xml:space="preserve">necessity </w:t>
      </w:r>
      <w:bookmarkEnd w:id="0"/>
      <w:r w:rsidR="00BB170C" w:rsidRPr="00F82993">
        <w:t>to implement additional fast CA</w:t>
      </w:r>
      <w:r w:rsidR="007C3794" w:rsidRPr="00F82993">
        <w:t>-</w:t>
      </w:r>
      <w:r w:rsidR="00BB170C" w:rsidRPr="00F82993">
        <w:t>related requirements.</w:t>
      </w:r>
    </w:p>
    <w:p w14:paraId="4F4BA7BE" w14:textId="7499364B" w:rsidR="00386DA0" w:rsidRPr="00F82993" w:rsidRDefault="00386DA0" w:rsidP="00ED23B4">
      <w:pPr>
        <w:rPr>
          <w:b/>
          <w:szCs w:val="24"/>
        </w:rPr>
      </w:pPr>
      <w:r w:rsidRPr="00F82993">
        <w:rPr>
          <w:b/>
          <w:lang w:val="en-GB"/>
        </w:rPr>
        <w:t xml:space="preserve">Proposal </w:t>
      </w:r>
      <w:r w:rsidR="00E16574">
        <w:rPr>
          <w:b/>
          <w:lang w:val="en-GB"/>
        </w:rPr>
        <w:t>2</w:t>
      </w:r>
      <w:r w:rsidRPr="00F82993">
        <w:rPr>
          <w:b/>
          <w:lang w:val="en-GB"/>
        </w:rPr>
        <w:t xml:space="preserve">: There is no </w:t>
      </w:r>
      <w:r w:rsidR="00BC449E" w:rsidRPr="00BC449E">
        <w:rPr>
          <w:b/>
          <w:lang w:val="en-GB"/>
        </w:rPr>
        <w:t xml:space="preserve">necessity </w:t>
      </w:r>
      <w:r w:rsidRPr="00F82993">
        <w:rPr>
          <w:b/>
          <w:lang w:val="en-GB"/>
        </w:rPr>
        <w:t xml:space="preserve">to introduce </w:t>
      </w:r>
      <w:r w:rsidRPr="00F82993">
        <w:rPr>
          <w:b/>
          <w:szCs w:val="24"/>
        </w:rPr>
        <w:t>idle/inactive mode CA measurement requirements and NR CA EMR in ATG CA.</w:t>
      </w:r>
    </w:p>
    <w:p w14:paraId="6D27FBEF" w14:textId="6CA400D4" w:rsidR="00BA4895" w:rsidRPr="00F82993" w:rsidRDefault="00BA4895" w:rsidP="00BA4895">
      <w:pPr>
        <w:pStyle w:val="2"/>
        <w:rPr>
          <w:lang w:val="en-GB"/>
        </w:rPr>
      </w:pPr>
      <w:r w:rsidRPr="00F82993">
        <w:rPr>
          <w:lang w:val="en-GB"/>
        </w:rPr>
        <w:t>MTTD</w:t>
      </w:r>
    </w:p>
    <w:p w14:paraId="59CCB843" w14:textId="4936CBD0" w:rsidR="00386811" w:rsidRPr="00F82993" w:rsidRDefault="00DA2D2B" w:rsidP="00386811">
      <w:pPr>
        <w:rPr>
          <w:lang w:val="en-GB"/>
        </w:rPr>
      </w:pPr>
      <w:r w:rsidRPr="00F82993">
        <w:rPr>
          <w:lang w:val="en-GB"/>
        </w:rPr>
        <w:t xml:space="preserve">The definition of MTTD is </w:t>
      </w:r>
      <w:r w:rsidR="00F1684B" w:rsidRPr="00F82993">
        <w:rPr>
          <w:lang w:val="en-GB"/>
        </w:rPr>
        <w:t xml:space="preserve">captured from </w:t>
      </w:r>
      <w:r w:rsidR="008C770B" w:rsidRPr="00F82993">
        <w:rPr>
          <w:rFonts w:hint="eastAsia"/>
          <w:lang w:val="en-GB"/>
        </w:rPr>
        <w:t>spec</w:t>
      </w:r>
      <w:r w:rsidR="008C770B" w:rsidRPr="00F82993">
        <w:rPr>
          <w:lang w:val="en-GB"/>
        </w:rPr>
        <w:t xml:space="preserve"> 38.133</w:t>
      </w:r>
      <w:r w:rsidR="00F1684B" w:rsidRPr="00F82993">
        <w:rPr>
          <w:lang w:val="en-GB"/>
        </w:rPr>
        <w:t>[</w:t>
      </w:r>
      <w:r w:rsidR="00E668E3">
        <w:rPr>
          <w:lang w:val="en-GB"/>
        </w:rPr>
        <w:t>2</w:t>
      </w:r>
      <w:r w:rsidR="00F1684B" w:rsidRPr="00F82993">
        <w:rPr>
          <w:lang w:val="en-GB"/>
        </w:rPr>
        <w:t>]</w:t>
      </w:r>
      <w:r w:rsidRPr="00F82993">
        <w:rPr>
          <w:lang w:val="en-GB"/>
        </w:rPr>
        <w:t xml:space="preserve"> as follows:</w:t>
      </w:r>
    </w:p>
    <w:tbl>
      <w:tblPr>
        <w:tblStyle w:val="af0"/>
        <w:tblW w:w="0" w:type="auto"/>
        <w:tblLook w:val="04A0" w:firstRow="1" w:lastRow="0" w:firstColumn="1" w:lastColumn="0" w:noHBand="0" w:noVBand="1"/>
      </w:tblPr>
      <w:tblGrid>
        <w:gridCol w:w="9560"/>
      </w:tblGrid>
      <w:tr w:rsidR="00F1684B" w:rsidRPr="00F82993" w14:paraId="6FB51EF3" w14:textId="77777777" w:rsidTr="00F1684B">
        <w:tc>
          <w:tcPr>
            <w:tcW w:w="9560" w:type="dxa"/>
          </w:tcPr>
          <w:p w14:paraId="315E9D06" w14:textId="77777777" w:rsidR="00DB7DDC" w:rsidRPr="009C5807" w:rsidRDefault="00DB7DDC" w:rsidP="00DB7DDC">
            <w:pPr>
              <w:rPr>
                <w:rFonts w:eastAsia="Malgun Gothic" w:cs="v4.2.0"/>
              </w:rPr>
            </w:pPr>
            <w:r w:rsidRPr="009C5807">
              <w:rPr>
                <w:rFonts w:cs="v4.2.0"/>
              </w:rPr>
              <w:lastRenderedPageBreak/>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15BAC2CD" w14:textId="77777777" w:rsidR="00DB7DDC" w:rsidRPr="009C5807" w:rsidRDefault="00DB7DDC" w:rsidP="00DB7DDC">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2F306C3D" w14:textId="7C8991A1" w:rsidR="00F1684B" w:rsidRPr="00FD6634" w:rsidRDefault="00DB7DDC" w:rsidP="00FD6634">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tc>
      </w:tr>
    </w:tbl>
    <w:p w14:paraId="328918D5" w14:textId="13CE0385" w:rsidR="00E33AC5" w:rsidRDefault="00E33AC5" w:rsidP="00E33AC5">
      <w:pPr>
        <w:rPr>
          <w:lang w:val="en-GB"/>
        </w:rPr>
      </w:pPr>
      <w:r w:rsidRPr="00F82993">
        <w:rPr>
          <w:lang w:val="en-GB"/>
        </w:rPr>
        <w:t xml:space="preserve">Due to the co-location of the ATG </w:t>
      </w:r>
      <w:proofErr w:type="spellStart"/>
      <w:r w:rsidRPr="00F82993">
        <w:rPr>
          <w:lang w:val="en-GB"/>
        </w:rPr>
        <w:t>PCell</w:t>
      </w:r>
      <w:proofErr w:type="spellEnd"/>
      <w:r w:rsidRPr="00F82993">
        <w:rPr>
          <w:lang w:val="en-GB"/>
        </w:rPr>
        <w:t xml:space="preserve"> and </w:t>
      </w:r>
      <w:proofErr w:type="spellStart"/>
      <w:r w:rsidRPr="00F82993">
        <w:rPr>
          <w:lang w:val="en-GB"/>
        </w:rPr>
        <w:t>SCell</w:t>
      </w:r>
      <w:proofErr w:type="spellEnd"/>
      <w:r w:rsidRPr="00F82993">
        <w:rPr>
          <w:lang w:val="en-GB"/>
        </w:rPr>
        <w:t xml:space="preserve">, their physical positions can be considered identical </w:t>
      </w:r>
      <w:r w:rsidR="0050076A" w:rsidRPr="00F82993">
        <w:rPr>
          <w:lang w:val="en-GB"/>
        </w:rPr>
        <w:t xml:space="preserve">which means the TA will be the same </w:t>
      </w:r>
      <w:r w:rsidRPr="00F82993">
        <w:rPr>
          <w:lang w:val="en-GB"/>
        </w:rPr>
        <w:t>when the UE transmits uplink signal</w:t>
      </w:r>
      <w:r w:rsidR="0050076A" w:rsidRPr="00F82993">
        <w:rPr>
          <w:lang w:val="en-GB"/>
        </w:rPr>
        <w:t>s to these two Cells</w:t>
      </w:r>
      <w:r w:rsidRPr="00F82993">
        <w:rPr>
          <w:lang w:val="en-GB"/>
        </w:rPr>
        <w:t xml:space="preserve">. Consequently, as both the </w:t>
      </w:r>
      <w:proofErr w:type="spellStart"/>
      <w:r w:rsidRPr="00F82993">
        <w:rPr>
          <w:lang w:val="en-GB"/>
        </w:rPr>
        <w:t>PCell</w:t>
      </w:r>
      <w:proofErr w:type="spellEnd"/>
      <w:r w:rsidRPr="00F82993">
        <w:rPr>
          <w:lang w:val="en-GB"/>
        </w:rPr>
        <w:t xml:space="preserve"> and </w:t>
      </w:r>
      <w:proofErr w:type="spellStart"/>
      <w:r w:rsidRPr="00F82993">
        <w:rPr>
          <w:lang w:val="en-GB"/>
        </w:rPr>
        <w:t>SCell</w:t>
      </w:r>
      <w:proofErr w:type="spellEnd"/>
      <w:r w:rsidRPr="00F82993">
        <w:rPr>
          <w:lang w:val="en-GB"/>
        </w:rPr>
        <w:t xml:space="preserve"> operate within the same TAG, there is no need to define the MTTD.</w:t>
      </w:r>
    </w:p>
    <w:p w14:paraId="6169B81E" w14:textId="78687D32" w:rsidR="008A3E48" w:rsidRPr="00FD6634" w:rsidRDefault="008A3E48" w:rsidP="00E33AC5">
      <w:pPr>
        <w:rPr>
          <w:b/>
          <w:lang w:val="en-GB"/>
        </w:rPr>
      </w:pPr>
      <w:r w:rsidRPr="00FD6634">
        <w:rPr>
          <w:b/>
          <w:lang w:val="en-GB"/>
        </w:rPr>
        <w:t xml:space="preserve">Observation </w:t>
      </w:r>
      <w:r w:rsidR="003F1C59" w:rsidRPr="00FD6634">
        <w:rPr>
          <w:b/>
          <w:lang w:val="en-GB"/>
        </w:rPr>
        <w:t>1</w:t>
      </w:r>
      <w:r w:rsidRPr="00FD6634">
        <w:rPr>
          <w:b/>
          <w:lang w:val="en-GB"/>
        </w:rPr>
        <w:t xml:space="preserve">: There </w:t>
      </w:r>
      <w:r w:rsidR="0082330E">
        <w:rPr>
          <w:b/>
          <w:lang w:val="en-GB"/>
        </w:rPr>
        <w:t>are</w:t>
      </w:r>
      <w:r w:rsidRPr="00FD6634">
        <w:rPr>
          <w:b/>
          <w:lang w:val="en-GB"/>
        </w:rPr>
        <w:t xml:space="preserve"> no multi-TAGs in Rel-19 ATG CA.</w:t>
      </w:r>
    </w:p>
    <w:p w14:paraId="6727C98B" w14:textId="3E078D87" w:rsidR="00BA05F6" w:rsidRDefault="00BA05F6" w:rsidP="00E33AC5">
      <w:pPr>
        <w:rPr>
          <w:b/>
          <w:lang w:val="en-GB"/>
        </w:rPr>
      </w:pPr>
      <w:r w:rsidRPr="00F82993">
        <w:rPr>
          <w:rFonts w:hint="eastAsia"/>
          <w:b/>
          <w:lang w:val="en-GB"/>
        </w:rPr>
        <w:t>P</w:t>
      </w:r>
      <w:r w:rsidRPr="00F82993">
        <w:rPr>
          <w:b/>
          <w:lang w:val="en-GB"/>
        </w:rPr>
        <w:t xml:space="preserve">roposal </w:t>
      </w:r>
      <w:r w:rsidR="00E16574">
        <w:rPr>
          <w:b/>
          <w:lang w:val="en-GB"/>
        </w:rPr>
        <w:t>3</w:t>
      </w:r>
      <w:r w:rsidRPr="00F82993">
        <w:rPr>
          <w:b/>
          <w:lang w:val="en-GB"/>
        </w:rPr>
        <w:t xml:space="preserve">: </w:t>
      </w:r>
      <w:r w:rsidR="00BC449E">
        <w:rPr>
          <w:b/>
          <w:lang w:val="en-GB"/>
        </w:rPr>
        <w:t>T</w:t>
      </w:r>
      <w:r w:rsidR="00BC449E" w:rsidRPr="00BC449E">
        <w:rPr>
          <w:b/>
          <w:lang w:val="en-GB"/>
        </w:rPr>
        <w:t xml:space="preserve">here is no need </w:t>
      </w:r>
      <w:r w:rsidRPr="00F82993">
        <w:rPr>
          <w:b/>
          <w:lang w:val="en-GB"/>
        </w:rPr>
        <w:t>to define MTTD for Rel-19 ATG</w:t>
      </w:r>
      <w:r w:rsidR="00E33AC5" w:rsidRPr="00F82993">
        <w:rPr>
          <w:b/>
          <w:lang w:val="en-GB"/>
        </w:rPr>
        <w:t xml:space="preserve"> </w:t>
      </w:r>
      <w:r w:rsidR="00E33AC5" w:rsidRPr="00F82993">
        <w:rPr>
          <w:rFonts w:hint="eastAsia"/>
          <w:b/>
          <w:lang w:val="en-GB"/>
        </w:rPr>
        <w:t>CA</w:t>
      </w:r>
      <w:r w:rsidRPr="00F82993">
        <w:rPr>
          <w:b/>
          <w:lang w:val="en-GB"/>
        </w:rPr>
        <w:t>.</w:t>
      </w:r>
    </w:p>
    <w:p w14:paraId="6F94A924" w14:textId="2AE3EA85" w:rsidR="00BD612D" w:rsidRPr="00F82993" w:rsidRDefault="00BD612D" w:rsidP="00BD612D">
      <w:pPr>
        <w:pStyle w:val="2"/>
        <w:rPr>
          <w:lang w:val="en-GB"/>
        </w:rPr>
      </w:pPr>
      <w:r w:rsidRPr="00F82993">
        <w:rPr>
          <w:lang w:val="en-GB"/>
        </w:rPr>
        <w:t>MRTD</w:t>
      </w:r>
    </w:p>
    <w:p w14:paraId="5FA69558" w14:textId="032540EC" w:rsidR="00D81E05" w:rsidRPr="009E1042" w:rsidRDefault="00EA6160" w:rsidP="004E6BC9">
      <w:pPr>
        <w:rPr>
          <w:lang w:val="en-GB"/>
        </w:rPr>
      </w:pPr>
      <w:r w:rsidRPr="00EA6160">
        <w:t>The reuse of legacy int</w:t>
      </w:r>
      <w:r w:rsidR="001B0EC7">
        <w:t>ra</w:t>
      </w:r>
      <w:r w:rsidRPr="00EA6160">
        <w:t>-band MRTD requirements represents a prudent choice for ATG CA.</w:t>
      </w:r>
      <w:r w:rsidR="004744D5">
        <w:t xml:space="preserve"> </w:t>
      </w:r>
      <w:r w:rsidR="008A3E48">
        <w:t>For inter-band CA, UE has separate RF chains. We see no implementation issue to maintain the same MRTD value for inter-band CA, which is 33 us.</w:t>
      </w:r>
    </w:p>
    <w:p w14:paraId="0CFAD47C" w14:textId="0DB66135" w:rsidR="00C31AAE" w:rsidRPr="00F82993" w:rsidRDefault="00C31AAE" w:rsidP="004E6BC9">
      <w:pPr>
        <w:rPr>
          <w:lang w:val="en-GB"/>
        </w:rPr>
      </w:pPr>
      <w:r w:rsidRPr="00F82993">
        <w:rPr>
          <w:noProof/>
          <w:snapToGrid/>
        </w:rPr>
        <w:drawing>
          <wp:inline distT="0" distB="0" distL="0" distR="0" wp14:anchorId="28BBDEA9" wp14:editId="5CCD6BD5">
            <wp:extent cx="6076950" cy="1558000"/>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6950" cy="1558000"/>
                    </a:xfrm>
                    <a:prstGeom prst="rect">
                      <a:avLst/>
                    </a:prstGeom>
                  </pic:spPr>
                </pic:pic>
              </a:graphicData>
            </a:graphic>
          </wp:inline>
        </w:drawing>
      </w:r>
    </w:p>
    <w:p w14:paraId="4EA68DD4" w14:textId="6E3FDCD9" w:rsidR="00BA4895" w:rsidRPr="00F82993" w:rsidRDefault="004E6BC9" w:rsidP="00BA4895">
      <w:pPr>
        <w:rPr>
          <w:b/>
          <w:lang w:val="en-GB"/>
        </w:rPr>
      </w:pPr>
      <w:r w:rsidRPr="00F82993">
        <w:rPr>
          <w:rFonts w:hint="eastAsia"/>
          <w:b/>
          <w:lang w:val="en-GB"/>
        </w:rPr>
        <w:t>P</w:t>
      </w:r>
      <w:r w:rsidRPr="00F82993">
        <w:rPr>
          <w:b/>
          <w:lang w:val="en-GB"/>
        </w:rPr>
        <w:t xml:space="preserve">roposal </w:t>
      </w:r>
      <w:r w:rsidR="00E16574">
        <w:rPr>
          <w:b/>
          <w:lang w:val="en-GB"/>
        </w:rPr>
        <w:t>4</w:t>
      </w:r>
      <w:r w:rsidRPr="00F82993">
        <w:rPr>
          <w:b/>
          <w:lang w:val="en-GB"/>
        </w:rPr>
        <w:t xml:space="preserve">: </w:t>
      </w:r>
      <w:r w:rsidR="009E1042" w:rsidRPr="00F82993">
        <w:rPr>
          <w:b/>
          <w:lang w:val="en-GB"/>
        </w:rPr>
        <w:t>Reused</w:t>
      </w:r>
      <w:r w:rsidRPr="00F82993">
        <w:rPr>
          <w:b/>
          <w:lang w:val="en-GB"/>
        </w:rPr>
        <w:t xml:space="preserve"> the legacy MRTD </w:t>
      </w:r>
      <w:r w:rsidR="00BC6B4B" w:rsidRPr="00F82993">
        <w:rPr>
          <w:b/>
          <w:lang w:val="en-GB"/>
        </w:rPr>
        <w:t xml:space="preserve">requirement </w:t>
      </w:r>
      <w:r w:rsidR="0011679E" w:rsidRPr="00F82993">
        <w:rPr>
          <w:b/>
          <w:lang w:val="en-GB"/>
        </w:rPr>
        <w:t xml:space="preserve">for </w:t>
      </w:r>
      <w:r w:rsidR="006426E6">
        <w:rPr>
          <w:rFonts w:hint="eastAsia"/>
          <w:b/>
          <w:lang w:val="en-GB"/>
        </w:rPr>
        <w:t>ATG</w:t>
      </w:r>
      <w:r w:rsidR="006426E6">
        <w:rPr>
          <w:b/>
          <w:lang w:val="en-GB"/>
        </w:rPr>
        <w:t xml:space="preserve"> </w:t>
      </w:r>
      <w:r w:rsidR="0011679E" w:rsidRPr="00F82993">
        <w:rPr>
          <w:b/>
          <w:lang w:val="en-GB"/>
        </w:rPr>
        <w:t>inter-band</w:t>
      </w:r>
      <w:r w:rsidR="00BC6B4B" w:rsidRPr="00F82993">
        <w:rPr>
          <w:b/>
          <w:lang w:val="en-GB"/>
        </w:rPr>
        <w:t xml:space="preserve"> CA</w:t>
      </w:r>
      <w:r w:rsidR="0011679E" w:rsidRPr="00F82993">
        <w:rPr>
          <w:b/>
          <w:lang w:val="en-GB"/>
        </w:rPr>
        <w:t xml:space="preserve">: </w:t>
      </w:r>
      <w:r w:rsidRPr="00F82993">
        <w:rPr>
          <w:b/>
          <w:lang w:val="en-GB"/>
        </w:rPr>
        <w:t>33us.</w:t>
      </w:r>
    </w:p>
    <w:p w14:paraId="306A8B86" w14:textId="3CFA0BF6" w:rsidR="00F1684B" w:rsidRPr="00F82993" w:rsidRDefault="006F3DD7" w:rsidP="00BA4895">
      <w:pPr>
        <w:pStyle w:val="2"/>
        <w:rPr>
          <w:lang w:val="en-GB"/>
        </w:rPr>
      </w:pPr>
      <w:r w:rsidRPr="00F82993">
        <w:rPr>
          <w:rFonts w:hint="eastAsia"/>
          <w:lang w:val="en-GB"/>
        </w:rPr>
        <w:t>I</w:t>
      </w:r>
      <w:r w:rsidRPr="00F82993">
        <w:rPr>
          <w:lang w:val="en-GB"/>
        </w:rPr>
        <w:t>nterruption</w:t>
      </w:r>
    </w:p>
    <w:p w14:paraId="00CD62AA" w14:textId="77777777" w:rsidR="009B6E2A" w:rsidRPr="00F82993" w:rsidRDefault="009B6E2A" w:rsidP="009B6E2A">
      <w:r w:rsidRPr="00F82993">
        <w:t xml:space="preserve">For UE supporting CA, it is straightforward that there could be an interruption in one Cell caused by certain procedures from the other Cells. Based on the current interruption requirements in </w:t>
      </w:r>
      <w:r w:rsidRPr="00F82993">
        <w:rPr>
          <w:rFonts w:hint="eastAsia"/>
        </w:rPr>
        <w:t>chapter</w:t>
      </w:r>
      <w:r w:rsidRPr="00F82993">
        <w:t xml:space="preserve"> 8.2 of 38.133, it is evident that there is no distinction made between different scenarios or UE types</w:t>
      </w:r>
      <w:r w:rsidRPr="00F82993">
        <w:rPr>
          <w:rFonts w:hint="eastAsia"/>
        </w:rPr>
        <w:t>.</w:t>
      </w:r>
      <w:r w:rsidRPr="00F82993">
        <w:t xml:space="preserve"> Following the same logic, we think current interruption requirements can also apply to ATG-supporting CA without the need for any additional specifications. If there are ATG new procedures which are not covered in current interruption requirements, RAN4 could discuss whether to introduce new interruption requirements.</w:t>
      </w:r>
    </w:p>
    <w:p w14:paraId="624EBBC5" w14:textId="57D71E98" w:rsidR="009B6E2A" w:rsidRPr="00F82993" w:rsidRDefault="009B6E2A" w:rsidP="009B6E2A">
      <w:pPr>
        <w:rPr>
          <w:b/>
        </w:rPr>
      </w:pPr>
      <w:r w:rsidRPr="00F82993">
        <w:rPr>
          <w:b/>
        </w:rPr>
        <w:t xml:space="preserve">Proposal </w:t>
      </w:r>
      <w:r w:rsidR="00E16574">
        <w:rPr>
          <w:b/>
        </w:rPr>
        <w:t>5</w:t>
      </w:r>
      <w:r w:rsidRPr="00F82993">
        <w:rPr>
          <w:b/>
        </w:rPr>
        <w:t>: Existing interruption requirements can also apply to ATG supporting CA. RAN4 could discuss whether to introduce new interruption requirements if there are ATG new procedures which are not covered in current interruption requirements.</w:t>
      </w:r>
    </w:p>
    <w:p w14:paraId="755BC536" w14:textId="5A11087D" w:rsidR="006F3DD7" w:rsidRPr="00F82993" w:rsidRDefault="006F3DD7" w:rsidP="00BA4895">
      <w:pPr>
        <w:pStyle w:val="2"/>
        <w:rPr>
          <w:lang w:val="en-GB"/>
        </w:rPr>
      </w:pPr>
      <w:proofErr w:type="spellStart"/>
      <w:r w:rsidRPr="00F82993">
        <w:rPr>
          <w:lang w:val="en-GB"/>
        </w:rPr>
        <w:t>SCell</w:t>
      </w:r>
      <w:proofErr w:type="spellEnd"/>
      <w:r w:rsidRPr="00F82993">
        <w:rPr>
          <w:lang w:val="en-GB"/>
        </w:rPr>
        <w:t xml:space="preserve"> Activation and Deactivation Delay</w:t>
      </w:r>
    </w:p>
    <w:p w14:paraId="2817EB4B" w14:textId="77777777" w:rsidR="009B6E2A" w:rsidRPr="00F82993" w:rsidRDefault="009B6E2A" w:rsidP="009B6E2A">
      <w:r w:rsidRPr="00F82993">
        <w:t xml:space="preserve">In previous releases, different types of </w:t>
      </w:r>
      <w:proofErr w:type="spellStart"/>
      <w:r w:rsidRPr="00F82993">
        <w:t>SCell</w:t>
      </w:r>
      <w:proofErr w:type="spellEnd"/>
      <w:r w:rsidRPr="00F82993">
        <w:t xml:space="preserve"> activation enhancement were specified. For instance, </w:t>
      </w:r>
      <w:r w:rsidRPr="00F82993">
        <w:lastRenderedPageBreak/>
        <w:t xml:space="preserve">direct </w:t>
      </w:r>
      <w:proofErr w:type="spellStart"/>
      <w:r w:rsidRPr="00F82993">
        <w:t>SCell</w:t>
      </w:r>
      <w:proofErr w:type="spellEnd"/>
      <w:r w:rsidRPr="00F82993">
        <w:t xml:space="preserve"> activation/PUCCH </w:t>
      </w:r>
      <w:proofErr w:type="spellStart"/>
      <w:r w:rsidRPr="00F82993">
        <w:t>SCell</w:t>
      </w:r>
      <w:proofErr w:type="spellEnd"/>
      <w:r w:rsidRPr="00F82993">
        <w:t xml:space="preserve"> activation/fast </w:t>
      </w:r>
      <w:proofErr w:type="spellStart"/>
      <w:r w:rsidRPr="00F82993">
        <w:t>SCell</w:t>
      </w:r>
      <w:proofErr w:type="spellEnd"/>
      <w:r w:rsidRPr="00F82993">
        <w:t xml:space="preserve"> activation/multiple </w:t>
      </w:r>
      <w:proofErr w:type="spellStart"/>
      <w:r w:rsidRPr="00F82993">
        <w:t>SCell</w:t>
      </w:r>
      <w:proofErr w:type="spellEnd"/>
      <w:r w:rsidRPr="00F82993">
        <w:t xml:space="preserve"> activation. Based on WID and RAN4 RF discussion so far, there are no multiple </w:t>
      </w:r>
      <w:proofErr w:type="spellStart"/>
      <w:r w:rsidRPr="00F82993">
        <w:t>SCells</w:t>
      </w:r>
      <w:proofErr w:type="spellEnd"/>
      <w:r w:rsidRPr="00F82993">
        <w:t xml:space="preserve"> scenarios. Considering the characteristic of ATG scenario, we think at least following </w:t>
      </w:r>
      <w:proofErr w:type="spellStart"/>
      <w:r w:rsidRPr="00F82993">
        <w:t>SCell</w:t>
      </w:r>
      <w:proofErr w:type="spellEnd"/>
      <w:r w:rsidRPr="00F82993">
        <w:t xml:space="preserve"> activation requirements shall be defined:</w:t>
      </w:r>
    </w:p>
    <w:p w14:paraId="38AA74E3" w14:textId="77777777" w:rsidR="009B6E2A" w:rsidRPr="00F82993" w:rsidRDefault="009B6E2A" w:rsidP="009B6E2A">
      <w:pPr>
        <w:pStyle w:val="af5"/>
        <w:numPr>
          <w:ilvl w:val="0"/>
          <w:numId w:val="39"/>
        </w:numPr>
        <w:ind w:firstLineChars="0"/>
      </w:pPr>
      <w:proofErr w:type="spellStart"/>
      <w:r w:rsidRPr="00F82993">
        <w:t>SCell</w:t>
      </w:r>
      <w:proofErr w:type="spellEnd"/>
      <w:r w:rsidRPr="00F82993">
        <w:t xml:space="preserve"> activation </w:t>
      </w:r>
    </w:p>
    <w:p w14:paraId="7E52FDBB" w14:textId="77777777" w:rsidR="009B6E2A" w:rsidRPr="00F82993" w:rsidRDefault="009B6E2A" w:rsidP="009B6E2A">
      <w:pPr>
        <w:pStyle w:val="af5"/>
        <w:numPr>
          <w:ilvl w:val="0"/>
          <w:numId w:val="39"/>
        </w:numPr>
        <w:ind w:firstLineChars="0"/>
      </w:pPr>
      <w:r w:rsidRPr="00F82993">
        <w:t xml:space="preserve">Direct </w:t>
      </w:r>
      <w:proofErr w:type="spellStart"/>
      <w:r w:rsidRPr="00F82993">
        <w:t>SCell</w:t>
      </w:r>
      <w:proofErr w:type="spellEnd"/>
      <w:r w:rsidRPr="00F82993">
        <w:t xml:space="preserve"> activation at </w:t>
      </w:r>
      <w:proofErr w:type="spellStart"/>
      <w:r w:rsidRPr="00F82993">
        <w:t>SCell</w:t>
      </w:r>
      <w:proofErr w:type="spellEnd"/>
      <w:r w:rsidRPr="00F82993">
        <w:t xml:space="preserve"> addition</w:t>
      </w:r>
    </w:p>
    <w:p w14:paraId="50DCE3E5" w14:textId="77777777" w:rsidR="009B6E2A" w:rsidRPr="00F82993" w:rsidRDefault="009B6E2A" w:rsidP="009B6E2A">
      <w:pPr>
        <w:pStyle w:val="af5"/>
        <w:numPr>
          <w:ilvl w:val="0"/>
          <w:numId w:val="39"/>
        </w:numPr>
        <w:ind w:firstLineChars="0"/>
      </w:pPr>
      <w:r w:rsidRPr="00F82993">
        <w:t xml:space="preserve">Direct </w:t>
      </w:r>
      <w:proofErr w:type="spellStart"/>
      <w:r w:rsidRPr="00F82993">
        <w:t>SCell</w:t>
      </w:r>
      <w:proofErr w:type="spellEnd"/>
      <w:r w:rsidRPr="00F82993">
        <w:t xml:space="preserve"> activation at Handover</w:t>
      </w:r>
    </w:p>
    <w:p w14:paraId="451FB6DC" w14:textId="6FC19047" w:rsidR="009B6E2A" w:rsidRPr="00F82993" w:rsidRDefault="009B6E2A" w:rsidP="009B6E2A">
      <w:pPr>
        <w:rPr>
          <w:b/>
        </w:rPr>
      </w:pPr>
      <w:r w:rsidRPr="00F82993">
        <w:rPr>
          <w:b/>
        </w:rPr>
        <w:t xml:space="preserve">Proposal </w:t>
      </w:r>
      <w:r w:rsidR="00E16574">
        <w:rPr>
          <w:b/>
        </w:rPr>
        <w:t>6</w:t>
      </w:r>
      <w:r w:rsidRPr="00F82993">
        <w:rPr>
          <w:b/>
        </w:rPr>
        <w:t xml:space="preserve">: RAN4 to define </w:t>
      </w:r>
      <w:proofErr w:type="spellStart"/>
      <w:r w:rsidRPr="00F82993">
        <w:rPr>
          <w:b/>
        </w:rPr>
        <w:t>SCell</w:t>
      </w:r>
      <w:proofErr w:type="spellEnd"/>
      <w:r w:rsidRPr="00F82993">
        <w:rPr>
          <w:b/>
        </w:rPr>
        <w:t xml:space="preserve"> activation for single-</w:t>
      </w:r>
      <w:proofErr w:type="spellStart"/>
      <w:r w:rsidRPr="00F82993">
        <w:rPr>
          <w:b/>
        </w:rPr>
        <w:t>SCell</w:t>
      </w:r>
      <w:proofErr w:type="spellEnd"/>
      <w:r w:rsidRPr="00F82993">
        <w:rPr>
          <w:b/>
        </w:rPr>
        <w:t xml:space="preserve"> for at least:</w:t>
      </w:r>
    </w:p>
    <w:p w14:paraId="6CB6FAA0" w14:textId="77777777" w:rsidR="009B6E2A" w:rsidRPr="00F82993" w:rsidRDefault="009B6E2A" w:rsidP="009B6E2A">
      <w:pPr>
        <w:pStyle w:val="af5"/>
        <w:numPr>
          <w:ilvl w:val="0"/>
          <w:numId w:val="39"/>
        </w:numPr>
        <w:ind w:firstLineChars="0"/>
        <w:rPr>
          <w:b/>
        </w:rPr>
      </w:pPr>
      <w:proofErr w:type="spellStart"/>
      <w:r w:rsidRPr="00F82993">
        <w:rPr>
          <w:b/>
        </w:rPr>
        <w:t>SCell</w:t>
      </w:r>
      <w:proofErr w:type="spellEnd"/>
      <w:r w:rsidRPr="00F82993">
        <w:rPr>
          <w:b/>
        </w:rPr>
        <w:t xml:space="preserve"> activation </w:t>
      </w:r>
    </w:p>
    <w:p w14:paraId="42B9AAC2" w14:textId="77777777" w:rsidR="009B6E2A" w:rsidRPr="00F82993" w:rsidRDefault="009B6E2A" w:rsidP="009B6E2A">
      <w:pPr>
        <w:pStyle w:val="af5"/>
        <w:numPr>
          <w:ilvl w:val="0"/>
          <w:numId w:val="39"/>
        </w:numPr>
        <w:ind w:firstLineChars="0"/>
        <w:rPr>
          <w:b/>
        </w:rPr>
      </w:pPr>
      <w:r w:rsidRPr="00F82993">
        <w:rPr>
          <w:b/>
        </w:rPr>
        <w:t xml:space="preserve">Direct </w:t>
      </w:r>
      <w:proofErr w:type="spellStart"/>
      <w:r w:rsidRPr="00F82993">
        <w:rPr>
          <w:b/>
        </w:rPr>
        <w:t>SCell</w:t>
      </w:r>
      <w:proofErr w:type="spellEnd"/>
      <w:r w:rsidRPr="00F82993">
        <w:rPr>
          <w:b/>
        </w:rPr>
        <w:t xml:space="preserve"> activation at </w:t>
      </w:r>
      <w:proofErr w:type="spellStart"/>
      <w:r w:rsidRPr="00F82993">
        <w:rPr>
          <w:b/>
        </w:rPr>
        <w:t>SCell</w:t>
      </w:r>
      <w:proofErr w:type="spellEnd"/>
      <w:r w:rsidRPr="00F82993">
        <w:rPr>
          <w:b/>
        </w:rPr>
        <w:t xml:space="preserve"> addition</w:t>
      </w:r>
    </w:p>
    <w:p w14:paraId="67D8BE33" w14:textId="77777777" w:rsidR="009B6E2A" w:rsidRPr="00F82993" w:rsidRDefault="009B6E2A" w:rsidP="009B6E2A">
      <w:pPr>
        <w:pStyle w:val="af5"/>
        <w:numPr>
          <w:ilvl w:val="0"/>
          <w:numId w:val="39"/>
        </w:numPr>
        <w:ind w:firstLineChars="0"/>
        <w:rPr>
          <w:b/>
        </w:rPr>
      </w:pPr>
      <w:r w:rsidRPr="00F82993">
        <w:rPr>
          <w:b/>
        </w:rPr>
        <w:t xml:space="preserve">Direct </w:t>
      </w:r>
      <w:proofErr w:type="spellStart"/>
      <w:r w:rsidRPr="00F82993">
        <w:rPr>
          <w:b/>
        </w:rPr>
        <w:t>SCell</w:t>
      </w:r>
      <w:proofErr w:type="spellEnd"/>
      <w:r w:rsidRPr="00F82993">
        <w:rPr>
          <w:b/>
        </w:rPr>
        <w:t xml:space="preserve"> activation at Handover</w:t>
      </w:r>
    </w:p>
    <w:p w14:paraId="2574A9E3" w14:textId="081EAE64" w:rsidR="00853E0B" w:rsidRPr="00F82993" w:rsidRDefault="00853E0B" w:rsidP="00853E0B">
      <w:pPr>
        <w:pStyle w:val="2"/>
        <w:rPr>
          <w:lang w:val="en-GB"/>
        </w:rPr>
      </w:pPr>
      <w:r w:rsidRPr="00F82993">
        <w:rPr>
          <w:rFonts w:hint="eastAsia"/>
          <w:lang w:val="en-GB"/>
        </w:rPr>
        <w:t>M</w:t>
      </w:r>
      <w:r w:rsidRPr="00F82993">
        <w:rPr>
          <w:lang w:val="en-GB"/>
        </w:rPr>
        <w:t>easurement GAP</w:t>
      </w:r>
    </w:p>
    <w:p w14:paraId="1C14F4CB" w14:textId="3D15FFD0" w:rsidR="00496B38" w:rsidRPr="00F82993" w:rsidRDefault="00496B38" w:rsidP="00496B38">
      <w:pPr>
        <w:rPr>
          <w:lang w:val="en-GB"/>
        </w:rPr>
      </w:pPr>
      <w:r w:rsidRPr="00F82993">
        <w:rPr>
          <w:lang w:val="en-GB"/>
        </w:rPr>
        <w:t>In the last meeting, companies provided three proposals from WF</w:t>
      </w:r>
      <w:r w:rsidR="00182E0C">
        <w:rPr>
          <w:lang w:val="en-GB"/>
        </w:rPr>
        <w:t xml:space="preserve"> </w:t>
      </w:r>
      <w:r w:rsidRPr="00F82993">
        <w:rPr>
          <w:lang w:val="en-GB"/>
        </w:rPr>
        <w:t>[</w:t>
      </w:r>
      <w:r w:rsidR="00E668E3">
        <w:rPr>
          <w:lang w:val="en-GB"/>
        </w:rPr>
        <w:t>1</w:t>
      </w:r>
      <w:r w:rsidRPr="00F82993">
        <w:rPr>
          <w:lang w:val="en-GB"/>
        </w:rPr>
        <w:t>] captured as follows:</w:t>
      </w:r>
    </w:p>
    <w:tbl>
      <w:tblPr>
        <w:tblStyle w:val="af0"/>
        <w:tblW w:w="0" w:type="auto"/>
        <w:tblLook w:val="04A0" w:firstRow="1" w:lastRow="0" w:firstColumn="1" w:lastColumn="0" w:noHBand="0" w:noVBand="1"/>
      </w:tblPr>
      <w:tblGrid>
        <w:gridCol w:w="9560"/>
      </w:tblGrid>
      <w:tr w:rsidR="00496B38" w:rsidRPr="00F82993" w14:paraId="16947EDB" w14:textId="77777777" w:rsidTr="00496B38">
        <w:tc>
          <w:tcPr>
            <w:tcW w:w="9560" w:type="dxa"/>
          </w:tcPr>
          <w:p w14:paraId="29AD67B0" w14:textId="77777777" w:rsidR="00496B38" w:rsidRPr="00F82993" w:rsidRDefault="00496B38" w:rsidP="00496B38">
            <w:pPr>
              <w:widowControl/>
              <w:numPr>
                <w:ilvl w:val="0"/>
                <w:numId w:val="45"/>
              </w:numPr>
              <w:tabs>
                <w:tab w:val="left" w:pos="-420"/>
              </w:tabs>
              <w:overflowPunct w:val="0"/>
              <w:spacing w:after="120"/>
              <w:ind w:left="600"/>
              <w:jc w:val="left"/>
              <w:rPr>
                <w:snapToGrid/>
                <w:sz w:val="20"/>
                <w:szCs w:val="24"/>
              </w:rPr>
            </w:pPr>
            <w:r w:rsidRPr="00F82993">
              <w:rPr>
                <w:szCs w:val="24"/>
              </w:rPr>
              <w:t xml:space="preserve">Proposal 1: RAN4 to reuse NR carrier aggregation measurement gap as the baseline for ATG DL CA </w:t>
            </w:r>
          </w:p>
          <w:p w14:paraId="7C6F860D" w14:textId="77777777" w:rsidR="00496B38" w:rsidRPr="00F82993" w:rsidRDefault="00496B38" w:rsidP="00496B38">
            <w:pPr>
              <w:widowControl/>
              <w:numPr>
                <w:ilvl w:val="0"/>
                <w:numId w:val="45"/>
              </w:numPr>
              <w:tabs>
                <w:tab w:val="left" w:pos="-420"/>
              </w:tabs>
              <w:overflowPunct w:val="0"/>
              <w:spacing w:after="120"/>
              <w:ind w:left="600"/>
              <w:jc w:val="left"/>
              <w:rPr>
                <w:szCs w:val="24"/>
              </w:rPr>
            </w:pPr>
            <w:r w:rsidRPr="00F82993">
              <w:rPr>
                <w:szCs w:val="24"/>
              </w:rPr>
              <w:t xml:space="preserve">Proposal 2: The measurement gap applicability rule and scheduling applicability for SA single carrier shall be also applied for NR CA configuration. </w:t>
            </w:r>
          </w:p>
          <w:p w14:paraId="11E84465" w14:textId="40B04478" w:rsidR="00496B38" w:rsidRPr="00F82993" w:rsidRDefault="00496B38" w:rsidP="00496B38">
            <w:pPr>
              <w:widowControl/>
              <w:numPr>
                <w:ilvl w:val="0"/>
                <w:numId w:val="45"/>
              </w:numPr>
              <w:tabs>
                <w:tab w:val="left" w:pos="-420"/>
              </w:tabs>
              <w:overflowPunct w:val="0"/>
              <w:spacing w:after="120"/>
              <w:ind w:left="600"/>
              <w:jc w:val="left"/>
              <w:rPr>
                <w:szCs w:val="24"/>
              </w:rPr>
            </w:pPr>
            <w:r w:rsidRPr="00F82993">
              <w:rPr>
                <w:szCs w:val="24"/>
              </w:rPr>
              <w:t xml:space="preserve">Proposal 3: When define the SCC interruption time, only consider </w:t>
            </w:r>
            <w:r w:rsidRPr="00F82993">
              <w:rPr>
                <w:szCs w:val="24"/>
                <w:lang w:eastAsia="ko-KR"/>
              </w:rPr>
              <w:t>aligned frame boundaries</w:t>
            </w:r>
            <w:r w:rsidRPr="00F82993">
              <w:rPr>
                <w:szCs w:val="24"/>
              </w:rPr>
              <w:t xml:space="preserve"> scenario, the interruption requirement in single carrier case can be reused for CA configuration. </w:t>
            </w:r>
          </w:p>
        </w:tc>
      </w:tr>
    </w:tbl>
    <w:p w14:paraId="6009EFE0" w14:textId="3B23E0ED" w:rsidR="008060AD" w:rsidRDefault="008060AD" w:rsidP="00496B38">
      <w:pPr>
        <w:rPr>
          <w:lang w:val="en-GB"/>
        </w:rPr>
      </w:pPr>
      <w:r>
        <w:t>Reusing the legacy NR CA measurement gap for ATG CA is a straightforward approach, and the scenario of aligned frame boundaries is among the most effective solutions for achieving ATG CA.</w:t>
      </w:r>
    </w:p>
    <w:p w14:paraId="5341AE31" w14:textId="065AC3E4" w:rsidR="00EF5258" w:rsidRPr="00F82993" w:rsidRDefault="00496B38" w:rsidP="00496B38">
      <w:pPr>
        <w:rPr>
          <w:b/>
          <w:lang w:val="en-GB"/>
        </w:rPr>
      </w:pPr>
      <w:r w:rsidRPr="00B26955">
        <w:rPr>
          <w:rFonts w:hint="eastAsia"/>
          <w:b/>
          <w:lang w:val="en-GB"/>
        </w:rPr>
        <w:t>P</w:t>
      </w:r>
      <w:r w:rsidRPr="00B26955">
        <w:rPr>
          <w:b/>
          <w:lang w:val="en-GB"/>
        </w:rPr>
        <w:t xml:space="preserve">roposal </w:t>
      </w:r>
      <w:r w:rsidR="00E16574" w:rsidRPr="00B26955">
        <w:rPr>
          <w:b/>
          <w:lang w:val="en-GB"/>
        </w:rPr>
        <w:t>7</w:t>
      </w:r>
      <w:r w:rsidRPr="00B26955">
        <w:rPr>
          <w:b/>
          <w:lang w:val="en-GB"/>
        </w:rPr>
        <w:t xml:space="preserve">: </w:t>
      </w:r>
      <w:r w:rsidR="003B1A6F" w:rsidRPr="00B26955">
        <w:rPr>
          <w:b/>
          <w:lang w:val="en-GB"/>
        </w:rPr>
        <w:t>Fo</w:t>
      </w:r>
      <w:r w:rsidR="003B1A6F" w:rsidRPr="00FD6634">
        <w:rPr>
          <w:b/>
          <w:lang w:val="en-GB"/>
        </w:rPr>
        <w:t>r interruption time of MGL, o</w:t>
      </w:r>
      <w:r w:rsidR="003B1A6F">
        <w:rPr>
          <w:b/>
          <w:lang w:val="en-GB"/>
        </w:rPr>
        <w:t xml:space="preserve">nly </w:t>
      </w:r>
      <w:r w:rsidR="003B1A6F" w:rsidRPr="003B1A6F">
        <w:rPr>
          <w:b/>
          <w:lang w:val="en-GB"/>
        </w:rPr>
        <w:t>consider aligned frame boundaries scenario, the interruption requirement in single carrier case can be reused for CA configuration.</w:t>
      </w:r>
    </w:p>
    <w:p w14:paraId="68247BD3" w14:textId="01058FAF" w:rsidR="00853E0B" w:rsidRPr="00F82993" w:rsidRDefault="00853E0B" w:rsidP="00853E0B">
      <w:pPr>
        <w:pStyle w:val="2"/>
        <w:rPr>
          <w:lang w:val="en-GB"/>
        </w:rPr>
      </w:pPr>
      <w:r w:rsidRPr="00F82993">
        <w:rPr>
          <w:lang w:val="en-GB"/>
        </w:rPr>
        <w:t xml:space="preserve">Deactivated </w:t>
      </w:r>
      <w:proofErr w:type="spellStart"/>
      <w:r w:rsidRPr="00F82993">
        <w:rPr>
          <w:lang w:val="en-GB"/>
        </w:rPr>
        <w:t>SCell</w:t>
      </w:r>
      <w:proofErr w:type="spellEnd"/>
      <w:r w:rsidRPr="00F82993">
        <w:rPr>
          <w:lang w:val="en-GB"/>
        </w:rPr>
        <w:t xml:space="preserve"> measurement</w:t>
      </w:r>
    </w:p>
    <w:p w14:paraId="5A606830" w14:textId="77777777" w:rsidR="009B6E2A" w:rsidRPr="00F82993" w:rsidRDefault="009B6E2A" w:rsidP="009B6E2A">
      <w:r w:rsidRPr="00F82993">
        <w:t xml:space="preserve">In Rel-18 ATG, RAN4 defined L3 intra-frequency and inter-frequency measurement. For Rel-19 ATG supporting CA, RAN4 shall also consider the case for intra-frequency measurement on deactivated </w:t>
      </w:r>
      <w:proofErr w:type="spellStart"/>
      <w:r w:rsidRPr="00F82993">
        <w:t>SCell</w:t>
      </w:r>
      <w:proofErr w:type="spellEnd"/>
      <w:r w:rsidRPr="00F82993">
        <w:t xml:space="preserve">. </w:t>
      </w:r>
    </w:p>
    <w:p w14:paraId="3F89E1BD" w14:textId="32333524" w:rsidR="009B6E2A" w:rsidRPr="00F82993" w:rsidRDefault="009B6E2A" w:rsidP="009B6E2A">
      <w:pPr>
        <w:rPr>
          <w:b/>
        </w:rPr>
      </w:pPr>
      <w:r w:rsidRPr="00F82993">
        <w:rPr>
          <w:b/>
        </w:rPr>
        <w:t xml:space="preserve">Proposal </w:t>
      </w:r>
      <w:r w:rsidR="00E16574">
        <w:rPr>
          <w:b/>
        </w:rPr>
        <w:t>8</w:t>
      </w:r>
      <w:r w:rsidRPr="00F82993">
        <w:rPr>
          <w:b/>
        </w:rPr>
        <w:t xml:space="preserve">: RAN4 to define intra-frequency measurement requirements for deactivated </w:t>
      </w:r>
      <w:proofErr w:type="spellStart"/>
      <w:r w:rsidRPr="00F82993">
        <w:rPr>
          <w:b/>
        </w:rPr>
        <w:t>SCell</w:t>
      </w:r>
      <w:proofErr w:type="spellEnd"/>
      <w:r w:rsidRPr="00F82993">
        <w:rPr>
          <w:b/>
        </w:rPr>
        <w:t xml:space="preserve">. </w:t>
      </w:r>
    </w:p>
    <w:p w14:paraId="26D86A16" w14:textId="64D67A51" w:rsidR="0093726F" w:rsidRPr="00B26955" w:rsidRDefault="0093726F" w:rsidP="00FD1206">
      <w:pPr>
        <w:pStyle w:val="1"/>
      </w:pPr>
      <w:r w:rsidRPr="00B26955">
        <w:t>Conclusion</w:t>
      </w:r>
    </w:p>
    <w:p w14:paraId="5E4FCFAB" w14:textId="1C585498" w:rsidR="00FD6634" w:rsidRPr="00B26955" w:rsidRDefault="00FD6634" w:rsidP="00FD6634">
      <w:pPr>
        <w:rPr>
          <w:b/>
          <w:color w:val="000000" w:themeColor="text1"/>
          <w:lang w:val="en-GB"/>
        </w:rPr>
      </w:pPr>
      <w:r w:rsidRPr="00B26955">
        <w:rPr>
          <w:rFonts w:hint="eastAsia"/>
          <w:b/>
          <w:color w:val="000000" w:themeColor="text1"/>
          <w:lang w:val="en-GB"/>
        </w:rPr>
        <w:t>P</w:t>
      </w:r>
      <w:r w:rsidRPr="00B26955">
        <w:rPr>
          <w:b/>
          <w:color w:val="000000" w:themeColor="text1"/>
          <w:lang w:val="en-GB"/>
        </w:rPr>
        <w:t xml:space="preserve">roposal 1: There is no necessity for </w:t>
      </w:r>
      <w:r w:rsidRPr="00B26955">
        <w:rPr>
          <w:rFonts w:hint="eastAsia"/>
          <w:b/>
          <w:color w:val="000000" w:themeColor="text1"/>
          <w:lang w:val="en-GB"/>
        </w:rPr>
        <w:t>NW</w:t>
      </w:r>
      <w:r w:rsidRPr="00B26955">
        <w:rPr>
          <w:b/>
          <w:color w:val="000000" w:themeColor="text1"/>
          <w:lang w:val="en-GB"/>
        </w:rPr>
        <w:t xml:space="preserve"> to introduce additional signalling to provide co-location information to the UE.</w:t>
      </w:r>
    </w:p>
    <w:p w14:paraId="62E8B1C5" w14:textId="77777777" w:rsidR="00FD6634" w:rsidRPr="00B26955" w:rsidRDefault="00FD6634" w:rsidP="00FD6634">
      <w:pPr>
        <w:rPr>
          <w:b/>
          <w:szCs w:val="24"/>
        </w:rPr>
      </w:pPr>
      <w:r w:rsidRPr="00B26955">
        <w:rPr>
          <w:b/>
          <w:lang w:val="en-GB"/>
        </w:rPr>
        <w:t xml:space="preserve">Proposal 2: There is no necessity to introduce </w:t>
      </w:r>
      <w:r w:rsidRPr="00B26955">
        <w:rPr>
          <w:b/>
          <w:szCs w:val="24"/>
        </w:rPr>
        <w:t>idle/inactive mode CA measurement requirements and NR CA EMR in ATG CA.</w:t>
      </w:r>
    </w:p>
    <w:p w14:paraId="2FA3A26A" w14:textId="6A5B603E" w:rsidR="002836FB" w:rsidRPr="00B26955" w:rsidRDefault="002836FB" w:rsidP="002836FB">
      <w:pPr>
        <w:rPr>
          <w:b/>
          <w:lang w:val="en-GB"/>
        </w:rPr>
      </w:pPr>
      <w:r w:rsidRPr="00B26955">
        <w:rPr>
          <w:b/>
          <w:lang w:val="en-GB"/>
        </w:rPr>
        <w:t xml:space="preserve">Observation 1: There </w:t>
      </w:r>
      <w:r w:rsidR="00BE22D8">
        <w:rPr>
          <w:b/>
          <w:lang w:val="en-GB"/>
        </w:rPr>
        <w:t>are</w:t>
      </w:r>
      <w:r w:rsidRPr="00B26955">
        <w:rPr>
          <w:b/>
          <w:lang w:val="en-GB"/>
        </w:rPr>
        <w:t xml:space="preserve"> no multi-TAGs in Rel-19 ATG CA.</w:t>
      </w:r>
    </w:p>
    <w:p w14:paraId="339A9586" w14:textId="77777777" w:rsidR="002836FB" w:rsidRPr="00B26955" w:rsidRDefault="002836FB" w:rsidP="002836FB">
      <w:pPr>
        <w:rPr>
          <w:b/>
          <w:lang w:val="en-GB"/>
        </w:rPr>
      </w:pPr>
      <w:r w:rsidRPr="00B26955">
        <w:rPr>
          <w:rFonts w:hint="eastAsia"/>
          <w:b/>
          <w:lang w:val="en-GB"/>
        </w:rPr>
        <w:t>P</w:t>
      </w:r>
      <w:r w:rsidRPr="00B26955">
        <w:rPr>
          <w:b/>
          <w:lang w:val="en-GB"/>
        </w:rPr>
        <w:t xml:space="preserve">roposal 3: There is no need to define MTTD for Rel-19 ATG </w:t>
      </w:r>
      <w:r w:rsidRPr="00B26955">
        <w:rPr>
          <w:rFonts w:hint="eastAsia"/>
          <w:b/>
          <w:lang w:val="en-GB"/>
        </w:rPr>
        <w:t>CA</w:t>
      </w:r>
      <w:r w:rsidRPr="00B26955">
        <w:rPr>
          <w:b/>
          <w:lang w:val="en-GB"/>
        </w:rPr>
        <w:t>.</w:t>
      </w:r>
    </w:p>
    <w:p w14:paraId="2794C0F5" w14:textId="3ABB6CE9" w:rsidR="002836FB" w:rsidRPr="00B26955" w:rsidRDefault="002836FB" w:rsidP="002836FB">
      <w:pPr>
        <w:rPr>
          <w:b/>
          <w:lang w:val="en-GB"/>
        </w:rPr>
      </w:pPr>
      <w:r w:rsidRPr="00B26955">
        <w:rPr>
          <w:rFonts w:hint="eastAsia"/>
          <w:b/>
          <w:lang w:val="en-GB"/>
        </w:rPr>
        <w:lastRenderedPageBreak/>
        <w:t>P</w:t>
      </w:r>
      <w:r w:rsidRPr="00B26955">
        <w:rPr>
          <w:b/>
          <w:lang w:val="en-GB"/>
        </w:rPr>
        <w:t>roposal 4: Reu</w:t>
      </w:r>
      <w:r w:rsidR="009E1042">
        <w:rPr>
          <w:b/>
          <w:lang w:val="en-GB"/>
        </w:rPr>
        <w:t>s</w:t>
      </w:r>
      <w:r w:rsidRPr="00B26955">
        <w:rPr>
          <w:b/>
          <w:lang w:val="en-GB"/>
        </w:rPr>
        <w:t xml:space="preserve">ed the legacy MRTD requirement for </w:t>
      </w:r>
      <w:r w:rsidRPr="00B26955">
        <w:rPr>
          <w:rFonts w:hint="eastAsia"/>
          <w:b/>
          <w:lang w:val="en-GB"/>
        </w:rPr>
        <w:t>ATG</w:t>
      </w:r>
      <w:r w:rsidRPr="00B26955">
        <w:rPr>
          <w:b/>
          <w:lang w:val="en-GB"/>
        </w:rPr>
        <w:t xml:space="preserve"> inter-band CA: 33us.</w:t>
      </w:r>
    </w:p>
    <w:p w14:paraId="7ABD9B4C" w14:textId="77777777" w:rsidR="002836FB" w:rsidRPr="00B26955" w:rsidRDefault="002836FB" w:rsidP="002836FB">
      <w:pPr>
        <w:rPr>
          <w:b/>
        </w:rPr>
      </w:pPr>
      <w:r w:rsidRPr="00B26955">
        <w:rPr>
          <w:b/>
        </w:rPr>
        <w:t>Proposal 5: Existing interruption requirements can also apply to ATG supporting CA. RAN4 could discuss whether to introduce new interruption requirements if there are ATG new procedures which are not covered in current interruption requirements.</w:t>
      </w:r>
    </w:p>
    <w:p w14:paraId="2C4C1D2F" w14:textId="77777777" w:rsidR="002836FB" w:rsidRPr="00B26955" w:rsidRDefault="002836FB" w:rsidP="002836FB">
      <w:pPr>
        <w:rPr>
          <w:b/>
        </w:rPr>
      </w:pPr>
      <w:r w:rsidRPr="00B26955">
        <w:rPr>
          <w:b/>
        </w:rPr>
        <w:t xml:space="preserve">Proposal 6: RAN4 to define </w:t>
      </w:r>
      <w:proofErr w:type="spellStart"/>
      <w:r w:rsidRPr="00B26955">
        <w:rPr>
          <w:b/>
        </w:rPr>
        <w:t>SCell</w:t>
      </w:r>
      <w:proofErr w:type="spellEnd"/>
      <w:r w:rsidRPr="00B26955">
        <w:rPr>
          <w:b/>
        </w:rPr>
        <w:t xml:space="preserve"> activation for single-</w:t>
      </w:r>
      <w:proofErr w:type="spellStart"/>
      <w:r w:rsidRPr="00B26955">
        <w:rPr>
          <w:b/>
        </w:rPr>
        <w:t>SCell</w:t>
      </w:r>
      <w:proofErr w:type="spellEnd"/>
      <w:r w:rsidRPr="00B26955">
        <w:rPr>
          <w:b/>
        </w:rPr>
        <w:t xml:space="preserve"> for at least:</w:t>
      </w:r>
    </w:p>
    <w:p w14:paraId="7F085482" w14:textId="77777777" w:rsidR="002836FB" w:rsidRPr="00B26955" w:rsidRDefault="002836FB" w:rsidP="002836FB">
      <w:pPr>
        <w:pStyle w:val="af5"/>
        <w:numPr>
          <w:ilvl w:val="0"/>
          <w:numId w:val="39"/>
        </w:numPr>
        <w:ind w:firstLineChars="0"/>
        <w:rPr>
          <w:b/>
        </w:rPr>
      </w:pPr>
      <w:proofErr w:type="spellStart"/>
      <w:r w:rsidRPr="00B26955">
        <w:rPr>
          <w:b/>
        </w:rPr>
        <w:t>SCell</w:t>
      </w:r>
      <w:proofErr w:type="spellEnd"/>
      <w:r w:rsidRPr="00B26955">
        <w:rPr>
          <w:b/>
        </w:rPr>
        <w:t xml:space="preserve"> activation </w:t>
      </w:r>
    </w:p>
    <w:p w14:paraId="7D9F0785" w14:textId="77777777" w:rsidR="002836FB" w:rsidRPr="00B26955" w:rsidRDefault="002836FB" w:rsidP="002836FB">
      <w:pPr>
        <w:pStyle w:val="af5"/>
        <w:numPr>
          <w:ilvl w:val="0"/>
          <w:numId w:val="39"/>
        </w:numPr>
        <w:ind w:firstLineChars="0"/>
        <w:rPr>
          <w:b/>
        </w:rPr>
      </w:pPr>
      <w:r w:rsidRPr="00B26955">
        <w:rPr>
          <w:b/>
        </w:rPr>
        <w:t xml:space="preserve">Direct </w:t>
      </w:r>
      <w:proofErr w:type="spellStart"/>
      <w:r w:rsidRPr="00B26955">
        <w:rPr>
          <w:b/>
        </w:rPr>
        <w:t>SCell</w:t>
      </w:r>
      <w:proofErr w:type="spellEnd"/>
      <w:r w:rsidRPr="00B26955">
        <w:rPr>
          <w:b/>
        </w:rPr>
        <w:t xml:space="preserve"> activation at </w:t>
      </w:r>
      <w:proofErr w:type="spellStart"/>
      <w:r w:rsidRPr="00B26955">
        <w:rPr>
          <w:b/>
        </w:rPr>
        <w:t>SCell</w:t>
      </w:r>
      <w:proofErr w:type="spellEnd"/>
      <w:r w:rsidRPr="00B26955">
        <w:rPr>
          <w:b/>
        </w:rPr>
        <w:t xml:space="preserve"> addition</w:t>
      </w:r>
    </w:p>
    <w:p w14:paraId="58F062BD" w14:textId="77777777" w:rsidR="002836FB" w:rsidRPr="00B26955" w:rsidRDefault="002836FB" w:rsidP="002836FB">
      <w:pPr>
        <w:pStyle w:val="af5"/>
        <w:numPr>
          <w:ilvl w:val="0"/>
          <w:numId w:val="39"/>
        </w:numPr>
        <w:ind w:firstLineChars="0"/>
        <w:rPr>
          <w:b/>
        </w:rPr>
      </w:pPr>
      <w:r w:rsidRPr="00B26955">
        <w:rPr>
          <w:b/>
        </w:rPr>
        <w:t xml:space="preserve">Direct </w:t>
      </w:r>
      <w:proofErr w:type="spellStart"/>
      <w:r w:rsidRPr="00B26955">
        <w:rPr>
          <w:b/>
        </w:rPr>
        <w:t>SCell</w:t>
      </w:r>
      <w:proofErr w:type="spellEnd"/>
      <w:r w:rsidRPr="00B26955">
        <w:rPr>
          <w:b/>
        </w:rPr>
        <w:t xml:space="preserve"> activation at Handover</w:t>
      </w:r>
    </w:p>
    <w:p w14:paraId="03B21BFF" w14:textId="1318D773" w:rsidR="00FD6634" w:rsidRDefault="002836FB" w:rsidP="00FD6634">
      <w:pPr>
        <w:rPr>
          <w:b/>
          <w:lang w:val="en-GB"/>
        </w:rPr>
      </w:pPr>
      <w:r w:rsidRPr="00B26955">
        <w:rPr>
          <w:rFonts w:hint="eastAsia"/>
          <w:b/>
          <w:lang w:val="en-GB"/>
        </w:rPr>
        <w:t>P</w:t>
      </w:r>
      <w:r w:rsidRPr="00B26955">
        <w:rPr>
          <w:b/>
          <w:lang w:val="en-GB"/>
        </w:rPr>
        <w:t>roposal 7: For interruption time of MGL, only consider aligned frame boundaries scenario, the interruption requirement in single carrier case can be reused for CA configuration.</w:t>
      </w:r>
    </w:p>
    <w:p w14:paraId="3B0E035C" w14:textId="23A3BD2F" w:rsidR="008E522D" w:rsidRPr="00B26955" w:rsidRDefault="008E522D" w:rsidP="00FD6634">
      <w:pPr>
        <w:rPr>
          <w:b/>
          <w:lang w:val="en-GB"/>
        </w:rPr>
      </w:pPr>
      <w:r w:rsidRPr="00F82993">
        <w:rPr>
          <w:b/>
        </w:rPr>
        <w:t xml:space="preserve">Proposal </w:t>
      </w:r>
      <w:r>
        <w:rPr>
          <w:b/>
        </w:rPr>
        <w:t>8</w:t>
      </w:r>
      <w:r w:rsidRPr="00F82993">
        <w:rPr>
          <w:b/>
        </w:rPr>
        <w:t xml:space="preserve">: RAN4 to define intra-frequency measurement requirements for deactivated </w:t>
      </w:r>
      <w:proofErr w:type="spellStart"/>
      <w:r w:rsidRPr="00F82993">
        <w:rPr>
          <w:b/>
        </w:rPr>
        <w:t>SCell</w:t>
      </w:r>
      <w:proofErr w:type="spellEnd"/>
      <w:r w:rsidRPr="00F82993">
        <w:rPr>
          <w:b/>
        </w:rPr>
        <w:t>.</w:t>
      </w:r>
    </w:p>
    <w:p w14:paraId="551D5B1A" w14:textId="77777777" w:rsidR="0093726F" w:rsidRPr="00F82993" w:rsidRDefault="0093726F" w:rsidP="00FD1206">
      <w:pPr>
        <w:pStyle w:val="1"/>
      </w:pPr>
      <w:r w:rsidRPr="00B26955">
        <w:t>Reference</w:t>
      </w:r>
      <w:r w:rsidRPr="00F82993">
        <w:t>s</w:t>
      </w:r>
    </w:p>
    <w:p w14:paraId="132739FD" w14:textId="24C69DE5" w:rsidR="00A139DE" w:rsidRPr="00F82993" w:rsidRDefault="00303BA9" w:rsidP="00E668E3">
      <w:bookmarkStart w:id="1" w:name="_Ref174151459"/>
      <w:bookmarkStart w:id="2" w:name="_Ref189809556"/>
      <w:bookmarkStart w:id="3" w:name="_Ref110778841"/>
      <w:r w:rsidRPr="00F82993">
        <w:t xml:space="preserve">[1] </w:t>
      </w:r>
      <w:r w:rsidR="00A139DE" w:rsidRPr="00F82993">
        <w:t xml:space="preserve">R4-2413959 WF on RRM requirements for </w:t>
      </w:r>
      <w:proofErr w:type="spellStart"/>
      <w:r w:rsidR="00A139DE" w:rsidRPr="00F82993">
        <w:t>NR_ATG_enh</w:t>
      </w:r>
      <w:proofErr w:type="spellEnd"/>
      <w:r w:rsidR="00A139DE" w:rsidRPr="00F82993">
        <w:t xml:space="preserve"> </w:t>
      </w:r>
    </w:p>
    <w:p w14:paraId="623CDEEB" w14:textId="1BC6DE1F" w:rsidR="0093726F" w:rsidRPr="00681671" w:rsidRDefault="00E33AC5" w:rsidP="00775BB5">
      <w:r w:rsidRPr="00F82993">
        <w:rPr>
          <w:rFonts w:hint="eastAsia"/>
        </w:rPr>
        <w:t>[</w:t>
      </w:r>
      <w:r w:rsidR="00E668E3">
        <w:t>2</w:t>
      </w:r>
      <w:r w:rsidRPr="00F82993">
        <w:t>]</w:t>
      </w:r>
      <w:bookmarkEnd w:id="1"/>
      <w:bookmarkEnd w:id="2"/>
      <w:bookmarkEnd w:id="3"/>
      <w:r w:rsidRPr="00F82993">
        <w:rPr>
          <w:rFonts w:hint="eastAsia"/>
        </w:rPr>
        <w:t xml:space="preserve"> </w:t>
      </w:r>
      <w:r w:rsidR="008C770B" w:rsidRPr="00F82993">
        <w:t>3GPP TS 38.133 V18.6.0</w:t>
      </w:r>
    </w:p>
    <w:sectPr w:rsidR="0093726F" w:rsidRPr="00681671" w:rsidSect="00A52F6E">
      <w:headerReference w:type="even" r:id="rId9"/>
      <w:headerReference w:type="default" r:id="rId10"/>
      <w:footerReference w:type="even" r:id="rId11"/>
      <w:footerReference w:type="default" r:id="rId12"/>
      <w:headerReference w:type="first" r:id="rId13"/>
      <w:footerReference w:type="first" r:id="rId14"/>
      <w:pgSz w:w="11906" w:h="16838"/>
      <w:pgMar w:top="1412" w:right="1196" w:bottom="1140" w:left="1140" w:header="850" w:footer="346"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CCCF7" w14:textId="77777777" w:rsidR="00272999" w:rsidRDefault="00272999">
      <w:r>
        <w:separator/>
      </w:r>
    </w:p>
  </w:endnote>
  <w:endnote w:type="continuationSeparator" w:id="0">
    <w:p w14:paraId="53ECE65C" w14:textId="77777777" w:rsidR="00272999" w:rsidRDefault="0027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55E" w14:textId="77777777" w:rsidR="005B71F0" w:rsidRDefault="005B71F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5776" w14:textId="098A1BAD" w:rsidR="005B71F0" w:rsidRPr="00515F71" w:rsidRDefault="00515F71" w:rsidP="00515F71">
    <w:pPr>
      <w:autoSpaceDE/>
      <w:autoSpaceDN/>
      <w:adjustRightInd/>
      <w:jc w:val="center"/>
      <w:rPr>
        <w:rFonts w:ascii="Arial" w:eastAsia="MS Mincho" w:hAnsi="Arial"/>
        <w:b/>
        <w:i/>
        <w:noProof/>
        <w:snapToGrid/>
        <w:sz w:val="18"/>
        <w:szCs w:val="20"/>
        <w:lang w:eastAsia="en-US"/>
      </w:rPr>
    </w:pPr>
    <w:r w:rsidRPr="00515F71">
      <w:rPr>
        <w:rFonts w:ascii="Arial" w:eastAsia="MS Mincho" w:hAnsi="Arial"/>
        <w:b/>
        <w:i/>
        <w:noProof/>
        <w:snapToGrid/>
        <w:sz w:val="18"/>
        <w:szCs w:val="20"/>
        <w:lang w:eastAsia="en-US"/>
      </w:rPr>
      <w:fldChar w:fldCharType="begin"/>
    </w:r>
    <w:r w:rsidRPr="00515F71">
      <w:rPr>
        <w:rFonts w:ascii="Arial" w:eastAsia="MS Mincho" w:hAnsi="Arial"/>
        <w:b/>
        <w:i/>
        <w:noProof/>
        <w:snapToGrid/>
        <w:sz w:val="18"/>
        <w:szCs w:val="20"/>
        <w:lang w:eastAsia="en-US"/>
      </w:rPr>
      <w:instrText xml:space="preserve">PAGE  </w:instrText>
    </w:r>
    <w:r w:rsidRPr="00515F71">
      <w:rPr>
        <w:rFonts w:ascii="Arial" w:eastAsia="MS Mincho" w:hAnsi="Arial"/>
        <w:b/>
        <w:i/>
        <w:noProof/>
        <w:snapToGrid/>
        <w:sz w:val="18"/>
        <w:szCs w:val="20"/>
        <w:lang w:eastAsia="en-US"/>
      </w:rPr>
      <w:fldChar w:fldCharType="separate"/>
    </w:r>
    <w:r w:rsidRPr="00515F71">
      <w:rPr>
        <w:rFonts w:ascii="Arial" w:eastAsia="MS Mincho" w:hAnsi="Arial"/>
        <w:b/>
        <w:i/>
        <w:noProof/>
        <w:snapToGrid/>
        <w:sz w:val="18"/>
        <w:szCs w:val="20"/>
        <w:lang w:eastAsia="en-US"/>
      </w:rPr>
      <w:t>1</w:t>
    </w:r>
    <w:r w:rsidRPr="00515F71">
      <w:rPr>
        <w:rFonts w:ascii="Arial" w:eastAsia="MS Mincho" w:hAnsi="Arial"/>
        <w:b/>
        <w:i/>
        <w:noProof/>
        <w:snapToGrid/>
        <w:sz w:val="18"/>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298B" w14:textId="77777777" w:rsidR="005B71F0" w:rsidRDefault="005B71F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558C5" w14:textId="77777777" w:rsidR="00272999" w:rsidRDefault="00272999">
      <w:r>
        <w:separator/>
      </w:r>
    </w:p>
  </w:footnote>
  <w:footnote w:type="continuationSeparator" w:id="0">
    <w:p w14:paraId="0FFE2F00" w14:textId="77777777" w:rsidR="00272999" w:rsidRDefault="00272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304A5" w14:textId="77777777" w:rsidR="005B71F0" w:rsidRDefault="005B71F0">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75FD" w14:textId="77777777" w:rsidR="00A52F6E" w:rsidRDefault="00A52F6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5AAA" w14:textId="77777777" w:rsidR="005B71F0" w:rsidRDefault="005B71F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51F"/>
    <w:multiLevelType w:val="hybridMultilevel"/>
    <w:tmpl w:val="ED22C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546429"/>
    <w:multiLevelType w:val="multilevel"/>
    <w:tmpl w:val="2B6AEED6"/>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3"/>
  </w:num>
  <w:num w:numId="2">
    <w:abstractNumId w:val="13"/>
  </w:num>
  <w:num w:numId="3">
    <w:abstractNumId w:val="13"/>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3"/>
  </w:num>
  <w:num w:numId="11">
    <w:abstractNumId w:val="3"/>
  </w:num>
  <w:num w:numId="12">
    <w:abstractNumId w:val="3"/>
  </w:num>
  <w:num w:numId="13">
    <w:abstractNumId w:val="5"/>
  </w:num>
  <w:num w:numId="14">
    <w:abstractNumId w:val="6"/>
  </w:num>
  <w:num w:numId="15">
    <w:abstractNumId w:val="1"/>
  </w:num>
  <w:num w:numId="16">
    <w:abstractNumId w:val="4"/>
  </w:num>
  <w:num w:numId="17">
    <w:abstractNumId w:val="9"/>
  </w:num>
  <w:num w:numId="18">
    <w:abstractNumId w:val="9"/>
  </w:num>
  <w:num w:numId="19">
    <w:abstractNumId w:val="9"/>
  </w:num>
  <w:num w:numId="20">
    <w:abstractNumId w:val="14"/>
  </w:num>
  <w:num w:numId="21">
    <w:abstractNumId w:val="14"/>
  </w:num>
  <w:num w:numId="22">
    <w:abstractNumId w:val="14"/>
  </w:num>
  <w:num w:numId="23">
    <w:abstractNumId w:val="14"/>
  </w:num>
  <w:num w:numId="24">
    <w:abstractNumId w:val="9"/>
  </w:num>
  <w:num w:numId="25">
    <w:abstractNumId w:val="9"/>
  </w:num>
  <w:num w:numId="26">
    <w:abstractNumId w:val="14"/>
  </w:num>
  <w:num w:numId="27">
    <w:abstractNumId w:val="14"/>
  </w:num>
  <w:num w:numId="28">
    <w:abstractNumId w:val="14"/>
  </w:num>
  <w:num w:numId="29">
    <w:abstractNumId w:val="2"/>
  </w:num>
  <w:num w:numId="30">
    <w:abstractNumId w:val="9"/>
  </w:num>
  <w:num w:numId="31">
    <w:abstractNumId w:val="9"/>
  </w:num>
  <w:num w:numId="32">
    <w:abstractNumId w:val="14"/>
  </w:num>
  <w:num w:numId="33">
    <w:abstractNumId w:val="12"/>
  </w:num>
  <w:num w:numId="34">
    <w:abstractNumId w:val="12"/>
  </w:num>
  <w:num w:numId="35">
    <w:abstractNumId w:val="12"/>
  </w:num>
  <w:num w:numId="36">
    <w:abstractNumId w:val="11"/>
  </w:num>
  <w:num w:numId="37">
    <w:abstractNumId w:val="7"/>
  </w:num>
  <w:num w:numId="38">
    <w:abstractNumId w:val="10"/>
  </w:num>
  <w:num w:numId="39">
    <w:abstractNumId w:val="0"/>
  </w:num>
  <w:num w:numId="40">
    <w:abstractNumId w:val="12"/>
  </w:num>
  <w:num w:numId="41">
    <w:abstractNumId w:val="12"/>
  </w:num>
  <w:num w:numId="42">
    <w:abstractNumId w:val="12"/>
  </w:num>
  <w:num w:numId="43">
    <w:abstractNumId w:val="12"/>
  </w:num>
  <w:num w:numId="44">
    <w:abstractNumId w:val="10"/>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MLMwNbU0MjM2NzBR0lEKTi0uzszPAykwNK0FAE2wTzgtAAAA"/>
  </w:docVars>
  <w:rsids>
    <w:rsidRoot w:val="00D738D3"/>
    <w:rsid w:val="00005D7E"/>
    <w:rsid w:val="00023604"/>
    <w:rsid w:val="000309F3"/>
    <w:rsid w:val="00030C71"/>
    <w:rsid w:val="00035469"/>
    <w:rsid w:val="00053895"/>
    <w:rsid w:val="00091077"/>
    <w:rsid w:val="000A7AE3"/>
    <w:rsid w:val="000A7DD7"/>
    <w:rsid w:val="000C3C5E"/>
    <w:rsid w:val="000E26B2"/>
    <w:rsid w:val="000E26F1"/>
    <w:rsid w:val="000E5691"/>
    <w:rsid w:val="000E5708"/>
    <w:rsid w:val="000E62F3"/>
    <w:rsid w:val="000E7448"/>
    <w:rsid w:val="000F4470"/>
    <w:rsid w:val="000F6E73"/>
    <w:rsid w:val="00103483"/>
    <w:rsid w:val="00103ECD"/>
    <w:rsid w:val="001114C1"/>
    <w:rsid w:val="00114CE9"/>
    <w:rsid w:val="0011679E"/>
    <w:rsid w:val="00152B8F"/>
    <w:rsid w:val="00153043"/>
    <w:rsid w:val="001629E5"/>
    <w:rsid w:val="00172D86"/>
    <w:rsid w:val="00174492"/>
    <w:rsid w:val="00182E0C"/>
    <w:rsid w:val="001915D8"/>
    <w:rsid w:val="001968BB"/>
    <w:rsid w:val="001B08A6"/>
    <w:rsid w:val="001B0EC7"/>
    <w:rsid w:val="001B279F"/>
    <w:rsid w:val="001C3A06"/>
    <w:rsid w:val="001C683D"/>
    <w:rsid w:val="001F6009"/>
    <w:rsid w:val="00201844"/>
    <w:rsid w:val="0020372D"/>
    <w:rsid w:val="002076CA"/>
    <w:rsid w:val="002612DA"/>
    <w:rsid w:val="00264CCF"/>
    <w:rsid w:val="00272999"/>
    <w:rsid w:val="00274DD3"/>
    <w:rsid w:val="002836FB"/>
    <w:rsid w:val="00285179"/>
    <w:rsid w:val="0029746F"/>
    <w:rsid w:val="002A6E69"/>
    <w:rsid w:val="002A73F2"/>
    <w:rsid w:val="002B2539"/>
    <w:rsid w:val="002C5444"/>
    <w:rsid w:val="002D1FA4"/>
    <w:rsid w:val="002D5C37"/>
    <w:rsid w:val="002E21DF"/>
    <w:rsid w:val="002F057B"/>
    <w:rsid w:val="002F0B14"/>
    <w:rsid w:val="002F7653"/>
    <w:rsid w:val="0030102B"/>
    <w:rsid w:val="00303BA9"/>
    <w:rsid w:val="00304C1A"/>
    <w:rsid w:val="003055E4"/>
    <w:rsid w:val="00307760"/>
    <w:rsid w:val="00322726"/>
    <w:rsid w:val="00325D2E"/>
    <w:rsid w:val="003307FC"/>
    <w:rsid w:val="00340531"/>
    <w:rsid w:val="00346654"/>
    <w:rsid w:val="003508E5"/>
    <w:rsid w:val="00351AAD"/>
    <w:rsid w:val="00353759"/>
    <w:rsid w:val="00360944"/>
    <w:rsid w:val="00366B24"/>
    <w:rsid w:val="00380B22"/>
    <w:rsid w:val="00381BB4"/>
    <w:rsid w:val="00383073"/>
    <w:rsid w:val="00386811"/>
    <w:rsid w:val="00386D11"/>
    <w:rsid w:val="00386DA0"/>
    <w:rsid w:val="0039049C"/>
    <w:rsid w:val="003905A9"/>
    <w:rsid w:val="003A06CE"/>
    <w:rsid w:val="003B1A6F"/>
    <w:rsid w:val="003B535F"/>
    <w:rsid w:val="003C06A3"/>
    <w:rsid w:val="003D4B4A"/>
    <w:rsid w:val="003F0655"/>
    <w:rsid w:val="003F1C59"/>
    <w:rsid w:val="0040525C"/>
    <w:rsid w:val="0040730A"/>
    <w:rsid w:val="00425F62"/>
    <w:rsid w:val="00441374"/>
    <w:rsid w:val="00454A13"/>
    <w:rsid w:val="00454FE9"/>
    <w:rsid w:val="00456EBF"/>
    <w:rsid w:val="004731C1"/>
    <w:rsid w:val="004744D5"/>
    <w:rsid w:val="004749E1"/>
    <w:rsid w:val="00487CBA"/>
    <w:rsid w:val="004939D0"/>
    <w:rsid w:val="00496B38"/>
    <w:rsid w:val="004A1659"/>
    <w:rsid w:val="004B10C9"/>
    <w:rsid w:val="004C588C"/>
    <w:rsid w:val="004D3166"/>
    <w:rsid w:val="004D7D81"/>
    <w:rsid w:val="004E6BC9"/>
    <w:rsid w:val="0050076A"/>
    <w:rsid w:val="00500DBB"/>
    <w:rsid w:val="0050197F"/>
    <w:rsid w:val="00502010"/>
    <w:rsid w:val="00504A7F"/>
    <w:rsid w:val="005056D1"/>
    <w:rsid w:val="00511D2F"/>
    <w:rsid w:val="00512093"/>
    <w:rsid w:val="00515F71"/>
    <w:rsid w:val="005312F7"/>
    <w:rsid w:val="00544DB0"/>
    <w:rsid w:val="0055195E"/>
    <w:rsid w:val="00566196"/>
    <w:rsid w:val="00571BBD"/>
    <w:rsid w:val="00571C43"/>
    <w:rsid w:val="00577411"/>
    <w:rsid w:val="00581512"/>
    <w:rsid w:val="005A7FF9"/>
    <w:rsid w:val="005B71F0"/>
    <w:rsid w:val="005C1BDB"/>
    <w:rsid w:val="005E0C71"/>
    <w:rsid w:val="005E6A66"/>
    <w:rsid w:val="00603964"/>
    <w:rsid w:val="00610248"/>
    <w:rsid w:val="00617138"/>
    <w:rsid w:val="00634265"/>
    <w:rsid w:val="00637644"/>
    <w:rsid w:val="006426E6"/>
    <w:rsid w:val="006514B8"/>
    <w:rsid w:val="00670109"/>
    <w:rsid w:val="0067202A"/>
    <w:rsid w:val="00681671"/>
    <w:rsid w:val="00685031"/>
    <w:rsid w:val="006876C8"/>
    <w:rsid w:val="00693EBC"/>
    <w:rsid w:val="006B104E"/>
    <w:rsid w:val="006B4867"/>
    <w:rsid w:val="006B799E"/>
    <w:rsid w:val="006C0DB0"/>
    <w:rsid w:val="006F0545"/>
    <w:rsid w:val="006F3DD7"/>
    <w:rsid w:val="00701B0D"/>
    <w:rsid w:val="0071472E"/>
    <w:rsid w:val="00717F0A"/>
    <w:rsid w:val="0075012D"/>
    <w:rsid w:val="00757F00"/>
    <w:rsid w:val="00763536"/>
    <w:rsid w:val="00775BB5"/>
    <w:rsid w:val="00780144"/>
    <w:rsid w:val="007A6E3F"/>
    <w:rsid w:val="007B12E7"/>
    <w:rsid w:val="007B7623"/>
    <w:rsid w:val="007C3794"/>
    <w:rsid w:val="007D3C10"/>
    <w:rsid w:val="007D5521"/>
    <w:rsid w:val="007E07AD"/>
    <w:rsid w:val="00802AD0"/>
    <w:rsid w:val="0080509D"/>
    <w:rsid w:val="008060AD"/>
    <w:rsid w:val="00816146"/>
    <w:rsid w:val="0082145F"/>
    <w:rsid w:val="0082330E"/>
    <w:rsid w:val="00825B41"/>
    <w:rsid w:val="00826510"/>
    <w:rsid w:val="00852519"/>
    <w:rsid w:val="00853E0B"/>
    <w:rsid w:val="00854E7A"/>
    <w:rsid w:val="00872413"/>
    <w:rsid w:val="00882C26"/>
    <w:rsid w:val="008A3E48"/>
    <w:rsid w:val="008B6C01"/>
    <w:rsid w:val="008C1DBE"/>
    <w:rsid w:val="008C770B"/>
    <w:rsid w:val="008C7782"/>
    <w:rsid w:val="008D2B1F"/>
    <w:rsid w:val="008E0D27"/>
    <w:rsid w:val="008E1DA0"/>
    <w:rsid w:val="008E522D"/>
    <w:rsid w:val="008E75B9"/>
    <w:rsid w:val="008F0402"/>
    <w:rsid w:val="008F5015"/>
    <w:rsid w:val="008F5DE0"/>
    <w:rsid w:val="00911660"/>
    <w:rsid w:val="0091597A"/>
    <w:rsid w:val="00916510"/>
    <w:rsid w:val="0092536A"/>
    <w:rsid w:val="0092719C"/>
    <w:rsid w:val="00933AD2"/>
    <w:rsid w:val="0093726F"/>
    <w:rsid w:val="00945653"/>
    <w:rsid w:val="009677DC"/>
    <w:rsid w:val="00982818"/>
    <w:rsid w:val="009873BE"/>
    <w:rsid w:val="00994DDD"/>
    <w:rsid w:val="00997AF0"/>
    <w:rsid w:val="00997C42"/>
    <w:rsid w:val="009A5675"/>
    <w:rsid w:val="009B6E2A"/>
    <w:rsid w:val="009C1A82"/>
    <w:rsid w:val="009E1042"/>
    <w:rsid w:val="00A016A6"/>
    <w:rsid w:val="00A036C7"/>
    <w:rsid w:val="00A06DA2"/>
    <w:rsid w:val="00A10A64"/>
    <w:rsid w:val="00A139DE"/>
    <w:rsid w:val="00A45CCD"/>
    <w:rsid w:val="00A52F6E"/>
    <w:rsid w:val="00A70602"/>
    <w:rsid w:val="00A84702"/>
    <w:rsid w:val="00A84B46"/>
    <w:rsid w:val="00A921F7"/>
    <w:rsid w:val="00AA0A3B"/>
    <w:rsid w:val="00AC589E"/>
    <w:rsid w:val="00AD3BCF"/>
    <w:rsid w:val="00AE021F"/>
    <w:rsid w:val="00B2549C"/>
    <w:rsid w:val="00B26955"/>
    <w:rsid w:val="00B333EC"/>
    <w:rsid w:val="00B35E65"/>
    <w:rsid w:val="00B401BD"/>
    <w:rsid w:val="00B431D7"/>
    <w:rsid w:val="00B4386F"/>
    <w:rsid w:val="00B6046D"/>
    <w:rsid w:val="00B83414"/>
    <w:rsid w:val="00B83AD1"/>
    <w:rsid w:val="00B85918"/>
    <w:rsid w:val="00BA05F6"/>
    <w:rsid w:val="00BA4895"/>
    <w:rsid w:val="00BA6906"/>
    <w:rsid w:val="00BB170C"/>
    <w:rsid w:val="00BC3C4A"/>
    <w:rsid w:val="00BC449E"/>
    <w:rsid w:val="00BC4D08"/>
    <w:rsid w:val="00BC6B4B"/>
    <w:rsid w:val="00BD612D"/>
    <w:rsid w:val="00BE22D8"/>
    <w:rsid w:val="00BE3A73"/>
    <w:rsid w:val="00BE4FC4"/>
    <w:rsid w:val="00BF17CC"/>
    <w:rsid w:val="00C0313B"/>
    <w:rsid w:val="00C10868"/>
    <w:rsid w:val="00C216AC"/>
    <w:rsid w:val="00C31AAE"/>
    <w:rsid w:val="00C36548"/>
    <w:rsid w:val="00C42465"/>
    <w:rsid w:val="00C500F1"/>
    <w:rsid w:val="00C53AFA"/>
    <w:rsid w:val="00C545AC"/>
    <w:rsid w:val="00C56887"/>
    <w:rsid w:val="00C73DFA"/>
    <w:rsid w:val="00C911EF"/>
    <w:rsid w:val="00C94CF7"/>
    <w:rsid w:val="00CA1FC8"/>
    <w:rsid w:val="00CB7D60"/>
    <w:rsid w:val="00CC2A75"/>
    <w:rsid w:val="00CD1906"/>
    <w:rsid w:val="00CE4774"/>
    <w:rsid w:val="00CE5B0F"/>
    <w:rsid w:val="00D0059A"/>
    <w:rsid w:val="00D00658"/>
    <w:rsid w:val="00D0149D"/>
    <w:rsid w:val="00D14EBB"/>
    <w:rsid w:val="00D15F06"/>
    <w:rsid w:val="00D16C4C"/>
    <w:rsid w:val="00D34032"/>
    <w:rsid w:val="00D738D3"/>
    <w:rsid w:val="00D73E21"/>
    <w:rsid w:val="00D7695E"/>
    <w:rsid w:val="00D81E05"/>
    <w:rsid w:val="00D84009"/>
    <w:rsid w:val="00D87114"/>
    <w:rsid w:val="00DA08AD"/>
    <w:rsid w:val="00DA2D2B"/>
    <w:rsid w:val="00DB50A7"/>
    <w:rsid w:val="00DB5C2C"/>
    <w:rsid w:val="00DB7DDC"/>
    <w:rsid w:val="00DC56EB"/>
    <w:rsid w:val="00DC58A6"/>
    <w:rsid w:val="00DD268A"/>
    <w:rsid w:val="00DD5666"/>
    <w:rsid w:val="00DD6C54"/>
    <w:rsid w:val="00E10135"/>
    <w:rsid w:val="00E16574"/>
    <w:rsid w:val="00E25673"/>
    <w:rsid w:val="00E306C8"/>
    <w:rsid w:val="00E33AC5"/>
    <w:rsid w:val="00E5797D"/>
    <w:rsid w:val="00E6506F"/>
    <w:rsid w:val="00E668E3"/>
    <w:rsid w:val="00E7459E"/>
    <w:rsid w:val="00E81660"/>
    <w:rsid w:val="00E87D6C"/>
    <w:rsid w:val="00EA14FE"/>
    <w:rsid w:val="00EA4EA7"/>
    <w:rsid w:val="00EA6160"/>
    <w:rsid w:val="00EB0D99"/>
    <w:rsid w:val="00EC35A6"/>
    <w:rsid w:val="00EC6936"/>
    <w:rsid w:val="00ED23B4"/>
    <w:rsid w:val="00ED2E53"/>
    <w:rsid w:val="00ED3F2D"/>
    <w:rsid w:val="00ED4ABF"/>
    <w:rsid w:val="00EE0755"/>
    <w:rsid w:val="00EE2438"/>
    <w:rsid w:val="00EE58DB"/>
    <w:rsid w:val="00EF5258"/>
    <w:rsid w:val="00F152DC"/>
    <w:rsid w:val="00F1684B"/>
    <w:rsid w:val="00F22AAE"/>
    <w:rsid w:val="00F378F4"/>
    <w:rsid w:val="00F60D1A"/>
    <w:rsid w:val="00F6735A"/>
    <w:rsid w:val="00F707A5"/>
    <w:rsid w:val="00F732EC"/>
    <w:rsid w:val="00F82993"/>
    <w:rsid w:val="00F8313D"/>
    <w:rsid w:val="00F8335F"/>
    <w:rsid w:val="00F836DA"/>
    <w:rsid w:val="00F863F4"/>
    <w:rsid w:val="00F87C29"/>
    <w:rsid w:val="00F90315"/>
    <w:rsid w:val="00F933E1"/>
    <w:rsid w:val="00F94BFA"/>
    <w:rsid w:val="00FA35ED"/>
    <w:rsid w:val="00FB35D8"/>
    <w:rsid w:val="00FB603E"/>
    <w:rsid w:val="00FB79A4"/>
    <w:rsid w:val="00FC5175"/>
    <w:rsid w:val="00FD1206"/>
    <w:rsid w:val="00FD663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BB819"/>
  <w15:chartTrackingRefBased/>
  <w15:docId w15:val="{970AB990-A097-4974-865A-4F1D869B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684B"/>
    <w:pPr>
      <w:widowControl w:val="0"/>
      <w:autoSpaceDE w:val="0"/>
      <w:autoSpaceDN w:val="0"/>
      <w:adjustRightInd w:val="0"/>
      <w:jc w:val="both"/>
    </w:pPr>
    <w:rPr>
      <w:snapToGrid w:val="0"/>
      <w:sz w:val="24"/>
      <w:szCs w:val="21"/>
    </w:rPr>
  </w:style>
  <w:style w:type="paragraph" w:styleId="1">
    <w:name w:val="heading 1"/>
    <w:next w:val="2"/>
    <w:link w:val="10"/>
    <w:qFormat/>
    <w:rsid w:val="00FD1206"/>
    <w:pPr>
      <w:keepNext/>
      <w:numPr>
        <w:numId w:val="33"/>
      </w:numPr>
      <w:pBdr>
        <w:top w:val="single" w:sz="12" w:space="1" w:color="auto"/>
      </w:pBdr>
      <w:spacing w:before="120" w:after="12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outlineLvl w:val="2"/>
    </w:pPr>
    <w:rPr>
      <w:rFonts w:eastAsia="黑体"/>
      <w:bCs/>
      <w:kern w:val="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basedOn w:val="a1"/>
    <w:link w:val="af6"/>
    <w:uiPriority w:val="34"/>
    <w:qFormat/>
    <w:rsid w:val="0075012D"/>
    <w:pPr>
      <w:ind w:firstLineChars="200" w:firstLine="420"/>
    </w:pPr>
  </w:style>
  <w:style w:type="paragraph" w:customStyle="1" w:styleId="3GPPHeader">
    <w:name w:val="3GPP_Header"/>
    <w:basedOn w:val="a1"/>
    <w:rsid w:val="00D738D3"/>
    <w:pPr>
      <w:tabs>
        <w:tab w:val="left" w:pos="1701"/>
        <w:tab w:val="right" w:pos="9639"/>
      </w:tabs>
      <w:spacing w:after="240"/>
    </w:pPr>
    <w:rPr>
      <w:b/>
    </w:rPr>
  </w:style>
  <w:style w:type="character" w:customStyle="1" w:styleId="10">
    <w:name w:val="标题 1 字符"/>
    <w:link w:val="1"/>
    <w:rsid w:val="00FD1206"/>
    <w:rPr>
      <w:rFonts w:ascii="Arial" w:eastAsia="黑体" w:hAnsi="Arial"/>
      <w:b/>
      <w:sz w:val="32"/>
      <w:szCs w:val="32"/>
    </w:rPr>
  </w:style>
  <w:style w:type="character" w:styleId="af7">
    <w:name w:val="annotation reference"/>
    <w:basedOn w:val="a2"/>
    <w:uiPriority w:val="99"/>
    <w:semiHidden/>
    <w:unhideWhenUsed/>
    <w:rsid w:val="001915D8"/>
    <w:rPr>
      <w:sz w:val="21"/>
      <w:szCs w:val="21"/>
    </w:rPr>
  </w:style>
  <w:style w:type="paragraph" w:styleId="af8">
    <w:name w:val="annotation text"/>
    <w:basedOn w:val="a1"/>
    <w:link w:val="af9"/>
    <w:uiPriority w:val="99"/>
    <w:semiHidden/>
    <w:unhideWhenUsed/>
    <w:rsid w:val="001915D8"/>
    <w:pPr>
      <w:jc w:val="left"/>
    </w:pPr>
  </w:style>
  <w:style w:type="character" w:customStyle="1" w:styleId="af9">
    <w:name w:val="批注文字 字符"/>
    <w:basedOn w:val="a2"/>
    <w:link w:val="af8"/>
    <w:uiPriority w:val="99"/>
    <w:semiHidden/>
    <w:rsid w:val="001915D8"/>
    <w:rPr>
      <w:snapToGrid w:val="0"/>
      <w:sz w:val="21"/>
      <w:szCs w:val="21"/>
    </w:rPr>
  </w:style>
  <w:style w:type="paragraph" w:styleId="afa">
    <w:name w:val="annotation subject"/>
    <w:basedOn w:val="af8"/>
    <w:next w:val="af8"/>
    <w:link w:val="afb"/>
    <w:semiHidden/>
    <w:unhideWhenUsed/>
    <w:rsid w:val="001915D8"/>
    <w:rPr>
      <w:b/>
      <w:bCs/>
    </w:rPr>
  </w:style>
  <w:style w:type="character" w:customStyle="1" w:styleId="afb">
    <w:name w:val="批注主题 字符"/>
    <w:basedOn w:val="af9"/>
    <w:link w:val="afa"/>
    <w:semiHidden/>
    <w:rsid w:val="001915D8"/>
    <w:rPr>
      <w:b/>
      <w:bCs/>
      <w:snapToGrid w:val="0"/>
      <w:sz w:val="21"/>
      <w:szCs w:val="21"/>
    </w:rPr>
  </w:style>
  <w:style w:type="paragraph" w:styleId="afc">
    <w:name w:val="No Spacing"/>
    <w:uiPriority w:val="1"/>
    <w:qFormat/>
    <w:rsid w:val="008E1DA0"/>
    <w:pPr>
      <w:widowControl w:val="0"/>
      <w:autoSpaceDE w:val="0"/>
      <w:autoSpaceDN w:val="0"/>
      <w:adjustRightInd w:val="0"/>
      <w:jc w:val="both"/>
    </w:pPr>
    <w:rPr>
      <w:snapToGrid w:val="0"/>
      <w:sz w:val="21"/>
      <w:szCs w:val="21"/>
    </w:rPr>
  </w:style>
  <w:style w:type="character" w:customStyle="1" w:styleId="af6">
    <w:name w:val="列表段落 字符"/>
    <w:link w:val="af5"/>
    <w:uiPriority w:val="34"/>
    <w:qFormat/>
    <w:locked/>
    <w:rsid w:val="00F863F4"/>
    <w:rPr>
      <w:snapToGrid w:val="0"/>
      <w:sz w:val="21"/>
      <w:szCs w:val="21"/>
    </w:rPr>
  </w:style>
  <w:style w:type="paragraph" w:customStyle="1" w:styleId="B1">
    <w:name w:val="B1"/>
    <w:basedOn w:val="afd"/>
    <w:link w:val="B1Char"/>
    <w:rsid w:val="00DB7DDC"/>
    <w:pPr>
      <w:widowControl/>
      <w:overflowPunct w:val="0"/>
      <w:spacing w:after="180"/>
      <w:ind w:left="568" w:firstLineChars="0" w:hanging="284"/>
      <w:contextualSpacing w:val="0"/>
      <w:jc w:val="left"/>
      <w:textAlignment w:val="baseline"/>
    </w:pPr>
    <w:rPr>
      <w:rFonts w:eastAsia="Times New Roman"/>
      <w:snapToGrid/>
      <w:sz w:val="20"/>
      <w:szCs w:val="20"/>
      <w:lang w:val="en-GB" w:eastAsia="en-GB"/>
    </w:rPr>
  </w:style>
  <w:style w:type="character" w:customStyle="1" w:styleId="B1Char">
    <w:name w:val="B1 Char"/>
    <w:link w:val="B1"/>
    <w:qFormat/>
    <w:rsid w:val="00DB7DDC"/>
    <w:rPr>
      <w:rFonts w:eastAsia="Times New Roman"/>
      <w:lang w:val="en-GB" w:eastAsia="en-GB"/>
    </w:rPr>
  </w:style>
  <w:style w:type="paragraph" w:styleId="afd">
    <w:name w:val="List"/>
    <w:basedOn w:val="a1"/>
    <w:semiHidden/>
    <w:unhideWhenUsed/>
    <w:rsid w:val="00DB7DD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1371">
      <w:bodyDiv w:val="1"/>
      <w:marLeft w:val="0"/>
      <w:marRight w:val="0"/>
      <w:marTop w:val="0"/>
      <w:marBottom w:val="0"/>
      <w:divBdr>
        <w:top w:val="none" w:sz="0" w:space="0" w:color="auto"/>
        <w:left w:val="none" w:sz="0" w:space="0" w:color="auto"/>
        <w:bottom w:val="none" w:sz="0" w:space="0" w:color="auto"/>
        <w:right w:val="none" w:sz="0" w:space="0" w:color="auto"/>
      </w:divBdr>
    </w:div>
    <w:div w:id="187135984">
      <w:bodyDiv w:val="1"/>
      <w:marLeft w:val="0"/>
      <w:marRight w:val="0"/>
      <w:marTop w:val="0"/>
      <w:marBottom w:val="0"/>
      <w:divBdr>
        <w:top w:val="none" w:sz="0" w:space="0" w:color="auto"/>
        <w:left w:val="none" w:sz="0" w:space="0" w:color="auto"/>
        <w:bottom w:val="none" w:sz="0" w:space="0" w:color="auto"/>
        <w:right w:val="none" w:sz="0" w:space="0" w:color="auto"/>
      </w:divBdr>
    </w:div>
    <w:div w:id="195773718">
      <w:bodyDiv w:val="1"/>
      <w:marLeft w:val="0"/>
      <w:marRight w:val="0"/>
      <w:marTop w:val="0"/>
      <w:marBottom w:val="0"/>
      <w:divBdr>
        <w:top w:val="none" w:sz="0" w:space="0" w:color="auto"/>
        <w:left w:val="none" w:sz="0" w:space="0" w:color="auto"/>
        <w:bottom w:val="none" w:sz="0" w:space="0" w:color="auto"/>
        <w:right w:val="none" w:sz="0" w:space="0" w:color="auto"/>
      </w:divBdr>
    </w:div>
    <w:div w:id="422069313">
      <w:bodyDiv w:val="1"/>
      <w:marLeft w:val="0"/>
      <w:marRight w:val="0"/>
      <w:marTop w:val="0"/>
      <w:marBottom w:val="0"/>
      <w:divBdr>
        <w:top w:val="none" w:sz="0" w:space="0" w:color="auto"/>
        <w:left w:val="none" w:sz="0" w:space="0" w:color="auto"/>
        <w:bottom w:val="none" w:sz="0" w:space="0" w:color="auto"/>
        <w:right w:val="none" w:sz="0" w:space="0" w:color="auto"/>
      </w:divBdr>
    </w:div>
    <w:div w:id="432480145">
      <w:bodyDiv w:val="1"/>
      <w:marLeft w:val="0"/>
      <w:marRight w:val="0"/>
      <w:marTop w:val="0"/>
      <w:marBottom w:val="0"/>
      <w:divBdr>
        <w:top w:val="none" w:sz="0" w:space="0" w:color="auto"/>
        <w:left w:val="none" w:sz="0" w:space="0" w:color="auto"/>
        <w:bottom w:val="none" w:sz="0" w:space="0" w:color="auto"/>
        <w:right w:val="none" w:sz="0" w:space="0" w:color="auto"/>
      </w:divBdr>
    </w:div>
    <w:div w:id="543106360">
      <w:bodyDiv w:val="1"/>
      <w:marLeft w:val="0"/>
      <w:marRight w:val="0"/>
      <w:marTop w:val="0"/>
      <w:marBottom w:val="0"/>
      <w:divBdr>
        <w:top w:val="none" w:sz="0" w:space="0" w:color="auto"/>
        <w:left w:val="none" w:sz="0" w:space="0" w:color="auto"/>
        <w:bottom w:val="none" w:sz="0" w:space="0" w:color="auto"/>
        <w:right w:val="none" w:sz="0" w:space="0" w:color="auto"/>
      </w:divBdr>
    </w:div>
    <w:div w:id="693113559">
      <w:bodyDiv w:val="1"/>
      <w:marLeft w:val="0"/>
      <w:marRight w:val="0"/>
      <w:marTop w:val="0"/>
      <w:marBottom w:val="0"/>
      <w:divBdr>
        <w:top w:val="none" w:sz="0" w:space="0" w:color="auto"/>
        <w:left w:val="none" w:sz="0" w:space="0" w:color="auto"/>
        <w:bottom w:val="none" w:sz="0" w:space="0" w:color="auto"/>
        <w:right w:val="none" w:sz="0" w:space="0" w:color="auto"/>
      </w:divBdr>
    </w:div>
    <w:div w:id="860556006">
      <w:bodyDiv w:val="1"/>
      <w:marLeft w:val="0"/>
      <w:marRight w:val="0"/>
      <w:marTop w:val="0"/>
      <w:marBottom w:val="0"/>
      <w:divBdr>
        <w:top w:val="none" w:sz="0" w:space="0" w:color="auto"/>
        <w:left w:val="none" w:sz="0" w:space="0" w:color="auto"/>
        <w:bottom w:val="none" w:sz="0" w:space="0" w:color="auto"/>
        <w:right w:val="none" w:sz="0" w:space="0" w:color="auto"/>
      </w:divBdr>
    </w:div>
    <w:div w:id="1023628599">
      <w:bodyDiv w:val="1"/>
      <w:marLeft w:val="0"/>
      <w:marRight w:val="0"/>
      <w:marTop w:val="0"/>
      <w:marBottom w:val="0"/>
      <w:divBdr>
        <w:top w:val="none" w:sz="0" w:space="0" w:color="auto"/>
        <w:left w:val="none" w:sz="0" w:space="0" w:color="auto"/>
        <w:bottom w:val="none" w:sz="0" w:space="0" w:color="auto"/>
        <w:right w:val="none" w:sz="0" w:space="0" w:color="auto"/>
      </w:divBdr>
    </w:div>
    <w:div w:id="1035425735">
      <w:bodyDiv w:val="1"/>
      <w:marLeft w:val="0"/>
      <w:marRight w:val="0"/>
      <w:marTop w:val="0"/>
      <w:marBottom w:val="0"/>
      <w:divBdr>
        <w:top w:val="none" w:sz="0" w:space="0" w:color="auto"/>
        <w:left w:val="none" w:sz="0" w:space="0" w:color="auto"/>
        <w:bottom w:val="none" w:sz="0" w:space="0" w:color="auto"/>
        <w:right w:val="none" w:sz="0" w:space="0" w:color="auto"/>
      </w:divBdr>
    </w:div>
    <w:div w:id="1123115162">
      <w:bodyDiv w:val="1"/>
      <w:marLeft w:val="0"/>
      <w:marRight w:val="0"/>
      <w:marTop w:val="0"/>
      <w:marBottom w:val="0"/>
      <w:divBdr>
        <w:top w:val="none" w:sz="0" w:space="0" w:color="auto"/>
        <w:left w:val="none" w:sz="0" w:space="0" w:color="auto"/>
        <w:bottom w:val="none" w:sz="0" w:space="0" w:color="auto"/>
        <w:right w:val="none" w:sz="0" w:space="0" w:color="auto"/>
      </w:divBdr>
    </w:div>
    <w:div w:id="1199704575">
      <w:bodyDiv w:val="1"/>
      <w:marLeft w:val="0"/>
      <w:marRight w:val="0"/>
      <w:marTop w:val="0"/>
      <w:marBottom w:val="0"/>
      <w:divBdr>
        <w:top w:val="none" w:sz="0" w:space="0" w:color="auto"/>
        <w:left w:val="none" w:sz="0" w:space="0" w:color="auto"/>
        <w:bottom w:val="none" w:sz="0" w:space="0" w:color="auto"/>
        <w:right w:val="none" w:sz="0" w:space="0" w:color="auto"/>
      </w:divBdr>
    </w:div>
    <w:div w:id="1247882562">
      <w:bodyDiv w:val="1"/>
      <w:marLeft w:val="0"/>
      <w:marRight w:val="0"/>
      <w:marTop w:val="0"/>
      <w:marBottom w:val="0"/>
      <w:divBdr>
        <w:top w:val="none" w:sz="0" w:space="0" w:color="auto"/>
        <w:left w:val="none" w:sz="0" w:space="0" w:color="auto"/>
        <w:bottom w:val="none" w:sz="0" w:space="0" w:color="auto"/>
        <w:right w:val="none" w:sz="0" w:space="0" w:color="auto"/>
      </w:divBdr>
    </w:div>
    <w:div w:id="1531917679">
      <w:bodyDiv w:val="1"/>
      <w:marLeft w:val="0"/>
      <w:marRight w:val="0"/>
      <w:marTop w:val="0"/>
      <w:marBottom w:val="0"/>
      <w:divBdr>
        <w:top w:val="none" w:sz="0" w:space="0" w:color="auto"/>
        <w:left w:val="none" w:sz="0" w:space="0" w:color="auto"/>
        <w:bottom w:val="none" w:sz="0" w:space="0" w:color="auto"/>
        <w:right w:val="none" w:sz="0" w:space="0" w:color="auto"/>
      </w:divBdr>
    </w:div>
    <w:div w:id="1613123627">
      <w:bodyDiv w:val="1"/>
      <w:marLeft w:val="0"/>
      <w:marRight w:val="0"/>
      <w:marTop w:val="0"/>
      <w:marBottom w:val="0"/>
      <w:divBdr>
        <w:top w:val="none" w:sz="0" w:space="0" w:color="auto"/>
        <w:left w:val="none" w:sz="0" w:space="0" w:color="auto"/>
        <w:bottom w:val="none" w:sz="0" w:space="0" w:color="auto"/>
        <w:right w:val="none" w:sz="0" w:space="0" w:color="auto"/>
      </w:divBdr>
      <w:divsChild>
        <w:div w:id="1902521610">
          <w:marLeft w:val="0"/>
          <w:marRight w:val="0"/>
          <w:marTop w:val="0"/>
          <w:marBottom w:val="0"/>
          <w:divBdr>
            <w:top w:val="none" w:sz="0" w:space="0" w:color="auto"/>
            <w:left w:val="none" w:sz="0" w:space="0" w:color="auto"/>
            <w:bottom w:val="none" w:sz="0" w:space="0" w:color="auto"/>
            <w:right w:val="none" w:sz="0" w:space="0" w:color="auto"/>
          </w:divBdr>
          <w:divsChild>
            <w:div w:id="2061703426">
              <w:marLeft w:val="0"/>
              <w:marRight w:val="0"/>
              <w:marTop w:val="0"/>
              <w:marBottom w:val="0"/>
              <w:divBdr>
                <w:top w:val="none" w:sz="0" w:space="0" w:color="auto"/>
                <w:left w:val="none" w:sz="0" w:space="0" w:color="auto"/>
                <w:bottom w:val="none" w:sz="0" w:space="0" w:color="auto"/>
                <w:right w:val="none" w:sz="0" w:space="0" w:color="auto"/>
              </w:divBdr>
              <w:divsChild>
                <w:div w:id="211698215">
                  <w:marLeft w:val="0"/>
                  <w:marRight w:val="0"/>
                  <w:marTop w:val="0"/>
                  <w:marBottom w:val="0"/>
                  <w:divBdr>
                    <w:top w:val="none" w:sz="0" w:space="0" w:color="auto"/>
                    <w:left w:val="none" w:sz="0" w:space="0" w:color="auto"/>
                    <w:bottom w:val="none" w:sz="0" w:space="0" w:color="auto"/>
                    <w:right w:val="none" w:sz="0" w:space="0" w:color="auto"/>
                  </w:divBdr>
                  <w:divsChild>
                    <w:div w:id="635378103">
                      <w:marLeft w:val="0"/>
                      <w:marRight w:val="0"/>
                      <w:marTop w:val="0"/>
                      <w:marBottom w:val="0"/>
                      <w:divBdr>
                        <w:top w:val="none" w:sz="0" w:space="0" w:color="auto"/>
                        <w:left w:val="none" w:sz="0" w:space="0" w:color="auto"/>
                        <w:bottom w:val="none" w:sz="0" w:space="0" w:color="auto"/>
                        <w:right w:val="none" w:sz="0" w:space="0" w:color="auto"/>
                      </w:divBdr>
                      <w:divsChild>
                        <w:div w:id="1237084211">
                          <w:marLeft w:val="0"/>
                          <w:marRight w:val="0"/>
                          <w:marTop w:val="0"/>
                          <w:marBottom w:val="0"/>
                          <w:divBdr>
                            <w:top w:val="none" w:sz="0" w:space="0" w:color="auto"/>
                            <w:left w:val="none" w:sz="0" w:space="0" w:color="auto"/>
                            <w:bottom w:val="none" w:sz="0" w:space="0" w:color="auto"/>
                            <w:right w:val="none" w:sz="0" w:space="0" w:color="auto"/>
                          </w:divBdr>
                          <w:divsChild>
                            <w:div w:id="136717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503539">
      <w:bodyDiv w:val="1"/>
      <w:marLeft w:val="0"/>
      <w:marRight w:val="0"/>
      <w:marTop w:val="0"/>
      <w:marBottom w:val="0"/>
      <w:divBdr>
        <w:top w:val="none" w:sz="0" w:space="0" w:color="auto"/>
        <w:left w:val="none" w:sz="0" w:space="0" w:color="auto"/>
        <w:bottom w:val="none" w:sz="0" w:space="0" w:color="auto"/>
        <w:right w:val="none" w:sz="0" w:space="0" w:color="auto"/>
      </w:divBdr>
    </w:div>
    <w:div w:id="1969892925">
      <w:bodyDiv w:val="1"/>
      <w:marLeft w:val="0"/>
      <w:marRight w:val="0"/>
      <w:marTop w:val="0"/>
      <w:marBottom w:val="0"/>
      <w:divBdr>
        <w:top w:val="none" w:sz="0" w:space="0" w:color="auto"/>
        <w:left w:val="none" w:sz="0" w:space="0" w:color="auto"/>
        <w:bottom w:val="none" w:sz="0" w:space="0" w:color="auto"/>
        <w:right w:val="none" w:sz="0" w:space="0" w:color="auto"/>
      </w:divBdr>
    </w:div>
    <w:div w:id="20297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4D401-E586-4B9F-A5AA-48D2B2B33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1121</Words>
  <Characters>6046</Characters>
  <Application>Microsoft Office Word</Application>
  <DocSecurity>0</DocSecurity>
  <Lines>111</Lines>
  <Paragraphs>76</Paragraphs>
  <ScaleCrop>false</ScaleCrop>
  <HeadingPairs>
    <vt:vector size="2" baseType="variant">
      <vt:variant>
        <vt:lpstr>Title</vt:lpstr>
      </vt:variant>
      <vt:variant>
        <vt:i4>1</vt:i4>
      </vt:variant>
    </vt:vector>
  </HeadingPairs>
  <TitlesOfParts>
    <vt:vector size="1" baseType="lpstr">
      <vt:lpstr>Discussions on RRM requirements for Rel-19 ATG</vt:lpstr>
    </vt:vector>
  </TitlesOfParts>
  <Company>Huawei Technologies Co., Ltd.</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RRM requirements for Rel-19 ATG</dc:title>
  <dc:subject/>
  <dc:creator>Huawei</dc:creator>
  <cp:keywords/>
  <dc:description/>
  <cp:lastModifiedBy>Huawei</cp:lastModifiedBy>
  <cp:revision>11</cp:revision>
  <dcterms:created xsi:type="dcterms:W3CDTF">2024-10-07T03:59:00Z</dcterms:created>
  <dcterms:modified xsi:type="dcterms:W3CDTF">2024-10-07T05:21:00Z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88b34e3769ad6f23a4970b49bf2b1d1fcfec1c2df55dcebac868026c556b9709</vt:lpwstr>
  </property>
  <property fmtid="{D5CDD505-2E9C-101B-9397-08002B2CF9AE}" pid="3" name="_2015_ms_pID_725343">
    <vt:lpwstr>(3)xhusY6u2vydzJZAziY4f+iFCB9dlF3mA8k+lsewci42k1OWAgS3/v8n67fR817oEf9UQ3OO2
fMZWcA2x2+vV/XnmYCk3fyJh3149Y7PtRThom4WvRDxRssiR3m7v2lYjfvu7k1/ciTu1BaE6
KlQpnlsVCWm+/wKiIalHuIEHShV8udYU4UjYPec1vluoKT0i/C5qWihz8w99FF/J+R0QmiU2
AJZCBi5MGoelo9o4hf</vt:lpwstr>
  </property>
  <property fmtid="{D5CDD505-2E9C-101B-9397-08002B2CF9AE}" pid="4" name="_2015_ms_pID_7253431">
    <vt:lpwstr>+T+fr7uGDpEFXiwVnriEVQMhIixC7tu6i1fCREz0AYc1J4st6kIbT+
DiH2ABIeTP7+LiF4XMr8w3CaEG+b2RDSjOuxbwc/zhbpgCmjY8oxlWLvD1LBcnZ36GssuUzZ
wmemZdyyBOzFQ35j276AXOv0pl6wBJEFR2N+Mp+mjXWZoD4cwkm/rNub6Q/p84kR0y8+04qt
5uLTClZHNLg1Tc0nPlQhLmxCBwm9zQZHIwaP</vt:lpwstr>
  </property>
  <property fmtid="{D5CDD505-2E9C-101B-9397-08002B2CF9AE}" pid="5" name="_2015_ms_pID_7253432">
    <vt:lpwstr>pQ==</vt:lpwstr>
  </property>
</Properties>
</file>