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1F06F82E" w:rsidR="00065A7F" w:rsidRDefault="00065A7F" w:rsidP="00065A7F">
      <w:pPr>
        <w:tabs>
          <w:tab w:val="right" w:pos="9781"/>
          <w:tab w:val="right" w:pos="13323"/>
        </w:tabs>
        <w:spacing w:before="60" w:after="60"/>
        <w:outlineLvl w:val="0"/>
        <w:rPr>
          <w:rFonts w:ascii="Arial" w:hAnsi="Arial" w:cs="Arial"/>
          <w:b/>
          <w:sz w:val="24"/>
          <w:szCs w:val="24"/>
        </w:rPr>
      </w:pPr>
      <w:bookmarkStart w:id="0" w:name="DocumentFor"/>
      <w:bookmarkStart w:id="1" w:name="Title"/>
      <w:bookmarkEnd w:id="0"/>
      <w:bookmarkEnd w:id="1"/>
      <w:r>
        <w:rPr>
          <w:rFonts w:ascii="Arial" w:hAnsi="Arial" w:cs="Arial"/>
          <w:b/>
          <w:sz w:val="24"/>
          <w:szCs w:val="24"/>
        </w:rPr>
        <w:t>3GPP TSG-RAN WG4 Meeting #112 bis</w:t>
      </w:r>
      <w:r>
        <w:rPr>
          <w:rFonts w:ascii="Arial" w:hAnsi="Arial" w:cs="Arial"/>
          <w:b/>
          <w:sz w:val="24"/>
          <w:szCs w:val="24"/>
        </w:rPr>
        <w:tab/>
      </w:r>
      <w:r>
        <w:rPr>
          <w:rFonts w:ascii="Arial" w:hAnsi="Arial" w:cs="Arial" w:hint="eastAsia"/>
          <w:b/>
          <w:sz w:val="24"/>
          <w:szCs w:val="24"/>
        </w:rPr>
        <w:t xml:space="preserve">                                 </w:t>
      </w:r>
      <w:r w:rsidR="00CF2539" w:rsidRPr="00CF2539">
        <w:rPr>
          <w:rFonts w:ascii="Arial" w:hAnsi="Arial" w:cs="Arial"/>
          <w:b/>
          <w:sz w:val="24"/>
          <w:szCs w:val="24"/>
        </w:rPr>
        <w:t>R4-2415045</w:t>
      </w:r>
    </w:p>
    <w:p w14:paraId="787C89AB" w14:textId="7C618852" w:rsidR="00065A7F" w:rsidRDefault="00B50A4F" w:rsidP="52484291">
      <w:pPr>
        <w:tabs>
          <w:tab w:val="right" w:pos="9781"/>
          <w:tab w:val="right" w:pos="13323"/>
        </w:tabs>
        <w:spacing w:before="60" w:after="60"/>
        <w:outlineLvl w:val="0"/>
        <w:rPr>
          <w:rFonts w:ascii="Arial" w:hAnsi="Arial" w:cs="Arial"/>
          <w:b/>
          <w:bCs/>
          <w:sz w:val="24"/>
          <w:szCs w:val="24"/>
        </w:rPr>
      </w:pPr>
      <w:r w:rsidRPr="52484291">
        <w:rPr>
          <w:rFonts w:ascii="Arial" w:hAnsi="Arial" w:cs="Arial"/>
          <w:b/>
          <w:bCs/>
          <w:sz w:val="24"/>
          <w:szCs w:val="24"/>
        </w:rPr>
        <w:t>Hefei,</w:t>
      </w:r>
      <w:r w:rsidR="00BA16F3" w:rsidRPr="52484291">
        <w:rPr>
          <w:rFonts w:ascii="Arial" w:hAnsi="Arial" w:cs="Arial"/>
          <w:b/>
          <w:bCs/>
          <w:sz w:val="24"/>
          <w:szCs w:val="24"/>
        </w:rPr>
        <w:t xml:space="preserve"> China</w:t>
      </w:r>
      <w:r w:rsidR="00065A7F" w:rsidRPr="52484291">
        <w:rPr>
          <w:rFonts w:ascii="Arial" w:hAnsi="Arial" w:cs="Arial"/>
          <w:b/>
          <w:bCs/>
          <w:sz w:val="24"/>
          <w:szCs w:val="24"/>
        </w:rPr>
        <w:t xml:space="preserve">, 14 – 18 </w:t>
      </w:r>
      <w:bookmarkStart w:id="2" w:name="_Int_4EU2dtEg"/>
      <w:r w:rsidR="00065A7F" w:rsidRPr="52484291">
        <w:rPr>
          <w:rFonts w:ascii="Arial" w:hAnsi="Arial" w:cs="Arial"/>
          <w:b/>
          <w:bCs/>
          <w:sz w:val="24"/>
          <w:szCs w:val="24"/>
        </w:rPr>
        <w:t>October,</w:t>
      </w:r>
      <w:bookmarkEnd w:id="2"/>
      <w:r w:rsidR="00065A7F" w:rsidRPr="52484291">
        <w:rPr>
          <w:rFonts w:ascii="Arial" w:hAnsi="Arial" w:cs="Arial"/>
          <w:b/>
          <w:bCs/>
          <w:sz w:val="24"/>
          <w:szCs w:val="24"/>
        </w:rPr>
        <w:t xml:space="preserve">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proofErr w:type="spellStart"/>
      <w:r w:rsidRPr="001C37D1">
        <w:rPr>
          <w:rFonts w:ascii="Arial" w:hAnsi="Arial" w:cs="Arial"/>
          <w:bCs/>
          <w:sz w:val="24"/>
          <w:lang w:val="en-US"/>
        </w:rPr>
        <w:t>Tejas</w:t>
      </w:r>
      <w:proofErr w:type="spellEnd"/>
      <w:r w:rsidRPr="001C37D1">
        <w:rPr>
          <w:rFonts w:ascii="Arial" w:hAnsi="Arial" w:cs="Arial"/>
          <w:bCs/>
          <w:sz w:val="24"/>
          <w:lang w:val="en-US"/>
        </w:rPr>
        <w:t xml:space="preserve"> Networks Pvt. Ltd.</w:t>
      </w:r>
    </w:p>
    <w:p w14:paraId="536F73FA" w14:textId="159AC32C" w:rsidR="00847D95" w:rsidRPr="001C37D1" w:rsidRDefault="00847D95" w:rsidP="00847D95">
      <w:pPr>
        <w:spacing w:line="360" w:lineRule="auto"/>
        <w:ind w:left="1988" w:hanging="1988"/>
        <w:jc w:val="both"/>
        <w:rPr>
          <w:rFonts w:ascii="Arial" w:hAnsi="Arial" w:cs="Arial"/>
          <w:bCs/>
          <w:sz w:val="24"/>
          <w:lang w:val="en-US"/>
        </w:rPr>
      </w:pPr>
      <w:bookmarkStart w:id="3" w:name="_Int_NN0XjMO4"/>
      <w:r w:rsidRPr="00792278">
        <w:rPr>
          <w:rFonts w:ascii="Arial" w:hAnsi="Arial" w:cs="Arial"/>
          <w:b/>
          <w:sz w:val="24"/>
          <w:lang w:val="en-US"/>
        </w:rPr>
        <w:t xml:space="preserve">Title:                     </w:t>
      </w:r>
      <w:bookmarkEnd w:id="3"/>
      <w:r w:rsidR="00BB2208" w:rsidRPr="00BB2208">
        <w:rPr>
          <w:rFonts w:ascii="Arial" w:hAnsi="Arial" w:cs="Arial"/>
          <w:bCs/>
          <w:sz w:val="24"/>
          <w:lang w:val="en-US"/>
        </w:rPr>
        <w:t>Discussion on existing Tx requirements for SBFD operation</w:t>
      </w:r>
    </w:p>
    <w:p w14:paraId="6006169F" w14:textId="6B62BF58"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655B94" w:rsidRPr="00655B94">
        <w:rPr>
          <w:rFonts w:ascii="Arial" w:hAnsi="Arial" w:cs="Arial"/>
          <w:bCs/>
          <w:sz w:val="24"/>
          <w:lang w:val="en-US"/>
        </w:rPr>
        <w:t>6.20.2.2</w:t>
      </w:r>
    </w:p>
    <w:p w14:paraId="649EC1ED" w14:textId="385804EB" w:rsidR="00792278" w:rsidRPr="00420620"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14:paraId="39829E14" w14:textId="680F8650" w:rsidR="00446A67" w:rsidRPr="006732E5" w:rsidRDefault="00446A67" w:rsidP="00446A67">
      <w:pPr>
        <w:pStyle w:val="Heading1"/>
        <w:rPr>
          <w:rFonts w:cs="Arial"/>
        </w:rPr>
      </w:pPr>
      <w:bookmarkStart w:id="4" w:name="_Ref521334010"/>
      <w:bookmarkStart w:id="5" w:name="_Ref163021500"/>
      <w:r w:rsidRPr="006732E5">
        <w:rPr>
          <w:rFonts w:cs="Arial"/>
        </w:rPr>
        <w:t>Introduction</w:t>
      </w:r>
      <w:bookmarkEnd w:id="4"/>
    </w:p>
    <w:p w14:paraId="0DDBC4DF" w14:textId="7846A8D8" w:rsidR="00FA25C0" w:rsidRDefault="00FA25C0" w:rsidP="006C6637">
      <w:pPr>
        <w:spacing w:line="259" w:lineRule="auto"/>
        <w:jc w:val="both"/>
        <w:rPr>
          <w:rFonts w:eastAsia="Calibri"/>
          <w:color w:val="000000" w:themeColor="text1"/>
          <w:lang w:val="en-US"/>
        </w:rPr>
      </w:pPr>
      <w:r w:rsidRPr="00FA25C0">
        <w:rPr>
          <w:rFonts w:eastAsia="Calibri"/>
          <w:color w:val="000000" w:themeColor="text1"/>
          <w:lang w:val="en-US"/>
        </w:rPr>
        <w:t>In this contribution, we present overview of impact on existing BS RF TX requirements for SBFD slots</w:t>
      </w:r>
      <w:r>
        <w:rPr>
          <w:rFonts w:eastAsia="Calibri"/>
          <w:color w:val="000000" w:themeColor="text1"/>
          <w:lang w:val="en-US"/>
        </w:rPr>
        <w:t xml:space="preserve"> for </w:t>
      </w:r>
      <w:r w:rsidR="009165C8">
        <w:rPr>
          <w:rFonts w:eastAsia="Calibri"/>
          <w:color w:val="000000" w:themeColor="text1"/>
          <w:lang w:val="en-US"/>
        </w:rPr>
        <w:t>total dynamic range and u</w:t>
      </w:r>
      <w:r w:rsidR="009165C8" w:rsidRPr="009165C8">
        <w:rPr>
          <w:rFonts w:eastAsia="Calibri"/>
          <w:color w:val="000000" w:themeColor="text1"/>
          <w:lang w:val="en-US"/>
        </w:rPr>
        <w:t>nwanted emissions</w:t>
      </w:r>
      <w:r w:rsidR="009165C8">
        <w:rPr>
          <w:rFonts w:eastAsia="Calibri"/>
          <w:color w:val="000000" w:themeColor="text1"/>
          <w:lang w:val="en-US"/>
        </w:rPr>
        <w:t>.</w:t>
      </w:r>
    </w:p>
    <w:p w14:paraId="1F30F185" w14:textId="77777777" w:rsidR="00446A67" w:rsidRDefault="00446A67" w:rsidP="64B88B2D">
      <w:pPr>
        <w:widowControl w:val="0"/>
        <w:adjustRightInd w:val="0"/>
        <w:snapToGrid w:val="0"/>
        <w:jc w:val="both"/>
      </w:pPr>
    </w:p>
    <w:p w14:paraId="3D187333" w14:textId="10D0B15E" w:rsidR="003A4B9D" w:rsidRDefault="008F508F" w:rsidP="003A4B9D">
      <w:pPr>
        <w:pStyle w:val="Heading1"/>
        <w:rPr>
          <w:rFonts w:cs="Arial"/>
          <w:szCs w:val="32"/>
        </w:rPr>
      </w:pPr>
      <w:r>
        <w:rPr>
          <w:rFonts w:cs="Arial"/>
          <w:szCs w:val="32"/>
        </w:rPr>
        <w:t>Discussion</w:t>
      </w:r>
    </w:p>
    <w:p w14:paraId="06FAA869" w14:textId="77777777" w:rsidR="00387DC2" w:rsidRDefault="008C732C" w:rsidP="008F508F">
      <w:pPr>
        <w:pStyle w:val="Heading2"/>
      </w:pPr>
      <w:r w:rsidRPr="008C732C">
        <w:t>Output power dynamics</w:t>
      </w:r>
      <w:r w:rsidR="00297279" w:rsidRPr="00297279">
        <w:t xml:space="preserve"> </w:t>
      </w:r>
    </w:p>
    <w:p w14:paraId="313118F3" w14:textId="43A40904" w:rsidR="008F508F" w:rsidRPr="008F508F" w:rsidRDefault="00297279" w:rsidP="00387DC2">
      <w:pPr>
        <w:pStyle w:val="Heading3"/>
      </w:pPr>
      <w:r w:rsidRPr="00297279">
        <w:t>Total dynamic range</w:t>
      </w:r>
    </w:p>
    <w:p w14:paraId="37B45070" w14:textId="788FA03A" w:rsidR="008C732C" w:rsidRDefault="008C732C" w:rsidP="008C732C">
      <w:pPr>
        <w:jc w:val="both"/>
        <w:rPr>
          <w:rFonts w:cs="Arial"/>
        </w:rPr>
      </w:pPr>
    </w:p>
    <w:p w14:paraId="780A24E6" w14:textId="44511162" w:rsidR="009012BD" w:rsidRDefault="009012BD" w:rsidP="009012BD">
      <w:pPr>
        <w:spacing w:line="259" w:lineRule="auto"/>
        <w:ind w:firstLine="720"/>
        <w:jc w:val="both"/>
        <w:rPr>
          <w:rFonts w:eastAsia="Calibri"/>
          <w:color w:val="000000" w:themeColor="text1"/>
          <w:lang w:val="en-US"/>
        </w:rPr>
      </w:pPr>
      <w:r w:rsidRPr="5A9DB4B5">
        <w:rPr>
          <w:rFonts w:eastAsia="Calibri"/>
          <w:color w:val="000000" w:themeColor="text1"/>
          <w:lang w:val="en-US"/>
        </w:rPr>
        <w:t xml:space="preserve">In the RAN4 #112 </w:t>
      </w:r>
      <w:r w:rsidR="008B3193" w:rsidRPr="5A9DB4B5">
        <w:rPr>
          <w:rFonts w:eastAsia="Calibri"/>
          <w:color w:val="000000" w:themeColor="text1"/>
          <w:lang w:val="en-US"/>
        </w:rPr>
        <w:t>meeting,</w:t>
      </w:r>
      <w:r w:rsidRPr="5A9DB4B5">
        <w:rPr>
          <w:rFonts w:eastAsia="Calibri"/>
          <w:color w:val="000000" w:themeColor="text1"/>
          <w:lang w:val="en-US"/>
        </w:rPr>
        <w:t xml:space="preserve"> RAN4 agreed to formulate the total power dynamic range requirement for SBFD slots using an equation based on the declaration (of rated output power with all DL sub-band RBs active for SBFD) instead of the table used for the existing total power dynamic range requirement [1].</w:t>
      </w:r>
    </w:p>
    <w:p w14:paraId="3902BD1E" w14:textId="76AA1F73" w:rsidR="008C732C" w:rsidRPr="0070799E" w:rsidRDefault="009012BD" w:rsidP="009012BD">
      <w:pPr>
        <w:spacing w:line="259" w:lineRule="auto"/>
        <w:ind w:firstLine="720"/>
        <w:jc w:val="both"/>
        <w:rPr>
          <w:rFonts w:eastAsia="Calibri"/>
          <w:color w:val="000000" w:themeColor="text1"/>
          <w:lang w:val="en-US"/>
        </w:rPr>
      </w:pPr>
      <w:r w:rsidRPr="009012BD">
        <w:rPr>
          <w:rFonts w:eastAsia="Calibri"/>
          <w:color w:val="000000" w:themeColor="text1"/>
          <w:lang w:val="en-US"/>
        </w:rPr>
        <w:t>Also, as discussed in [</w:t>
      </w:r>
      <w:r w:rsidR="00AB7680">
        <w:rPr>
          <w:rFonts w:eastAsia="Calibri"/>
          <w:color w:val="000000" w:themeColor="text1"/>
          <w:lang w:val="en-US"/>
        </w:rPr>
        <w:t>2</w:t>
      </w:r>
      <w:r w:rsidRPr="009012BD">
        <w:rPr>
          <w:rFonts w:eastAsia="Calibri"/>
          <w:color w:val="000000" w:themeColor="text1"/>
          <w:lang w:val="en-US"/>
        </w:rPr>
        <w:t>] the agreement reached in RAN4 in the SI phase, the total power dynamic range requirement for SBFD is defined as the ratio of the declared rated output power with all DL sub-band RBs active for SBFD (maximum) and the same single RB power as non-SBFD (minimum).</w:t>
      </w:r>
    </w:p>
    <w:p w14:paraId="76CE5D02" w14:textId="77777777" w:rsidR="00162A81" w:rsidRDefault="00162A81" w:rsidP="008C732C">
      <w:pPr>
        <w:jc w:val="both"/>
        <w:rPr>
          <w:rFonts w:cs="Arial"/>
        </w:rPr>
      </w:pPr>
    </w:p>
    <w:p w14:paraId="522BC811" w14:textId="6D0FFD6C" w:rsidR="00162A81" w:rsidRPr="00E5642A" w:rsidRDefault="00E5642A" w:rsidP="00E5642A">
      <w:pPr>
        <w:rPr>
          <w:rFonts w:eastAsia="DengXian"/>
          <w:b/>
          <w:bCs/>
        </w:rPr>
      </w:pPr>
      <w:r w:rsidRPr="00D26EF8">
        <w:rPr>
          <w:rFonts w:eastAsia="DengXian"/>
          <w:b/>
          <w:bCs/>
        </w:rPr>
        <w:t xml:space="preserve">Proposal </w:t>
      </w:r>
      <w:r>
        <w:rPr>
          <w:rFonts w:eastAsia="DengXian"/>
          <w:b/>
          <w:bCs/>
        </w:rPr>
        <w:t>1</w:t>
      </w:r>
      <w:r w:rsidRPr="00D26EF8">
        <w:rPr>
          <w:rFonts w:eastAsia="DengXian"/>
          <w:b/>
          <w:bCs/>
        </w:rPr>
        <w:t>:</w:t>
      </w:r>
      <w:r>
        <w:rPr>
          <w:rFonts w:eastAsia="DengXian"/>
          <w:b/>
          <w:bCs/>
        </w:rPr>
        <w:t xml:space="preserve"> </w:t>
      </w:r>
      <w:r w:rsidR="0031706C">
        <w:rPr>
          <w:rFonts w:eastAsia="DengXian"/>
          <w:b/>
          <w:bCs/>
        </w:rPr>
        <w:t xml:space="preserve">We propose the </w:t>
      </w:r>
      <w:r w:rsidR="004531ED">
        <w:rPr>
          <w:rFonts w:eastAsia="DengXian"/>
          <w:b/>
          <w:bCs/>
        </w:rPr>
        <w:t xml:space="preserve">following equation for the total </w:t>
      </w:r>
      <w:r w:rsidR="00D865C7">
        <w:rPr>
          <w:rFonts w:eastAsia="DengXian"/>
          <w:b/>
          <w:bCs/>
        </w:rPr>
        <w:t xml:space="preserve">dynamic range </w:t>
      </w:r>
      <w:r w:rsidR="001612C8">
        <w:rPr>
          <w:rFonts w:eastAsia="DengXian"/>
          <w:b/>
          <w:bCs/>
        </w:rPr>
        <w:t>calculation.</w:t>
      </w:r>
      <w:r w:rsidR="00D865C7">
        <w:rPr>
          <w:rFonts w:eastAsia="DengXian"/>
          <w:b/>
          <w:bCs/>
        </w:rPr>
        <w:t xml:space="preserve"> </w:t>
      </w:r>
    </w:p>
    <w:p w14:paraId="6A8D84C7" w14:textId="77777777" w:rsidR="00162A81" w:rsidRDefault="00162A81" w:rsidP="008C732C">
      <w:pPr>
        <w:jc w:val="both"/>
        <w:rPr>
          <w:rFonts w:cs="Arial"/>
        </w:rPr>
      </w:pPr>
    </w:p>
    <w:p w14:paraId="2A9E598C" w14:textId="36B9C4D6" w:rsidR="008C732C" w:rsidRPr="002711F7" w:rsidRDefault="008C732C" w:rsidP="008C732C">
      <w:pPr>
        <w:rPr>
          <w:rFonts w:eastAsiaTheme="minorEastAsia"/>
        </w:rPr>
      </w:pPr>
      <m:oMathPara>
        <m:oMath>
          <m:r>
            <w:rPr>
              <w:rFonts w:ascii="Cambria Math" w:hAnsi="Cambria Math"/>
            </w:rPr>
            <m:t>Total power dynamic range=10*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Max</m:t>
                      </m:r>
                    </m:e>
                    <m:sub>
                      <m:r>
                        <w:rPr>
                          <w:rFonts w:ascii="Cambria Math" w:hAnsi="Cambria Math"/>
                        </w:rPr>
                        <m:t>active</m:t>
                      </m:r>
                    </m:sub>
                  </m:sSub>
                  <m:r>
                    <w:rPr>
                      <w:rFonts w:ascii="Cambria Math" w:hAnsi="Cambria Math"/>
                    </w:rPr>
                    <m:t>(N</m:t>
                  </m:r>
                </m:e>
                <m:sub>
                  <m:r>
                    <w:rPr>
                      <w:rFonts w:ascii="Cambria Math" w:hAnsi="Cambria Math"/>
                    </w:rPr>
                    <m:t>RB</m:t>
                  </m:r>
                </m:sub>
              </m:sSub>
              <m:r>
                <w:rPr>
                  <w:rFonts w:ascii="Cambria Math" w:hAnsi="Cambria Math"/>
                </w:rPr>
                <m:t>))</m:t>
              </m:r>
            </m:e>
          </m:func>
        </m:oMath>
      </m:oMathPara>
    </w:p>
    <w:p w14:paraId="14D306E1" w14:textId="77777777" w:rsidR="00A461D0" w:rsidRDefault="00A461D0" w:rsidP="002711F7">
      <w:pPr>
        <w:jc w:val="center"/>
        <w:rPr>
          <w:rFonts w:eastAsiaTheme="minorEastAsia"/>
        </w:rPr>
      </w:pPr>
    </w:p>
    <w:p w14:paraId="36B3C9E8" w14:textId="49A9DEBE" w:rsidR="002711F7" w:rsidRDefault="002711F7" w:rsidP="002711F7">
      <w:pPr>
        <w:jc w:val="center"/>
        <w:rPr>
          <w:rFonts w:eastAsiaTheme="minorEastAsia"/>
        </w:rPr>
      </w:pPr>
      <w:r>
        <w:rPr>
          <w:rFonts w:eastAsiaTheme="minorEastAsia"/>
        </w:rPr>
        <w:t>OR</w:t>
      </w:r>
    </w:p>
    <w:p w14:paraId="17DE201C" w14:textId="77777777" w:rsidR="008C732C" w:rsidRDefault="008C732C" w:rsidP="008C732C">
      <w:pPr>
        <w:rPr>
          <w:rFonts w:eastAsiaTheme="minorEastAsia"/>
        </w:rPr>
      </w:pPr>
      <m:oMathPara>
        <m:oMath>
          <m:r>
            <w:rPr>
              <w:rFonts w:ascii="Cambria Math" w:hAnsi="Cambria Math"/>
            </w:rPr>
            <m:t>Total power dynamic range=10*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CBW-2*GB</m:t>
                      </m:r>
                    </m:num>
                    <m:den>
                      <m:r>
                        <w:rPr>
                          <w:rFonts w:ascii="Cambria Math" w:hAnsi="Cambria Math"/>
                        </w:rPr>
                        <m:t>1RB</m:t>
                      </m:r>
                    </m:den>
                  </m:f>
                </m:e>
              </m:d>
            </m:e>
          </m:func>
        </m:oMath>
      </m:oMathPara>
    </w:p>
    <w:p w14:paraId="69028338" w14:textId="25A3673F" w:rsidR="003F6017" w:rsidRDefault="003F6017" w:rsidP="008C732C">
      <w:proofErr w:type="gramStart"/>
      <w:r>
        <w:t>where</w:t>
      </w:r>
      <w:proofErr w:type="gramEnd"/>
      <w:r>
        <w:t>,</w:t>
      </w:r>
    </w:p>
    <w:p w14:paraId="3F829A41" w14:textId="5FF22F04" w:rsidR="008C732C" w:rsidRDefault="008C732C" w:rsidP="008C732C">
      <w:r>
        <w:t>CBW</w:t>
      </w:r>
      <w:r w:rsidR="003F6017">
        <w:t xml:space="preserve"> is the</w:t>
      </w:r>
      <w:r>
        <w:t xml:space="preserve"> Channel BW</w:t>
      </w:r>
    </w:p>
    <w:p w14:paraId="10647F6A" w14:textId="77777777" w:rsidR="008C732C" w:rsidRDefault="008C732C" w:rsidP="008C732C">
      <w:r>
        <w:t>GB: Guard BW</w:t>
      </w:r>
    </w:p>
    <w:p w14:paraId="7A78CA24" w14:textId="6E46707A" w:rsidR="008C732C" w:rsidRDefault="008C732C" w:rsidP="008C732C">
      <w:r>
        <w:t>N</w:t>
      </w:r>
      <w:r w:rsidRPr="0080109F">
        <w:t>RB</w:t>
      </w:r>
      <w:r>
        <w:t>=</w:t>
      </w:r>
      <w:r w:rsidR="00471A93" w:rsidRPr="00471A93">
        <w:t xml:space="preserve"> </w:t>
      </w:r>
      <w:r w:rsidR="00471A93">
        <w:t>M</w:t>
      </w:r>
      <w:r w:rsidR="00471A93" w:rsidRPr="00471A93">
        <w:t xml:space="preserve">aximum transmission bandwidth configuration </w:t>
      </w:r>
    </w:p>
    <w:p w14:paraId="06EFAF9B" w14:textId="77777777" w:rsidR="008C732C" w:rsidRDefault="008C732C" w:rsidP="008C732C">
      <w:r>
        <w:t>1RB=1 Resource block BW</w:t>
      </w:r>
    </w:p>
    <w:p w14:paraId="4FC3F7DA" w14:textId="77777777" w:rsidR="008C732C" w:rsidRDefault="008C732C" w:rsidP="008C732C">
      <w:pPr>
        <w:jc w:val="both"/>
        <w:rPr>
          <w:rFonts w:cs="Arial"/>
        </w:rPr>
      </w:pPr>
    </w:p>
    <w:p w14:paraId="1A822E76" w14:textId="77777777" w:rsidR="00417DFC" w:rsidRDefault="00417DFC" w:rsidP="008C732C">
      <w:pPr>
        <w:jc w:val="both"/>
        <w:rPr>
          <w:rFonts w:cs="Arial"/>
        </w:rPr>
      </w:pPr>
    </w:p>
    <w:p w14:paraId="37C183C9" w14:textId="77777777" w:rsidR="00417DFC" w:rsidRDefault="00417DFC" w:rsidP="008C732C">
      <w:pPr>
        <w:jc w:val="both"/>
        <w:rPr>
          <w:rFonts w:cs="Arial"/>
        </w:rPr>
      </w:pPr>
    </w:p>
    <w:p w14:paraId="3B4C6796" w14:textId="77777777" w:rsidR="00417DFC" w:rsidRDefault="00417DFC" w:rsidP="008C732C">
      <w:pPr>
        <w:jc w:val="both"/>
        <w:rPr>
          <w:rFonts w:cs="Arial"/>
        </w:rPr>
      </w:pPr>
    </w:p>
    <w:p w14:paraId="061E49AA" w14:textId="77777777" w:rsidR="00417DFC" w:rsidRDefault="00417DFC" w:rsidP="008C732C">
      <w:pPr>
        <w:jc w:val="both"/>
        <w:rPr>
          <w:rFonts w:cs="Arial"/>
        </w:rPr>
      </w:pPr>
    </w:p>
    <w:p w14:paraId="45D25C80" w14:textId="77777777" w:rsidR="00417DFC" w:rsidRDefault="00417DFC" w:rsidP="008C732C">
      <w:pPr>
        <w:jc w:val="both"/>
        <w:rPr>
          <w:rFonts w:cs="Arial"/>
        </w:rPr>
      </w:pPr>
    </w:p>
    <w:p w14:paraId="646749EA" w14:textId="7C05252F" w:rsidR="005255EA" w:rsidRDefault="002E32BF" w:rsidP="00BD1B72">
      <w:pPr>
        <w:pStyle w:val="Heading2"/>
      </w:pPr>
      <w:r w:rsidRPr="002E32BF">
        <w:lastRenderedPageBreak/>
        <w:t>Unwanted emissions</w:t>
      </w:r>
    </w:p>
    <w:p w14:paraId="2720548E" w14:textId="00671461" w:rsidR="005255EA" w:rsidRDefault="005E2211" w:rsidP="00D77CEF">
      <w:pPr>
        <w:jc w:val="both"/>
      </w:pPr>
      <w:r>
        <w:t xml:space="preserve">In the RAN4 #112 meeting, RAN4 agreed to further study </w:t>
      </w:r>
      <w:r w:rsidR="00D77CEF">
        <w:t xml:space="preserve">on ACLR and OBUE </w:t>
      </w:r>
      <w:r>
        <w:t>with following agreement and WF [1].</w:t>
      </w:r>
    </w:p>
    <w:p w14:paraId="491ED05E" w14:textId="77777777" w:rsidR="00FA4D0F" w:rsidRDefault="00FA4D0F" w:rsidP="00D77CEF">
      <w:pPr>
        <w:jc w:val="both"/>
      </w:pPr>
    </w:p>
    <w:tbl>
      <w:tblPr>
        <w:tblStyle w:val="TableGrid"/>
        <w:tblW w:w="0" w:type="auto"/>
        <w:tblLook w:val="04A0" w:firstRow="1" w:lastRow="0" w:firstColumn="1" w:lastColumn="0" w:noHBand="0" w:noVBand="1"/>
      </w:tblPr>
      <w:tblGrid>
        <w:gridCol w:w="9350"/>
      </w:tblGrid>
      <w:tr w:rsidR="00FA4D0F" w14:paraId="49BB71BF" w14:textId="77777777" w:rsidTr="00FA4D0F">
        <w:tc>
          <w:tcPr>
            <w:tcW w:w="9350" w:type="dxa"/>
          </w:tcPr>
          <w:p w14:paraId="5076CE27" w14:textId="77777777" w:rsidR="00FA4D0F" w:rsidRPr="001D5540" w:rsidRDefault="00FA4D0F" w:rsidP="00FA4D0F">
            <w:pPr>
              <w:spacing w:after="120"/>
              <w:rPr>
                <w:color w:val="0070C0"/>
              </w:rPr>
            </w:pPr>
            <w:r w:rsidRPr="001D5540">
              <w:rPr>
                <w:b/>
              </w:rPr>
              <w:t>Agreement:</w:t>
            </w:r>
            <w:r w:rsidRPr="001D5540">
              <w:rPr>
                <w:color w:val="0070C0"/>
              </w:rPr>
              <w:t xml:space="preserve"> </w:t>
            </w:r>
          </w:p>
          <w:p w14:paraId="78CF7E43" w14:textId="77777777" w:rsidR="00FA4D0F" w:rsidRPr="001D5540" w:rsidRDefault="00FA4D0F" w:rsidP="00FA4D0F">
            <w:pPr>
              <w:pStyle w:val="ListParagraph"/>
              <w:numPr>
                <w:ilvl w:val="0"/>
                <w:numId w:val="24"/>
              </w:numPr>
              <w:overflowPunct w:val="0"/>
              <w:autoSpaceDE w:val="0"/>
              <w:autoSpaceDN w:val="0"/>
              <w:adjustRightInd w:val="0"/>
              <w:spacing w:after="180"/>
              <w:ind w:left="420"/>
              <w:textAlignment w:val="baseline"/>
              <w:rPr>
                <w:rFonts w:ascii="Times New Roman" w:eastAsiaTheme="minorEastAsia" w:hAnsi="Times New Roman"/>
                <w:sz w:val="20"/>
                <w:szCs w:val="20"/>
              </w:rPr>
            </w:pPr>
            <w:r w:rsidRPr="001D5540">
              <w:rPr>
                <w:rFonts w:ascii="Times New Roman" w:eastAsia="SimSun" w:hAnsi="Times New Roman"/>
                <w:sz w:val="20"/>
                <w:szCs w:val="20"/>
              </w:rPr>
              <w:t>When coexisting with legacy TDD system in adjacent channel, RAN4 shall apply the legacy ACLR and OBUE requirement for SBFD-capable BS</w:t>
            </w:r>
            <w:r w:rsidRPr="001D5540">
              <w:rPr>
                <w:rFonts w:ascii="Times New Roman" w:eastAsiaTheme="minorEastAsia" w:hAnsi="Times New Roman"/>
                <w:sz w:val="20"/>
                <w:szCs w:val="20"/>
              </w:rPr>
              <w:t>.</w:t>
            </w:r>
          </w:p>
          <w:p w14:paraId="4B2BD736" w14:textId="77777777" w:rsidR="00FA4D0F" w:rsidRPr="001D5540" w:rsidRDefault="00FA4D0F" w:rsidP="00FA4D0F">
            <w:pPr>
              <w:spacing w:after="120"/>
              <w:rPr>
                <w:color w:val="0070C0"/>
              </w:rPr>
            </w:pPr>
            <w:r w:rsidRPr="001D5540">
              <w:rPr>
                <w:b/>
              </w:rPr>
              <w:t>WF:</w:t>
            </w:r>
            <w:r w:rsidRPr="001D5540">
              <w:rPr>
                <w:color w:val="0070C0"/>
              </w:rPr>
              <w:t xml:space="preserve"> </w:t>
            </w:r>
          </w:p>
          <w:p w14:paraId="6BEC0AA8" w14:textId="77777777" w:rsidR="00FA4D0F" w:rsidRPr="001D5540" w:rsidRDefault="00FA4D0F" w:rsidP="00FA4D0F">
            <w:pPr>
              <w:pStyle w:val="ListParagraph"/>
              <w:numPr>
                <w:ilvl w:val="0"/>
                <w:numId w:val="24"/>
              </w:numPr>
              <w:overflowPunct w:val="0"/>
              <w:autoSpaceDE w:val="0"/>
              <w:autoSpaceDN w:val="0"/>
              <w:adjustRightInd w:val="0"/>
              <w:spacing w:after="180"/>
              <w:ind w:left="420"/>
              <w:textAlignment w:val="baseline"/>
              <w:rPr>
                <w:rFonts w:ascii="Times New Roman" w:eastAsiaTheme="minorEastAsia" w:hAnsi="Times New Roman"/>
                <w:sz w:val="20"/>
                <w:szCs w:val="20"/>
              </w:rPr>
            </w:pPr>
            <w:r w:rsidRPr="001D5540">
              <w:rPr>
                <w:rFonts w:ascii="Times New Roman" w:eastAsiaTheme="minorEastAsia" w:hAnsi="Times New Roman"/>
                <w:sz w:val="20"/>
                <w:szCs w:val="20"/>
              </w:rPr>
              <w:t>FFS on the followings:</w:t>
            </w:r>
          </w:p>
          <w:p w14:paraId="5961B947" w14:textId="77777777" w:rsidR="00FA4D0F" w:rsidRPr="005E2211" w:rsidRDefault="00FA4D0F" w:rsidP="00FA4D0F">
            <w:pPr>
              <w:pStyle w:val="ListParagraph"/>
              <w:numPr>
                <w:ilvl w:val="1"/>
                <w:numId w:val="24"/>
              </w:numPr>
              <w:overflowPunct w:val="0"/>
              <w:autoSpaceDE w:val="0"/>
              <w:autoSpaceDN w:val="0"/>
              <w:adjustRightInd w:val="0"/>
              <w:spacing w:after="180"/>
              <w:ind w:left="840"/>
              <w:jc w:val="both"/>
              <w:textAlignment w:val="baseline"/>
              <w:rPr>
                <w:rFonts w:ascii="Times New Roman" w:eastAsiaTheme="minorEastAsia" w:hAnsi="Times New Roman"/>
                <w:sz w:val="20"/>
                <w:szCs w:val="20"/>
              </w:rPr>
            </w:pPr>
            <w:r w:rsidRPr="001D5540">
              <w:rPr>
                <w:rFonts w:ascii="Times New Roman" w:hAnsi="Times New Roman"/>
                <w:color w:val="000000" w:themeColor="text1"/>
                <w:sz w:val="20"/>
                <w:szCs w:val="20"/>
              </w:rPr>
              <w:t xml:space="preserve">For FR1 macro deployments, when coexisting with new SBFD system in adjacent channel, RAN4 to define additional ACLR and/or OBUE requirement to ensure feasible coexistence with SBFD-capable </w:t>
            </w:r>
            <w:proofErr w:type="spellStart"/>
            <w:r w:rsidRPr="001D5540">
              <w:rPr>
                <w:rFonts w:ascii="Times New Roman" w:hAnsi="Times New Roman"/>
                <w:color w:val="000000" w:themeColor="text1"/>
                <w:sz w:val="20"/>
                <w:szCs w:val="20"/>
              </w:rPr>
              <w:t>gNB</w:t>
            </w:r>
            <w:proofErr w:type="spellEnd"/>
            <w:r w:rsidRPr="001D5540">
              <w:rPr>
                <w:rFonts w:ascii="Times New Roman" w:hAnsi="Times New Roman"/>
                <w:color w:val="000000" w:themeColor="text1"/>
                <w:sz w:val="20"/>
                <w:szCs w:val="20"/>
              </w:rPr>
              <w:t xml:space="preserve">. </w:t>
            </w:r>
          </w:p>
          <w:p w14:paraId="553412A0" w14:textId="42676135" w:rsidR="00FA4D0F" w:rsidRPr="00FA4D0F" w:rsidRDefault="00FA4D0F" w:rsidP="00D77CEF">
            <w:pPr>
              <w:pStyle w:val="ListParagraph"/>
              <w:numPr>
                <w:ilvl w:val="1"/>
                <w:numId w:val="24"/>
              </w:numPr>
              <w:overflowPunct w:val="0"/>
              <w:autoSpaceDE w:val="0"/>
              <w:autoSpaceDN w:val="0"/>
              <w:adjustRightInd w:val="0"/>
              <w:spacing w:after="180"/>
              <w:ind w:left="840"/>
              <w:jc w:val="both"/>
              <w:textAlignment w:val="baseline"/>
              <w:rPr>
                <w:rFonts w:ascii="Times New Roman" w:eastAsiaTheme="minorEastAsia" w:hAnsi="Times New Roman"/>
                <w:sz w:val="20"/>
                <w:szCs w:val="20"/>
              </w:rPr>
            </w:pPr>
            <w:r w:rsidRPr="001D5540">
              <w:rPr>
                <w:rFonts w:ascii="Times New Roman" w:hAnsi="Times New Roman"/>
                <w:color w:val="000000" w:themeColor="text1"/>
                <w:sz w:val="20"/>
                <w:szCs w:val="20"/>
              </w:rPr>
              <w:t>The assumption for the victim BS DESENS and CL of BS2BS is FFS.</w:t>
            </w:r>
          </w:p>
        </w:tc>
      </w:tr>
    </w:tbl>
    <w:p w14:paraId="4A25F661" w14:textId="77777777" w:rsidR="00FA4D0F" w:rsidRDefault="00FA4D0F" w:rsidP="00D77CEF">
      <w:pPr>
        <w:jc w:val="both"/>
      </w:pPr>
    </w:p>
    <w:p w14:paraId="74476E6C" w14:textId="77777777" w:rsidR="005E2211" w:rsidRDefault="005E2211" w:rsidP="00BD1B72"/>
    <w:p w14:paraId="115EF275" w14:textId="07E7E711" w:rsidR="009836C2" w:rsidRPr="00F14AF2" w:rsidRDefault="009836C2" w:rsidP="001C26FE">
      <w:pPr>
        <w:pStyle w:val="Heading3"/>
        <w:tabs>
          <w:tab w:val="left" w:pos="993"/>
        </w:tabs>
        <w:ind w:hanging="306"/>
        <w:rPr>
          <w:color w:val="000000" w:themeColor="text1"/>
        </w:rPr>
      </w:pPr>
      <w:r w:rsidRPr="5A9DB4B5">
        <w:rPr>
          <w:lang w:val="en-US"/>
        </w:rPr>
        <w:t>OBUE</w:t>
      </w:r>
    </w:p>
    <w:p w14:paraId="68AF6C31" w14:textId="6CA4C650" w:rsidR="006C5EE3" w:rsidRPr="006C5EE3" w:rsidRDefault="006C5EE3" w:rsidP="00B60C26">
      <w:pPr>
        <w:ind w:firstLine="720"/>
        <w:jc w:val="both"/>
        <w:rPr>
          <w:color w:val="000000" w:themeColor="text1"/>
        </w:rPr>
      </w:pPr>
      <w:r w:rsidRPr="4B68F1C3">
        <w:rPr>
          <w:color w:val="000000" w:themeColor="text1"/>
        </w:rPr>
        <w:t xml:space="preserve">We would like to present our views on FR1 macro deployments when coexisting with a new SBFD system in an adjacent channel, RAN4, to define additional ACLR and/or OBUE requirements to ensure feasible coexistence with SBFD-capable </w:t>
      </w:r>
      <w:proofErr w:type="spellStart"/>
      <w:r w:rsidRPr="4B68F1C3">
        <w:rPr>
          <w:color w:val="000000" w:themeColor="text1"/>
        </w:rPr>
        <w:t>gNB</w:t>
      </w:r>
      <w:proofErr w:type="spellEnd"/>
      <w:r w:rsidRPr="4B68F1C3">
        <w:rPr>
          <w:color w:val="000000" w:themeColor="text1"/>
        </w:rPr>
        <w:t xml:space="preserve">. In [3], the feasibility analysis of SBFD BS co-location has been discussed, where </w:t>
      </w:r>
      <w:r w:rsidR="60E285E5" w:rsidRPr="4B68F1C3">
        <w:rPr>
          <w:color w:val="000000" w:themeColor="text1"/>
        </w:rPr>
        <w:t>f</w:t>
      </w:r>
      <w:r w:rsidRPr="4B68F1C3">
        <w:rPr>
          <w:color w:val="000000" w:themeColor="text1"/>
        </w:rPr>
        <w:t xml:space="preserve">or FR1 aggressor WA BS, the output power is 49 dBm, the bandwidth of the channel is 100 MHz, and if we assume the degradation of victim BS sensitivity is 1 dB, the required total isolation between the two BSs is 144 dB, that is, the sum of ACLR, couple loss of co-location, and the rejection of RF BPF used after PA must be larger than 144 </w:t>
      </w:r>
      <w:proofErr w:type="spellStart"/>
      <w:r w:rsidRPr="4B68F1C3">
        <w:rPr>
          <w:color w:val="000000" w:themeColor="text1"/>
        </w:rPr>
        <w:t>dB.</w:t>
      </w:r>
      <w:proofErr w:type="spellEnd"/>
      <w:r w:rsidRPr="4B68F1C3">
        <w:rPr>
          <w:color w:val="000000" w:themeColor="text1"/>
        </w:rPr>
        <w:t> For FR1 macro-BS with the output power of 49 dBm and a 100 MHz bandwidth of channel, the adjacent +1 ACLR of 55 dB can be easily achieved with the help of the PA linearization technique. Moreover, due to the advancement in the Digital Predistortion (DPD) techniques for PA linearization, it is practically possible to achieve better than 55 dB of ACLR in adjacent +1 channels.</w:t>
      </w:r>
    </w:p>
    <w:p w14:paraId="28C728A0" w14:textId="4B89411B" w:rsidR="0069122D" w:rsidRDefault="006C5EE3" w:rsidP="006C5EE3">
      <w:pPr>
        <w:ind w:firstLine="720"/>
        <w:jc w:val="both"/>
        <w:rPr>
          <w:color w:val="000000" w:themeColor="text1"/>
        </w:rPr>
      </w:pPr>
      <w:r w:rsidRPr="006C5EE3">
        <w:rPr>
          <w:color w:val="000000" w:themeColor="text1"/>
        </w:rPr>
        <w:t xml:space="preserve">In the case of location, to achieve this value, we additionally propose the </w:t>
      </w:r>
      <w:proofErr w:type="spellStart"/>
      <w:r w:rsidRPr="006C5EE3">
        <w:rPr>
          <w:color w:val="000000" w:themeColor="text1"/>
        </w:rPr>
        <w:t>gNB-gNB</w:t>
      </w:r>
      <w:proofErr w:type="spellEnd"/>
      <w:r w:rsidRPr="006C5EE3">
        <w:rPr>
          <w:color w:val="000000" w:themeColor="text1"/>
        </w:rPr>
        <w:t xml:space="preserve"> CLI handling scheme to be introduced. Therefore, we revisit the feasibility analysis of SBFD BS co-location as discussed in [3].</w:t>
      </w:r>
    </w:p>
    <w:p w14:paraId="2C52FF8D" w14:textId="77777777" w:rsidR="0099181C" w:rsidRDefault="0099181C" w:rsidP="0069122D">
      <w:pPr>
        <w:ind w:firstLine="720"/>
        <w:jc w:val="both"/>
        <w:rPr>
          <w:color w:val="000000" w:themeColor="text1"/>
        </w:rPr>
      </w:pPr>
    </w:p>
    <w:p w14:paraId="22E1CE10" w14:textId="77777777" w:rsidR="00A07598" w:rsidRPr="005F42BE" w:rsidRDefault="00A07598" w:rsidP="00A07598">
      <w:pPr>
        <w:jc w:val="center"/>
        <w:rPr>
          <w:b/>
          <w:bCs/>
          <w:color w:val="000000" w:themeColor="text1"/>
        </w:rPr>
      </w:pPr>
      <w:r w:rsidRPr="005F42BE">
        <w:rPr>
          <w:rFonts w:hint="eastAsia"/>
          <w:b/>
          <w:bCs/>
          <w:color w:val="000000" w:themeColor="text1"/>
        </w:rPr>
        <w:t xml:space="preserve">Table 1: Feasibility analysis of SBFD BS co-location </w:t>
      </w:r>
    </w:p>
    <w:tbl>
      <w:tblPr>
        <w:tblStyle w:val="TableGrid"/>
        <w:tblW w:w="5449" w:type="dxa"/>
        <w:jc w:val="center"/>
        <w:tblLook w:val="04A0" w:firstRow="1" w:lastRow="0" w:firstColumn="1" w:lastColumn="0" w:noHBand="0" w:noVBand="1"/>
      </w:tblPr>
      <w:tblGrid>
        <w:gridCol w:w="4032"/>
        <w:gridCol w:w="1417"/>
      </w:tblGrid>
      <w:tr w:rsidR="00A07598" w14:paraId="479D1802" w14:textId="77777777" w:rsidTr="52484291">
        <w:trPr>
          <w:trHeight w:val="286"/>
          <w:jc w:val="center"/>
        </w:trPr>
        <w:tc>
          <w:tcPr>
            <w:tcW w:w="4032" w:type="dxa"/>
          </w:tcPr>
          <w:p w14:paraId="4BAB1188" w14:textId="77777777" w:rsidR="00A07598" w:rsidRPr="003C1EF0" w:rsidRDefault="00A07598" w:rsidP="0024117D">
            <w:pPr>
              <w:rPr>
                <w:color w:val="000000" w:themeColor="text1"/>
              </w:rPr>
            </w:pPr>
            <w:r>
              <w:rPr>
                <w:rFonts w:hint="eastAsia"/>
                <w:color w:val="000000" w:themeColor="text1"/>
              </w:rPr>
              <w:t>Parameters</w:t>
            </w:r>
          </w:p>
        </w:tc>
        <w:tc>
          <w:tcPr>
            <w:tcW w:w="1417" w:type="dxa"/>
          </w:tcPr>
          <w:p w14:paraId="7CCC6073" w14:textId="77777777" w:rsidR="00A07598" w:rsidRPr="003C1EF0" w:rsidRDefault="00A07598" w:rsidP="0024117D">
            <w:pPr>
              <w:rPr>
                <w:color w:val="000000" w:themeColor="text1"/>
              </w:rPr>
            </w:pPr>
            <w:r>
              <w:rPr>
                <w:rFonts w:hint="eastAsia"/>
                <w:color w:val="000000" w:themeColor="text1"/>
              </w:rPr>
              <w:t>Value</w:t>
            </w:r>
          </w:p>
        </w:tc>
      </w:tr>
      <w:tr w:rsidR="00A07598" w14:paraId="7BBC18AF" w14:textId="77777777" w:rsidTr="52484291">
        <w:trPr>
          <w:trHeight w:val="161"/>
          <w:jc w:val="center"/>
        </w:trPr>
        <w:tc>
          <w:tcPr>
            <w:tcW w:w="4032" w:type="dxa"/>
          </w:tcPr>
          <w:p w14:paraId="70AEE4DB" w14:textId="77777777" w:rsidR="00A07598" w:rsidRPr="003C1EF0" w:rsidRDefault="00A07598" w:rsidP="0024117D">
            <w:pPr>
              <w:rPr>
                <w:color w:val="000000" w:themeColor="text1"/>
              </w:rPr>
            </w:pPr>
            <w:r>
              <w:rPr>
                <w:color w:val="000000" w:themeColor="text1"/>
              </w:rPr>
              <w:t>Out</w:t>
            </w:r>
            <w:r>
              <w:rPr>
                <w:rFonts w:hint="eastAsia"/>
                <w:color w:val="000000" w:themeColor="text1"/>
              </w:rPr>
              <w:t>put power(dBm)</w:t>
            </w:r>
          </w:p>
        </w:tc>
        <w:tc>
          <w:tcPr>
            <w:tcW w:w="1417" w:type="dxa"/>
          </w:tcPr>
          <w:p w14:paraId="008EA77D" w14:textId="05EAE506" w:rsidR="00A07598" w:rsidRPr="003C1EF0" w:rsidRDefault="00A07598" w:rsidP="0024117D">
            <w:pPr>
              <w:rPr>
                <w:color w:val="000000" w:themeColor="text1"/>
              </w:rPr>
            </w:pPr>
            <w:r w:rsidRPr="76C15DBD">
              <w:rPr>
                <w:color w:val="000000" w:themeColor="text1"/>
              </w:rPr>
              <w:t>49</w:t>
            </w:r>
          </w:p>
        </w:tc>
      </w:tr>
      <w:tr w:rsidR="00A07598" w14:paraId="7C21BDF2" w14:textId="77777777" w:rsidTr="52484291">
        <w:trPr>
          <w:trHeight w:val="263"/>
          <w:jc w:val="center"/>
        </w:trPr>
        <w:tc>
          <w:tcPr>
            <w:tcW w:w="4032" w:type="dxa"/>
          </w:tcPr>
          <w:p w14:paraId="7A0BED34" w14:textId="77777777" w:rsidR="00A07598" w:rsidRPr="003C1EF0" w:rsidRDefault="00A07598" w:rsidP="0024117D">
            <w:pPr>
              <w:rPr>
                <w:color w:val="000000" w:themeColor="text1"/>
              </w:rPr>
            </w:pPr>
            <w:r>
              <w:rPr>
                <w:rFonts w:hint="eastAsia"/>
                <w:color w:val="000000" w:themeColor="text1"/>
              </w:rPr>
              <w:t>BW(MHz)</w:t>
            </w:r>
          </w:p>
        </w:tc>
        <w:tc>
          <w:tcPr>
            <w:tcW w:w="1417" w:type="dxa"/>
          </w:tcPr>
          <w:p w14:paraId="3697E465" w14:textId="77777777" w:rsidR="00A07598" w:rsidRPr="003C1EF0" w:rsidRDefault="00A07598" w:rsidP="0024117D">
            <w:pPr>
              <w:rPr>
                <w:color w:val="000000" w:themeColor="text1"/>
              </w:rPr>
            </w:pPr>
            <w:r>
              <w:rPr>
                <w:rFonts w:hint="eastAsia"/>
                <w:color w:val="000000" w:themeColor="text1"/>
              </w:rPr>
              <w:t>100</w:t>
            </w:r>
          </w:p>
        </w:tc>
      </w:tr>
      <w:tr w:rsidR="00A07598" w14:paraId="3BF09BB6" w14:textId="77777777" w:rsidTr="52484291">
        <w:trPr>
          <w:trHeight w:val="281"/>
          <w:jc w:val="center"/>
        </w:trPr>
        <w:tc>
          <w:tcPr>
            <w:tcW w:w="4032" w:type="dxa"/>
          </w:tcPr>
          <w:p w14:paraId="3580E327" w14:textId="77777777" w:rsidR="00A07598" w:rsidRPr="00255931" w:rsidRDefault="00A07598" w:rsidP="0024117D">
            <w:pPr>
              <w:rPr>
                <w:color w:val="000000" w:themeColor="text1"/>
              </w:rPr>
            </w:pPr>
            <w:r w:rsidRPr="6DDC956C">
              <w:rPr>
                <w:color w:val="000000" w:themeColor="text1"/>
              </w:rPr>
              <w:t>Degradation of victim BS sensitivity(dB)</w:t>
            </w:r>
          </w:p>
        </w:tc>
        <w:tc>
          <w:tcPr>
            <w:tcW w:w="1417" w:type="dxa"/>
          </w:tcPr>
          <w:p w14:paraId="2C971AEC" w14:textId="77777777" w:rsidR="00A07598" w:rsidRPr="00255931" w:rsidRDefault="00A07598" w:rsidP="0024117D">
            <w:pPr>
              <w:rPr>
                <w:color w:val="000000" w:themeColor="text1"/>
              </w:rPr>
            </w:pPr>
            <w:r w:rsidRPr="6DDC956C">
              <w:rPr>
                <w:color w:val="000000" w:themeColor="text1"/>
              </w:rPr>
              <w:t>1</w:t>
            </w:r>
          </w:p>
        </w:tc>
      </w:tr>
      <w:tr w:rsidR="00A07598" w14:paraId="4C5E6DF6" w14:textId="77777777" w:rsidTr="52484291">
        <w:trPr>
          <w:trHeight w:val="273"/>
          <w:jc w:val="center"/>
        </w:trPr>
        <w:tc>
          <w:tcPr>
            <w:tcW w:w="4032" w:type="dxa"/>
          </w:tcPr>
          <w:p w14:paraId="18927601" w14:textId="77777777" w:rsidR="00A07598" w:rsidRPr="00255931" w:rsidRDefault="00A07598" w:rsidP="0024117D">
            <w:pPr>
              <w:rPr>
                <w:color w:val="000000" w:themeColor="text1"/>
              </w:rPr>
            </w:pPr>
            <w:r w:rsidRPr="00255931">
              <w:rPr>
                <w:rFonts w:hint="eastAsia"/>
                <w:color w:val="000000" w:themeColor="text1"/>
              </w:rPr>
              <w:t>Required total isolation(dB)</w:t>
            </w:r>
          </w:p>
        </w:tc>
        <w:tc>
          <w:tcPr>
            <w:tcW w:w="1417" w:type="dxa"/>
          </w:tcPr>
          <w:p w14:paraId="45C5B285" w14:textId="77777777" w:rsidR="00A07598" w:rsidRPr="00255931" w:rsidRDefault="00A07598" w:rsidP="0024117D">
            <w:pPr>
              <w:rPr>
                <w:color w:val="000000" w:themeColor="text1"/>
              </w:rPr>
            </w:pPr>
            <w:r w:rsidRPr="00255931">
              <w:rPr>
                <w:rFonts w:hint="eastAsia"/>
                <w:color w:val="000000" w:themeColor="text1"/>
              </w:rPr>
              <w:t>144</w:t>
            </w:r>
          </w:p>
        </w:tc>
      </w:tr>
      <w:tr w:rsidR="00A07598" w14:paraId="5B7B2B06" w14:textId="77777777" w:rsidTr="52484291">
        <w:trPr>
          <w:trHeight w:val="276"/>
          <w:jc w:val="center"/>
        </w:trPr>
        <w:tc>
          <w:tcPr>
            <w:tcW w:w="4032" w:type="dxa"/>
          </w:tcPr>
          <w:p w14:paraId="5DAD4172" w14:textId="3B6E8380" w:rsidR="00A07598" w:rsidRPr="00255931" w:rsidRDefault="00A07598" w:rsidP="0024117D">
            <w:pPr>
              <w:rPr>
                <w:color w:val="000000" w:themeColor="text1"/>
              </w:rPr>
            </w:pPr>
            <w:r w:rsidRPr="52484291">
              <w:rPr>
                <w:color w:val="000000" w:themeColor="text1"/>
              </w:rPr>
              <w:t>Adjacent +</w:t>
            </w:r>
            <w:r w:rsidR="34FE2212" w:rsidRPr="52484291">
              <w:rPr>
                <w:color w:val="000000" w:themeColor="text1"/>
              </w:rPr>
              <w:t>1 (</w:t>
            </w:r>
            <w:r w:rsidRPr="52484291">
              <w:rPr>
                <w:color w:val="000000" w:themeColor="text1"/>
              </w:rPr>
              <w:t>2</w:t>
            </w:r>
            <w:r w:rsidRPr="52484291">
              <w:rPr>
                <w:color w:val="000000" w:themeColor="text1"/>
                <w:vertAlign w:val="superscript"/>
              </w:rPr>
              <w:t>nd</w:t>
            </w:r>
            <w:r w:rsidRPr="52484291">
              <w:rPr>
                <w:color w:val="000000" w:themeColor="text1"/>
              </w:rPr>
              <w:t>) ACLR (dB)</w:t>
            </w:r>
          </w:p>
        </w:tc>
        <w:tc>
          <w:tcPr>
            <w:tcW w:w="1417" w:type="dxa"/>
          </w:tcPr>
          <w:p w14:paraId="5AB48C67" w14:textId="77777777" w:rsidR="00A07598" w:rsidRPr="00255931" w:rsidRDefault="00A07598" w:rsidP="0024117D">
            <w:pPr>
              <w:rPr>
                <w:color w:val="000000" w:themeColor="text1"/>
              </w:rPr>
            </w:pPr>
            <w:r w:rsidRPr="76C15DBD">
              <w:rPr>
                <w:color w:val="000000" w:themeColor="text1"/>
              </w:rPr>
              <w:t>55</w:t>
            </w:r>
          </w:p>
        </w:tc>
      </w:tr>
      <w:tr w:rsidR="00A07598" w14:paraId="200AA581" w14:textId="77777777" w:rsidTr="52484291">
        <w:trPr>
          <w:trHeight w:val="267"/>
          <w:jc w:val="center"/>
        </w:trPr>
        <w:tc>
          <w:tcPr>
            <w:tcW w:w="4032" w:type="dxa"/>
          </w:tcPr>
          <w:p w14:paraId="1F2E7CB1" w14:textId="77777777" w:rsidR="00A07598" w:rsidRPr="00255931" w:rsidRDefault="00A07598" w:rsidP="0024117D">
            <w:pPr>
              <w:rPr>
                <w:color w:val="000000" w:themeColor="text1"/>
              </w:rPr>
            </w:pPr>
            <w:r w:rsidRPr="00255931">
              <w:rPr>
                <w:rFonts w:hint="eastAsia"/>
                <w:color w:val="000000" w:themeColor="text1"/>
              </w:rPr>
              <w:t>Coupling loss of co-location</w:t>
            </w:r>
            <w:r w:rsidRPr="00255931">
              <w:rPr>
                <w:color w:val="000000" w:themeColor="text1"/>
              </w:rPr>
              <w:t xml:space="preserve"> </w:t>
            </w:r>
            <w:r w:rsidRPr="00255931">
              <w:rPr>
                <w:rFonts w:hint="eastAsia"/>
                <w:color w:val="000000" w:themeColor="text1"/>
              </w:rPr>
              <w:t>(dB)</w:t>
            </w:r>
          </w:p>
        </w:tc>
        <w:tc>
          <w:tcPr>
            <w:tcW w:w="1417" w:type="dxa"/>
          </w:tcPr>
          <w:p w14:paraId="55726146" w14:textId="77777777" w:rsidR="00A07598" w:rsidRPr="00255931" w:rsidRDefault="00A07598" w:rsidP="0024117D">
            <w:pPr>
              <w:rPr>
                <w:color w:val="000000" w:themeColor="text1"/>
              </w:rPr>
            </w:pPr>
            <w:r w:rsidRPr="00255931">
              <w:rPr>
                <w:rFonts w:hint="eastAsia"/>
                <w:color w:val="000000" w:themeColor="text1"/>
              </w:rPr>
              <w:t>30</w:t>
            </w:r>
          </w:p>
        </w:tc>
      </w:tr>
      <w:tr w:rsidR="00A07598" w14:paraId="21A71796" w14:textId="77777777" w:rsidTr="52484291">
        <w:trPr>
          <w:trHeight w:val="426"/>
          <w:jc w:val="center"/>
        </w:trPr>
        <w:tc>
          <w:tcPr>
            <w:tcW w:w="4032" w:type="dxa"/>
          </w:tcPr>
          <w:p w14:paraId="537C0EFE" w14:textId="77777777" w:rsidR="00A07598" w:rsidRDefault="00A07598" w:rsidP="0024117D">
            <w:pPr>
              <w:rPr>
                <w:color w:val="000000" w:themeColor="text1"/>
              </w:rPr>
            </w:pPr>
            <w:r>
              <w:rPr>
                <w:rFonts w:hint="eastAsia"/>
                <w:color w:val="000000" w:themeColor="text1"/>
              </w:rPr>
              <w:t>R</w:t>
            </w:r>
            <w:r w:rsidRPr="0066754C">
              <w:rPr>
                <w:rFonts w:hint="eastAsia"/>
                <w:color w:val="000000" w:themeColor="text1"/>
              </w:rPr>
              <w:t>ejection of RF BPF used after PA</w:t>
            </w:r>
            <w:r w:rsidRPr="0066754C">
              <w:rPr>
                <w:color w:val="000000" w:themeColor="text1"/>
              </w:rPr>
              <w:t xml:space="preserve"> </w:t>
            </w:r>
            <w:r>
              <w:rPr>
                <w:rFonts w:hint="eastAsia"/>
                <w:color w:val="000000" w:themeColor="text1"/>
              </w:rPr>
              <w:t>(dB)</w:t>
            </w:r>
          </w:p>
        </w:tc>
        <w:tc>
          <w:tcPr>
            <w:tcW w:w="1417" w:type="dxa"/>
          </w:tcPr>
          <w:p w14:paraId="59580AE7" w14:textId="77777777" w:rsidR="00A07598" w:rsidRDefault="00A07598" w:rsidP="0024117D">
            <w:pPr>
              <w:rPr>
                <w:color w:val="000000" w:themeColor="text1"/>
              </w:rPr>
            </w:pPr>
            <w:r>
              <w:rPr>
                <w:color w:val="000000" w:themeColor="text1"/>
              </w:rPr>
              <w:t>59</w:t>
            </w:r>
          </w:p>
        </w:tc>
      </w:tr>
    </w:tbl>
    <w:p w14:paraId="22409CE7" w14:textId="77777777" w:rsidR="00A07598" w:rsidRDefault="00A07598" w:rsidP="00A07598">
      <w:pPr>
        <w:jc w:val="both"/>
        <w:rPr>
          <w:color w:val="000000" w:themeColor="text1"/>
        </w:rPr>
      </w:pPr>
    </w:p>
    <w:p w14:paraId="230CE640" w14:textId="6D80D80E" w:rsidR="004E7E16" w:rsidRDefault="004E7E16" w:rsidP="004E4725">
      <w:pPr>
        <w:jc w:val="both"/>
        <w:rPr>
          <w:color w:val="000000" w:themeColor="text1"/>
        </w:rPr>
      </w:pPr>
    </w:p>
    <w:p w14:paraId="540C9351" w14:textId="77777777" w:rsidR="005F42BE" w:rsidRDefault="005F42BE" w:rsidP="006672BD">
      <w:pPr>
        <w:jc w:val="both"/>
        <w:rPr>
          <w:color w:val="000000" w:themeColor="text1"/>
        </w:rPr>
      </w:pPr>
    </w:p>
    <w:p w14:paraId="3BAE1B1F" w14:textId="13E4312A" w:rsidR="00713B4E" w:rsidRDefault="00713B4E" w:rsidP="6DDC956C">
      <w:pPr>
        <w:jc w:val="both"/>
        <w:rPr>
          <w:b/>
          <w:bCs/>
          <w:color w:val="000000" w:themeColor="text1"/>
          <w:lang w:val="en-US"/>
        </w:rPr>
      </w:pPr>
      <w:r w:rsidRPr="6DDC956C">
        <w:rPr>
          <w:b/>
          <w:bCs/>
          <w:color w:val="000000" w:themeColor="text1"/>
          <w:lang w:val="en-US" w:eastAsia="zh-CN"/>
        </w:rPr>
        <w:t xml:space="preserve">Proposal </w:t>
      </w:r>
      <w:r w:rsidR="001E0C58">
        <w:rPr>
          <w:b/>
          <w:bCs/>
          <w:color w:val="000000" w:themeColor="text1"/>
          <w:lang w:val="en-US" w:eastAsia="zh-CN"/>
        </w:rPr>
        <w:t>2</w:t>
      </w:r>
      <w:r w:rsidRPr="6DDC956C">
        <w:rPr>
          <w:b/>
          <w:bCs/>
          <w:color w:val="000000" w:themeColor="text1"/>
          <w:lang w:val="en-US" w:eastAsia="zh-CN"/>
        </w:rPr>
        <w:t>:</w:t>
      </w:r>
      <w:r w:rsidRPr="6DDC956C">
        <w:rPr>
          <w:b/>
          <w:bCs/>
          <w:color w:val="000000" w:themeColor="text1"/>
          <w:lang w:val="en-US"/>
        </w:rPr>
        <w:t xml:space="preserve"> </w:t>
      </w:r>
      <w:r w:rsidR="00017A0F" w:rsidRPr="00017A0F">
        <w:rPr>
          <w:b/>
          <w:bCs/>
          <w:color w:val="000000" w:themeColor="text1"/>
          <w:lang w:val="en-US"/>
        </w:rPr>
        <w:t xml:space="preserve">We would like to propose that the minimum requirement for ACLR in the adjacent +1 channel should be 55 </w:t>
      </w:r>
      <w:proofErr w:type="spellStart"/>
      <w:r w:rsidR="00017A0F" w:rsidRPr="00017A0F">
        <w:rPr>
          <w:b/>
          <w:bCs/>
          <w:color w:val="000000" w:themeColor="text1"/>
          <w:lang w:val="en-US"/>
        </w:rPr>
        <w:t>dBc</w:t>
      </w:r>
      <w:proofErr w:type="spellEnd"/>
      <w:r w:rsidR="00017A0F" w:rsidRPr="00017A0F">
        <w:rPr>
          <w:b/>
          <w:bCs/>
          <w:color w:val="000000" w:themeColor="text1"/>
          <w:lang w:val="en-US"/>
        </w:rPr>
        <w:t xml:space="preserve"> for 100 MHz channel BW; therefore, rejection of RF BPF used after PA can be practically realized.</w:t>
      </w:r>
    </w:p>
    <w:p w14:paraId="239ECA18" w14:textId="77777777" w:rsidR="00457E9B" w:rsidRDefault="00457E9B" w:rsidP="006672BD">
      <w:pPr>
        <w:jc w:val="both"/>
        <w:rPr>
          <w:b/>
          <w:color w:val="000000" w:themeColor="text1"/>
          <w:szCs w:val="21"/>
          <w:lang w:val="en-US"/>
        </w:rPr>
      </w:pPr>
    </w:p>
    <w:p w14:paraId="766C47D6" w14:textId="77777777" w:rsidR="00385AF5" w:rsidRPr="00F14AF2" w:rsidRDefault="00385AF5" w:rsidP="00385AF5">
      <w:pPr>
        <w:pStyle w:val="Heading3"/>
        <w:numPr>
          <w:ilvl w:val="2"/>
          <w:numId w:val="36"/>
        </w:numPr>
        <w:rPr>
          <w:szCs w:val="28"/>
          <w:lang w:val="en-US"/>
        </w:rPr>
      </w:pPr>
      <w:r w:rsidRPr="00F14AF2">
        <w:rPr>
          <w:szCs w:val="28"/>
          <w:lang w:val="en-US"/>
        </w:rPr>
        <w:lastRenderedPageBreak/>
        <w:t>Co-location ACLR</w:t>
      </w:r>
    </w:p>
    <w:p w14:paraId="45A453F7" w14:textId="6E1C0910" w:rsidR="00014D77" w:rsidRDefault="00014D77" w:rsidP="00385AF5">
      <w:pPr>
        <w:jc w:val="both"/>
        <w:rPr>
          <w:lang w:val="en-US"/>
        </w:rPr>
      </w:pPr>
      <w:r>
        <w:rPr>
          <w:lang w:val="en-US"/>
        </w:rPr>
        <w:t xml:space="preserve">Based on the above OBUE discussion the minimum ACLR required </w:t>
      </w:r>
      <w:r w:rsidR="004F6CD1">
        <w:rPr>
          <w:lang w:val="en-US"/>
        </w:rPr>
        <w:t xml:space="preserve">as mentioned </w:t>
      </w:r>
      <w:r w:rsidR="00023596">
        <w:rPr>
          <w:lang w:val="en-US"/>
        </w:rPr>
        <w:t>in TR 38.858</w:t>
      </w:r>
      <w:r w:rsidR="005F42BE">
        <w:rPr>
          <w:lang w:val="en-US"/>
        </w:rPr>
        <w:t xml:space="preserve"> </w:t>
      </w:r>
      <w:r w:rsidR="00173BA9">
        <w:rPr>
          <w:lang w:val="en-US"/>
        </w:rPr>
        <w:t>[4]</w:t>
      </w:r>
      <w:r w:rsidR="00023596">
        <w:rPr>
          <w:lang w:val="en-US"/>
        </w:rPr>
        <w:t xml:space="preserve"> </w:t>
      </w:r>
      <w:r w:rsidR="004F6CD1">
        <w:rPr>
          <w:lang w:val="en-US"/>
        </w:rPr>
        <w:t>“</w:t>
      </w:r>
      <w:r w:rsidR="004F6CD1" w:rsidRPr="004F6CD1">
        <w:rPr>
          <w:lang w:val="en-US"/>
        </w:rPr>
        <w:t>For ACLR requirement, it shall be defined outside of the whole carrier instead of sub-band for SBFD DL symbols/slots and ACLR requirement is still defined as the ratio of sum of TX power within the whole carrier to the adjacent carrier.</w:t>
      </w:r>
      <w:r w:rsidR="004F6CD1">
        <w:rPr>
          <w:lang w:val="en-US"/>
        </w:rPr>
        <w:t>”</w:t>
      </w:r>
    </w:p>
    <w:p w14:paraId="40210F44" w14:textId="3A7638A6" w:rsidR="0039552E" w:rsidRDefault="0039552E" w:rsidP="00385AF5">
      <w:pPr>
        <w:jc w:val="both"/>
        <w:rPr>
          <w:lang w:val="en-US"/>
        </w:rPr>
      </w:pPr>
      <w:r>
        <w:rPr>
          <w:lang w:val="en-US"/>
        </w:rPr>
        <w:t xml:space="preserve">The </w:t>
      </w:r>
      <w:r w:rsidRPr="0039552E">
        <w:rPr>
          <w:lang w:val="en-US"/>
        </w:rPr>
        <w:t>manufacturer will declare whether support co-location requirements in SBFD symbols/slots.</w:t>
      </w:r>
    </w:p>
    <w:p w14:paraId="4DD3384C" w14:textId="77777777" w:rsidR="00014D77" w:rsidRDefault="00014D77" w:rsidP="00385AF5">
      <w:pPr>
        <w:jc w:val="both"/>
        <w:rPr>
          <w:lang w:val="en-US"/>
        </w:rPr>
      </w:pPr>
    </w:p>
    <w:p w14:paraId="75FD2156" w14:textId="060E7000" w:rsidR="00C52A1A" w:rsidRPr="008975FF" w:rsidRDefault="008975FF" w:rsidP="00385AF5">
      <w:pPr>
        <w:jc w:val="both"/>
        <w:rPr>
          <w:b/>
          <w:bCs/>
          <w:lang w:val="en-US"/>
        </w:rPr>
      </w:pPr>
      <w:r w:rsidRPr="6DDC956C">
        <w:rPr>
          <w:b/>
          <w:bCs/>
          <w:color w:val="000000" w:themeColor="text1"/>
          <w:lang w:val="en-US" w:eastAsia="zh-CN"/>
        </w:rPr>
        <w:t xml:space="preserve">Proposal </w:t>
      </w:r>
      <w:r w:rsidR="00925555">
        <w:rPr>
          <w:b/>
          <w:bCs/>
          <w:color w:val="000000" w:themeColor="text1"/>
          <w:lang w:val="en-US" w:eastAsia="zh-CN"/>
        </w:rPr>
        <w:t>3</w:t>
      </w:r>
      <w:r w:rsidRPr="6DDC956C">
        <w:rPr>
          <w:b/>
          <w:bCs/>
          <w:color w:val="000000" w:themeColor="text1"/>
          <w:lang w:val="en-US" w:eastAsia="zh-CN"/>
        </w:rPr>
        <w:t>:</w:t>
      </w:r>
      <w:r w:rsidRPr="6DDC956C">
        <w:rPr>
          <w:b/>
          <w:bCs/>
          <w:color w:val="000000" w:themeColor="text1"/>
          <w:lang w:val="en-US"/>
        </w:rPr>
        <w:t xml:space="preserve"> </w:t>
      </w:r>
      <w:r w:rsidR="001B7500" w:rsidRPr="001B7500">
        <w:rPr>
          <w:b/>
          <w:bCs/>
          <w:lang w:val="en-US"/>
        </w:rPr>
        <w:t>The minimum colocation ACLR can be -50dBc for 100MHz considering applicability of CLI scheme in adjacent channel or deployment restrictions</w:t>
      </w:r>
      <w:r w:rsidR="002D360B" w:rsidRPr="6DDC956C">
        <w:rPr>
          <w:b/>
          <w:bCs/>
          <w:lang w:val="en-US"/>
        </w:rPr>
        <w:t>.</w:t>
      </w:r>
    </w:p>
    <w:p w14:paraId="05BB3C11" w14:textId="0708C1BD" w:rsidR="0039552E" w:rsidRDefault="00C52A1A" w:rsidP="00385AF5">
      <w:pPr>
        <w:jc w:val="both"/>
        <w:rPr>
          <w:lang w:val="en-US"/>
        </w:rPr>
      </w:pPr>
      <w:r>
        <w:rPr>
          <w:lang w:val="en-US"/>
        </w:rPr>
        <w:t xml:space="preserve"> </w:t>
      </w:r>
    </w:p>
    <w:p w14:paraId="39D8FC7F" w14:textId="77777777" w:rsidR="00446A67" w:rsidRPr="006746E6" w:rsidRDefault="00446A67" w:rsidP="00446A67">
      <w:pPr>
        <w:pStyle w:val="Heading1"/>
        <w:rPr>
          <w:rFonts w:cs="Arial"/>
        </w:rPr>
      </w:pPr>
      <w:r w:rsidRPr="006746E6">
        <w:rPr>
          <w:rFonts w:cs="Arial"/>
        </w:rPr>
        <w:t>Conclusion</w:t>
      </w:r>
    </w:p>
    <w:p w14:paraId="14023231" w14:textId="7F99B085" w:rsidR="00222EBF" w:rsidRDefault="00222EBF" w:rsidP="00222EBF">
      <w:pPr>
        <w:jc w:val="both"/>
      </w:pPr>
      <w:r w:rsidRPr="00222EBF">
        <w:t xml:space="preserve">In this contribution, we want to share </w:t>
      </w:r>
      <w:r>
        <w:t>our</w:t>
      </w:r>
      <w:r w:rsidRPr="00222EBF">
        <w:t xml:space="preserve"> views on RF</w:t>
      </w:r>
      <w:r>
        <w:t xml:space="preserve"> TX</w:t>
      </w:r>
      <w:r w:rsidRPr="00222EBF">
        <w:t xml:space="preserve"> requirements for SBFD BS are made as following:</w:t>
      </w:r>
    </w:p>
    <w:p w14:paraId="0C2C2769" w14:textId="77777777" w:rsidR="00222EBF" w:rsidRDefault="00222EBF" w:rsidP="003F1497"/>
    <w:p w14:paraId="0A47BA99" w14:textId="77777777" w:rsidR="001E0C58" w:rsidRPr="00E5642A" w:rsidRDefault="001E0C58" w:rsidP="001E0C58">
      <w:pPr>
        <w:rPr>
          <w:rFonts w:eastAsia="DengXian"/>
          <w:b/>
          <w:bCs/>
        </w:rPr>
      </w:pPr>
      <w:r w:rsidRPr="00D26EF8">
        <w:rPr>
          <w:rFonts w:eastAsia="DengXian"/>
          <w:b/>
          <w:bCs/>
        </w:rPr>
        <w:t xml:space="preserve">Proposal </w:t>
      </w:r>
      <w:r>
        <w:rPr>
          <w:rFonts w:eastAsia="DengXian"/>
          <w:b/>
          <w:bCs/>
        </w:rPr>
        <w:t>1</w:t>
      </w:r>
      <w:r w:rsidRPr="00D26EF8">
        <w:rPr>
          <w:rFonts w:eastAsia="DengXian"/>
          <w:b/>
          <w:bCs/>
        </w:rPr>
        <w:t>:</w:t>
      </w:r>
      <w:r>
        <w:rPr>
          <w:rFonts w:eastAsia="DengXian"/>
          <w:b/>
          <w:bCs/>
        </w:rPr>
        <w:t xml:space="preserve"> We propose the following equation for the total dynamic range calculation. </w:t>
      </w:r>
    </w:p>
    <w:p w14:paraId="7CCE2AF6" w14:textId="77777777" w:rsidR="001E0C58" w:rsidRDefault="001E0C58" w:rsidP="001E0C58">
      <w:pPr>
        <w:jc w:val="both"/>
        <w:rPr>
          <w:rFonts w:cs="Arial"/>
        </w:rPr>
      </w:pPr>
    </w:p>
    <w:p w14:paraId="0C532617" w14:textId="77777777" w:rsidR="001E0C58" w:rsidRPr="001E0C58" w:rsidRDefault="001E0C58" w:rsidP="001E0C58">
      <w:pPr>
        <w:rPr>
          <w:rFonts w:eastAsiaTheme="minorEastAsia"/>
        </w:rPr>
      </w:pPr>
      <m:oMathPara>
        <m:oMath>
          <m:r>
            <w:rPr>
              <w:rFonts w:ascii="Cambria Math" w:hAnsi="Cambria Math"/>
            </w:rPr>
            <m:t>Total power dynamic range=10*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Max</m:t>
                      </m:r>
                    </m:e>
                    <m:sub>
                      <m:r>
                        <w:rPr>
                          <w:rFonts w:ascii="Cambria Math" w:hAnsi="Cambria Math"/>
                        </w:rPr>
                        <m:t>active</m:t>
                      </m:r>
                    </m:sub>
                  </m:sSub>
                  <m:r>
                    <w:rPr>
                      <w:rFonts w:ascii="Cambria Math" w:hAnsi="Cambria Math"/>
                    </w:rPr>
                    <m:t>(N</m:t>
                  </m:r>
                </m:e>
                <m:sub>
                  <m:r>
                    <w:rPr>
                      <w:rFonts w:ascii="Cambria Math" w:hAnsi="Cambria Math"/>
                    </w:rPr>
                    <m:t>RB</m:t>
                  </m:r>
                </m:sub>
              </m:sSub>
              <m:r>
                <w:rPr>
                  <w:rFonts w:ascii="Cambria Math" w:hAnsi="Cambria Math"/>
                </w:rPr>
                <m:t>))</m:t>
              </m:r>
            </m:e>
          </m:func>
        </m:oMath>
      </m:oMathPara>
    </w:p>
    <w:p w14:paraId="4348DCBC" w14:textId="77777777" w:rsidR="001E0C58" w:rsidRPr="002711F7" w:rsidRDefault="001E0C58" w:rsidP="001E0C58">
      <w:pPr>
        <w:rPr>
          <w:rFonts w:eastAsiaTheme="minorEastAsia"/>
        </w:rPr>
      </w:pPr>
    </w:p>
    <w:p w14:paraId="1EAD060E" w14:textId="77777777" w:rsidR="001E0C58" w:rsidRDefault="001E0C58" w:rsidP="001E0C58">
      <w:pPr>
        <w:jc w:val="both"/>
        <w:rPr>
          <w:b/>
          <w:bCs/>
          <w:color w:val="000000" w:themeColor="text1"/>
          <w:lang w:val="en-US"/>
        </w:rPr>
      </w:pPr>
      <w:r w:rsidRPr="6DDC956C">
        <w:rPr>
          <w:b/>
          <w:bCs/>
          <w:color w:val="000000" w:themeColor="text1"/>
          <w:lang w:val="en-US" w:eastAsia="zh-CN"/>
        </w:rPr>
        <w:t xml:space="preserve">Proposal </w:t>
      </w:r>
      <w:r>
        <w:rPr>
          <w:b/>
          <w:bCs/>
          <w:color w:val="000000" w:themeColor="text1"/>
          <w:lang w:val="en-US" w:eastAsia="zh-CN"/>
        </w:rPr>
        <w:t>2</w:t>
      </w:r>
      <w:r w:rsidRPr="6DDC956C">
        <w:rPr>
          <w:b/>
          <w:bCs/>
          <w:color w:val="000000" w:themeColor="text1"/>
          <w:lang w:val="en-US" w:eastAsia="zh-CN"/>
        </w:rPr>
        <w:t>:</w:t>
      </w:r>
      <w:r w:rsidRPr="6DDC956C">
        <w:rPr>
          <w:b/>
          <w:bCs/>
          <w:color w:val="000000" w:themeColor="text1"/>
          <w:lang w:val="en-US"/>
        </w:rPr>
        <w:t xml:space="preserve"> </w:t>
      </w:r>
      <w:r w:rsidRPr="00017A0F">
        <w:rPr>
          <w:b/>
          <w:bCs/>
          <w:color w:val="000000" w:themeColor="text1"/>
          <w:lang w:val="en-US"/>
        </w:rPr>
        <w:t xml:space="preserve">We would like to propose that the minimum requirement for ACLR in the adjacent +1 channel should be 55 </w:t>
      </w:r>
      <w:proofErr w:type="spellStart"/>
      <w:r w:rsidRPr="00017A0F">
        <w:rPr>
          <w:b/>
          <w:bCs/>
          <w:color w:val="000000" w:themeColor="text1"/>
          <w:lang w:val="en-US"/>
        </w:rPr>
        <w:t>dBc</w:t>
      </w:r>
      <w:proofErr w:type="spellEnd"/>
      <w:r w:rsidRPr="00017A0F">
        <w:rPr>
          <w:b/>
          <w:bCs/>
          <w:color w:val="000000" w:themeColor="text1"/>
          <w:lang w:val="en-US"/>
        </w:rPr>
        <w:t xml:space="preserve"> for 100 MHz channel BW; therefore, rejection of RF BPF used after PA can be practically realized.</w:t>
      </w:r>
    </w:p>
    <w:p w14:paraId="6ECF383A" w14:textId="77777777" w:rsidR="001E0C58" w:rsidRDefault="001E0C58" w:rsidP="002D360B">
      <w:pPr>
        <w:jc w:val="both"/>
        <w:rPr>
          <w:b/>
          <w:color w:val="000000" w:themeColor="text1"/>
          <w:szCs w:val="21"/>
        </w:rPr>
      </w:pPr>
    </w:p>
    <w:p w14:paraId="3B1EFC2D" w14:textId="7110716C" w:rsidR="00925555" w:rsidRPr="008975FF" w:rsidRDefault="00925555" w:rsidP="00925555">
      <w:pPr>
        <w:jc w:val="both"/>
        <w:rPr>
          <w:b/>
          <w:bCs/>
          <w:lang w:val="en-US"/>
        </w:rPr>
      </w:pPr>
      <w:r w:rsidRPr="52484291">
        <w:rPr>
          <w:b/>
          <w:bCs/>
          <w:color w:val="000000" w:themeColor="text1"/>
          <w:lang w:val="en-US" w:eastAsia="zh-CN"/>
        </w:rPr>
        <w:t>Proposal 3:</w:t>
      </w:r>
      <w:r w:rsidRPr="52484291">
        <w:rPr>
          <w:b/>
          <w:bCs/>
          <w:color w:val="000000" w:themeColor="text1"/>
          <w:lang w:val="en-US"/>
        </w:rPr>
        <w:t xml:space="preserve"> </w:t>
      </w:r>
      <w:r w:rsidRPr="52484291">
        <w:rPr>
          <w:b/>
          <w:bCs/>
          <w:lang w:val="en-US"/>
        </w:rPr>
        <w:t xml:space="preserve">The minimum Co-location ACLR </w:t>
      </w:r>
      <w:r w:rsidR="3BC5E6E5" w:rsidRPr="52484291">
        <w:rPr>
          <w:b/>
          <w:bCs/>
          <w:lang w:val="en-US"/>
        </w:rPr>
        <w:t xml:space="preserve">can </w:t>
      </w:r>
      <w:r w:rsidRPr="52484291">
        <w:rPr>
          <w:b/>
          <w:bCs/>
          <w:lang w:val="en-US"/>
        </w:rPr>
        <w:t xml:space="preserve">be </w:t>
      </w:r>
      <w:r w:rsidR="64F55980" w:rsidRPr="52484291">
        <w:rPr>
          <w:b/>
          <w:bCs/>
          <w:lang w:val="en-US"/>
        </w:rPr>
        <w:t>-</w:t>
      </w:r>
      <w:r w:rsidRPr="52484291">
        <w:rPr>
          <w:b/>
          <w:bCs/>
          <w:lang w:val="en-US"/>
        </w:rPr>
        <w:t xml:space="preserve">50 </w:t>
      </w:r>
      <w:proofErr w:type="spellStart"/>
      <w:r w:rsidRPr="52484291">
        <w:rPr>
          <w:b/>
          <w:bCs/>
          <w:lang w:val="en-US"/>
        </w:rPr>
        <w:t>dBc</w:t>
      </w:r>
      <w:proofErr w:type="spellEnd"/>
      <w:r w:rsidRPr="52484291">
        <w:rPr>
          <w:b/>
          <w:bCs/>
          <w:lang w:val="en-US"/>
        </w:rPr>
        <w:t xml:space="preserve"> for 100 MHz signal by considering CLI handling schemes or handled through deployment.</w:t>
      </w:r>
    </w:p>
    <w:p w14:paraId="787BA64B" w14:textId="77777777" w:rsidR="00E5642A" w:rsidRDefault="00E5642A" w:rsidP="00E5642A">
      <w:pPr>
        <w:jc w:val="both"/>
        <w:rPr>
          <w:lang w:val="en-US"/>
        </w:rPr>
      </w:pPr>
      <w:r>
        <w:rPr>
          <w:lang w:val="en-US"/>
        </w:rPr>
        <w:t xml:space="preserve"> </w:t>
      </w:r>
    </w:p>
    <w:p w14:paraId="1C092ADB" w14:textId="77777777" w:rsidR="00446A67" w:rsidRPr="006746E6" w:rsidRDefault="00446A67" w:rsidP="00446A67">
      <w:pPr>
        <w:pStyle w:val="Heading1"/>
        <w:rPr>
          <w:rFonts w:cs="Arial"/>
        </w:rPr>
      </w:pPr>
      <w:r w:rsidRPr="64B88B2D">
        <w:rPr>
          <w:rFonts w:cs="Arial"/>
        </w:rPr>
        <w:t>Reference</w:t>
      </w:r>
    </w:p>
    <w:p w14:paraId="7AB3B556" w14:textId="63FCFA9E" w:rsidR="2B21143C" w:rsidRPr="008F508F" w:rsidRDefault="00847D95" w:rsidP="00DF0F97">
      <w:pPr>
        <w:pStyle w:val="ListParagraph"/>
        <w:numPr>
          <w:ilvl w:val="0"/>
          <w:numId w:val="2"/>
        </w:numPr>
        <w:spacing w:after="120"/>
        <w:rPr>
          <w:rFonts w:ascii="Times New Roman" w:eastAsia="tim" w:hAnsi="Times New Roman"/>
          <w:color w:val="000000" w:themeColor="text1"/>
          <w:sz w:val="20"/>
          <w:szCs w:val="20"/>
          <w:lang w:val="en-GB"/>
        </w:rPr>
      </w:pPr>
      <w:r w:rsidRPr="00847D95">
        <w:rPr>
          <w:rFonts w:ascii="Times New Roman" w:eastAsia="tim" w:hAnsi="Times New Roman"/>
          <w:color w:val="000000" w:themeColor="text1"/>
          <w:sz w:val="20"/>
          <w:szCs w:val="20"/>
          <w:lang w:val="en-GB"/>
        </w:rPr>
        <w:t>R4-2413515</w:t>
      </w:r>
      <w:r w:rsidR="698523D3" w:rsidRPr="00074750">
        <w:rPr>
          <w:rFonts w:ascii="Times New Roman" w:eastAsia="Times New Roman" w:hAnsi="Times New Roman"/>
          <w:color w:val="000000" w:themeColor="text1"/>
          <w:sz w:val="20"/>
          <w:szCs w:val="20"/>
          <w:lang w:val="en-GB"/>
        </w:rPr>
        <w:t xml:space="preserve">: </w:t>
      </w:r>
      <w:r w:rsidRPr="00847D95">
        <w:rPr>
          <w:rFonts w:ascii="Times New Roman" w:eastAsia="Times New Roman" w:hAnsi="Times New Roman"/>
          <w:color w:val="000000" w:themeColor="text1"/>
          <w:sz w:val="20"/>
          <w:szCs w:val="20"/>
          <w:lang w:val="en-GB"/>
        </w:rPr>
        <w:t xml:space="preserve">Way Forward for [112][308] </w:t>
      </w:r>
      <w:proofErr w:type="spellStart"/>
      <w:r w:rsidRPr="00847D95">
        <w:rPr>
          <w:rFonts w:ascii="Times New Roman" w:eastAsia="Times New Roman" w:hAnsi="Times New Roman"/>
          <w:color w:val="000000" w:themeColor="text1"/>
          <w:sz w:val="20"/>
          <w:szCs w:val="20"/>
          <w:lang w:val="en-GB"/>
        </w:rPr>
        <w:t>NR_duplex_evo_BSRF</w:t>
      </w:r>
      <w:proofErr w:type="spellEnd"/>
      <w:r w:rsidR="00A36718">
        <w:rPr>
          <w:rFonts w:ascii="Times New Roman" w:eastAsia="Times New Roman" w:hAnsi="Times New Roman"/>
          <w:color w:val="000000" w:themeColor="text1"/>
          <w:sz w:val="20"/>
          <w:szCs w:val="20"/>
          <w:lang w:val="en-GB"/>
        </w:rPr>
        <w:t xml:space="preserve">, </w:t>
      </w:r>
      <w:r w:rsidR="00A36718" w:rsidRPr="00A36718">
        <w:rPr>
          <w:rFonts w:ascii="Times New Roman" w:eastAsia="Times New Roman" w:hAnsi="Times New Roman"/>
          <w:color w:val="000000" w:themeColor="text1"/>
          <w:sz w:val="20"/>
          <w:szCs w:val="20"/>
          <w:lang w:val="en-GB"/>
        </w:rPr>
        <w:t xml:space="preserve">Huawei, </w:t>
      </w:r>
      <w:proofErr w:type="spellStart"/>
      <w:r w:rsidR="00A36718" w:rsidRPr="00A36718">
        <w:rPr>
          <w:rFonts w:ascii="Times New Roman" w:eastAsia="Times New Roman" w:hAnsi="Times New Roman"/>
          <w:color w:val="000000" w:themeColor="text1"/>
          <w:sz w:val="20"/>
          <w:szCs w:val="20"/>
          <w:lang w:val="en-GB"/>
        </w:rPr>
        <w:t>HiSilicon</w:t>
      </w:r>
      <w:proofErr w:type="spellEnd"/>
    </w:p>
    <w:p w14:paraId="4A45C568" w14:textId="18DFB99B" w:rsidR="008F508F" w:rsidRPr="00FF14D7" w:rsidRDefault="00DD5890" w:rsidP="008F508F">
      <w:pPr>
        <w:pStyle w:val="References"/>
        <w:numPr>
          <w:ilvl w:val="0"/>
          <w:numId w:val="2"/>
        </w:numPr>
        <w:autoSpaceDE/>
        <w:autoSpaceDN/>
        <w:snapToGrid/>
        <w:spacing w:after="80" w:line="256" w:lineRule="auto"/>
      </w:pPr>
      <w:r w:rsidRPr="002E32BF">
        <w:rPr>
          <w:rFonts w:cs="Arial"/>
        </w:rPr>
        <w:t>R4-2412915</w:t>
      </w:r>
      <w:r w:rsidR="008F508F" w:rsidRPr="00A37CEF">
        <w:rPr>
          <w:szCs w:val="20"/>
          <w:lang w:val="en-GB"/>
        </w:rPr>
        <w:t>, “</w:t>
      </w:r>
      <w:r w:rsidRPr="00DD5890">
        <w:rPr>
          <w:szCs w:val="20"/>
          <w:lang w:val="en-GB"/>
        </w:rPr>
        <w:t>Impact on SBFD BS RF TX requirements</w:t>
      </w:r>
      <w:r w:rsidR="008F508F" w:rsidRPr="00A37CEF">
        <w:rPr>
          <w:szCs w:val="20"/>
          <w:lang w:val="en-GB"/>
        </w:rPr>
        <w:t xml:space="preserve">”, </w:t>
      </w:r>
      <w:r w:rsidR="00EC68CC" w:rsidRPr="00EC68CC">
        <w:rPr>
          <w:szCs w:val="20"/>
          <w:lang w:val="en-GB"/>
        </w:rPr>
        <w:t>Ericsson</w:t>
      </w:r>
      <w:r w:rsidR="008F508F" w:rsidRPr="00A37CEF">
        <w:rPr>
          <w:szCs w:val="20"/>
          <w:lang w:val="en-GB"/>
        </w:rPr>
        <w:t xml:space="preserve">. </w:t>
      </w:r>
    </w:p>
    <w:p w14:paraId="43C69130" w14:textId="2B758A45" w:rsidR="00FF14D7" w:rsidRPr="00AA6AEB" w:rsidRDefault="00FF14D7" w:rsidP="008F508F">
      <w:pPr>
        <w:pStyle w:val="References"/>
        <w:numPr>
          <w:ilvl w:val="0"/>
          <w:numId w:val="2"/>
        </w:numPr>
        <w:autoSpaceDE/>
        <w:autoSpaceDN/>
        <w:snapToGrid/>
        <w:spacing w:after="80" w:line="256" w:lineRule="auto"/>
      </w:pPr>
      <w:r w:rsidRPr="00FF14D7">
        <w:t>R4-2411080</w:t>
      </w:r>
      <w:r>
        <w:t>, “</w:t>
      </w:r>
      <w:r w:rsidR="004A4DDB" w:rsidRPr="004A4DDB">
        <w:t>Discussion on modification of existing Tx requirements for SBFD operation</w:t>
      </w:r>
      <w:r>
        <w:t>”</w:t>
      </w:r>
      <w:r w:rsidR="006672BD">
        <w:t xml:space="preserve">, </w:t>
      </w:r>
      <w:r w:rsidR="006672BD" w:rsidRPr="006672BD">
        <w:t>CATT</w:t>
      </w:r>
    </w:p>
    <w:p w14:paraId="55416ED5" w14:textId="17043951" w:rsidR="008F508F" w:rsidRPr="00222EBF" w:rsidRDefault="00140251" w:rsidP="00222EBF">
      <w:pPr>
        <w:pStyle w:val="ListParagraph"/>
        <w:numPr>
          <w:ilvl w:val="0"/>
          <w:numId w:val="2"/>
        </w:numPr>
        <w:suppressAutoHyphens/>
        <w:spacing w:after="120"/>
        <w:rPr>
          <w:rFonts w:ascii="Times New Roman" w:eastAsia="tim" w:hAnsi="Times New Roman"/>
          <w:color w:val="000000" w:themeColor="text1"/>
          <w:sz w:val="20"/>
          <w:szCs w:val="20"/>
        </w:rPr>
      </w:pPr>
      <w:bookmarkStart w:id="6" w:name="_Ref165914095"/>
      <w:r w:rsidRPr="00074750">
        <w:rPr>
          <w:rFonts w:ascii="Times New Roman" w:eastAsia="tim" w:hAnsi="Times New Roman"/>
          <w:color w:val="000000" w:themeColor="text1"/>
          <w:sz w:val="20"/>
          <w:szCs w:val="20"/>
        </w:rPr>
        <w:t>3GPP TR 38.858: “Study on Evolution of NR Duplex Evolution”</w:t>
      </w:r>
      <w:bookmarkEnd w:id="6"/>
      <w:r>
        <w:rPr>
          <w:rFonts w:ascii="Times New Roman" w:eastAsia="tim" w:hAnsi="Times New Roman"/>
          <w:color w:val="000000" w:themeColor="text1"/>
          <w:sz w:val="20"/>
          <w:szCs w:val="20"/>
        </w:rPr>
        <w:t>.</w:t>
      </w:r>
    </w:p>
    <w:p w14:paraId="47D7ED28" w14:textId="77777777" w:rsidR="00051C7F" w:rsidRPr="00051C7F" w:rsidRDefault="00051C7F" w:rsidP="00051C7F">
      <w:pPr>
        <w:spacing w:after="120"/>
        <w:rPr>
          <w:rFonts w:eastAsia="tim"/>
          <w:color w:val="000000" w:themeColor="text1"/>
        </w:rPr>
      </w:pPr>
    </w:p>
    <w:bookmarkEnd w:id="5"/>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CA054" w14:textId="77777777" w:rsidR="000722ED" w:rsidRDefault="000722ED" w:rsidP="00535554">
      <w:r>
        <w:separator/>
      </w:r>
    </w:p>
  </w:endnote>
  <w:endnote w:type="continuationSeparator" w:id="0">
    <w:p w14:paraId="6A077A11" w14:textId="77777777" w:rsidR="000722ED" w:rsidRDefault="000722ED" w:rsidP="00535554">
      <w:r>
        <w:continuationSeparator/>
      </w:r>
    </w:p>
  </w:endnote>
  <w:endnote w:type="continuationNotice" w:id="1">
    <w:p w14:paraId="07D373ED" w14:textId="77777777" w:rsidR="000722ED" w:rsidRDefault="00072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B349" w14:textId="77777777" w:rsidR="000722ED" w:rsidRDefault="000722ED" w:rsidP="00535554">
      <w:r>
        <w:separator/>
      </w:r>
    </w:p>
  </w:footnote>
  <w:footnote w:type="continuationSeparator" w:id="0">
    <w:p w14:paraId="71BEC10D" w14:textId="77777777" w:rsidR="000722ED" w:rsidRDefault="000722ED" w:rsidP="00535554">
      <w:r>
        <w:continuationSeparator/>
      </w:r>
    </w:p>
  </w:footnote>
  <w:footnote w:type="continuationNotice" w:id="1">
    <w:p w14:paraId="48349B35" w14:textId="77777777" w:rsidR="000722ED" w:rsidRDefault="000722ED"/>
  </w:footnote>
</w:footnotes>
</file>

<file path=word/intelligence2.xml><?xml version="1.0" encoding="utf-8"?>
<int2:intelligence xmlns:int2="http://schemas.microsoft.com/office/intelligence/2020/intelligence" xmlns:oel="http://schemas.microsoft.com/office/2019/extlst">
  <int2:observations>
    <int2:textHash int2:hashCode="hDA2aGGBnxGXfG" int2:id="1Hu6gXIx">
      <int2:state int2:value="Rejected" int2:type="AugLoop_Text_Critique"/>
    </int2:textHash>
    <int2:textHash int2:hashCode="O5dT357NUyoW+C" int2:id="9Xr9riil">
      <int2:state int2:value="Rejected" int2:type="AugLoop_Text_Critique"/>
    </int2:textHash>
    <int2:textHash int2:hashCode="cu+Mh9GLDidzXI" int2:id="AT8kbGyV">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K9jpycho7+lozF" int2:id="E3BS9b7A">
      <int2:state int2:value="Rejected" int2:type="AugLoop_Text_Critique"/>
    </int2:textHash>
    <int2:textHash int2:hashCode="AgQ3fpFoxnejnb" int2:id="GUj1PlwG">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bK2vHeDTa3vxlJ" int2:id="XDoEWaTn">
      <int2:state int2:value="Rejected" int2:type="AugLoop_Text_Critique"/>
    </int2:textHash>
    <int2:textHash int2:hashCode="MFBH6W7AiQIWYO" int2:id="aFhrYVis">
      <int2:state int2:value="Rejected" int2:type="AugLoop_Text_Critique"/>
    </int2:textHash>
    <int2:textHash int2:hashCode="pI6Y8PMVY+RURp" int2:id="j5FvGG8j">
      <int2:state int2:value="Rejected" int2:type="AugLoop_Text_Critique"/>
    </int2:textHash>
    <int2:textHash int2:hashCode="ZS7HzSdz2xpMnN" int2:id="kTI5C9y5">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BC3EUS+j05HFFw" int2:id="p1ayQWff">
      <int2:state int2:value="Rejected" int2:type="AugLoop_Text_Critique"/>
    </int2:textHash>
    <int2:textHash int2:hashCode="AQPf+Rdc3fEc77" int2:id="vNeaqUAe">
      <int2:state int2:value="Rejected" int2:type="AugLoop_Text_Critique"/>
    </int2:textHash>
    <int2:textHash int2:hashCode="cNHuooL/YwECld" int2:id="xMhpMm9R">
      <int2:state int2:value="Rejected" int2:type="AugLoop_Text_Critique"/>
    </int2:textHash>
    <int2:bookmark int2:bookmarkName="_Int_4EU2dtEg" int2:invalidationBookmarkName="" int2:hashCode="Mv3Xezm7vWVtZH" int2:id="hlQHnul0">
      <int2:state int2:value="Rejected" int2:type="AugLoop_Text_Critique"/>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6"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7" w15:restartNumberingAfterBreak="0">
    <w:nsid w:val="1B4B46EB"/>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0"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1"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9"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2" w15:restartNumberingAfterBreak="0">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0"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5"/>
  </w:num>
  <w:num w:numId="2">
    <w:abstractNumId w:val="21"/>
  </w:num>
  <w:num w:numId="3">
    <w:abstractNumId w:val="14"/>
  </w:num>
  <w:num w:numId="4">
    <w:abstractNumId w:val="1"/>
  </w:num>
  <w:num w:numId="5">
    <w:abstractNumId w:val="24"/>
  </w:num>
  <w:num w:numId="6">
    <w:abstractNumId w:val="30"/>
  </w:num>
  <w:num w:numId="7">
    <w:abstractNumId w:val="23"/>
  </w:num>
  <w:num w:numId="8">
    <w:abstractNumId w:val="20"/>
  </w:num>
  <w:num w:numId="9">
    <w:abstractNumId w:val="26"/>
  </w:num>
  <w:num w:numId="10">
    <w:abstractNumId w:val="4"/>
  </w:num>
  <w:num w:numId="11">
    <w:abstractNumId w:val="12"/>
  </w:num>
  <w:num w:numId="12">
    <w:abstractNumId w:val="28"/>
  </w:num>
  <w:num w:numId="13">
    <w:abstractNumId w:val="29"/>
  </w:num>
  <w:num w:numId="14">
    <w:abstractNumId w:val="32"/>
  </w:num>
  <w:num w:numId="15">
    <w:abstractNumId w:val="11"/>
  </w:num>
  <w:num w:numId="16">
    <w:abstractNumId w:val="19"/>
  </w:num>
  <w:num w:numId="17">
    <w:abstractNumId w:val="15"/>
  </w:num>
  <w:num w:numId="18">
    <w:abstractNumId w:val="9"/>
  </w:num>
  <w:num w:numId="19">
    <w:abstractNumId w:val="6"/>
  </w:num>
  <w:num w:numId="20">
    <w:abstractNumId w:val="5"/>
  </w:num>
  <w:num w:numId="21">
    <w:abstractNumId w:val="10"/>
  </w:num>
  <w:num w:numId="22">
    <w:abstractNumId w:val="8"/>
  </w:num>
  <w:num w:numId="23">
    <w:abstractNumId w:val="27"/>
  </w:num>
  <w:num w:numId="24">
    <w:abstractNumId w:val="31"/>
  </w:num>
  <w:num w:numId="25">
    <w:abstractNumId w:val="14"/>
  </w:num>
  <w:num w:numId="26">
    <w:abstractNumId w:val="2"/>
  </w:num>
  <w:num w:numId="27">
    <w:abstractNumId w:val="0"/>
  </w:num>
  <w:num w:numId="28">
    <w:abstractNumId w:val="16"/>
  </w:num>
  <w:num w:numId="29">
    <w:abstractNumId w:val="3"/>
  </w:num>
  <w:num w:numId="30">
    <w:abstractNumId w:val="13"/>
  </w:num>
  <w:num w:numId="31">
    <w:abstractNumId w:val="18"/>
  </w:num>
  <w:num w:numId="32">
    <w:abstractNumId w:val="17"/>
  </w:num>
  <w:num w:numId="33">
    <w:abstractNumId w:val="22"/>
  </w:num>
  <w:num w:numId="34">
    <w:abstractNumId w:val="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887"/>
    <w:rsid w:val="00004E98"/>
    <w:rsid w:val="00004FD7"/>
    <w:rsid w:val="000054B9"/>
    <w:rsid w:val="000058E6"/>
    <w:rsid w:val="00005A5A"/>
    <w:rsid w:val="00005ACC"/>
    <w:rsid w:val="00005D98"/>
    <w:rsid w:val="00006280"/>
    <w:rsid w:val="00006752"/>
    <w:rsid w:val="00006B01"/>
    <w:rsid w:val="000106B9"/>
    <w:rsid w:val="000109F2"/>
    <w:rsid w:val="000110E5"/>
    <w:rsid w:val="00011E04"/>
    <w:rsid w:val="00012900"/>
    <w:rsid w:val="00013061"/>
    <w:rsid w:val="0001493C"/>
    <w:rsid w:val="00014C15"/>
    <w:rsid w:val="00014D06"/>
    <w:rsid w:val="00014D77"/>
    <w:rsid w:val="00014DB7"/>
    <w:rsid w:val="00015FF6"/>
    <w:rsid w:val="00016908"/>
    <w:rsid w:val="00017A0F"/>
    <w:rsid w:val="00021D4E"/>
    <w:rsid w:val="000223D7"/>
    <w:rsid w:val="00022D60"/>
    <w:rsid w:val="00022EEE"/>
    <w:rsid w:val="00023596"/>
    <w:rsid w:val="000248A9"/>
    <w:rsid w:val="00024FB0"/>
    <w:rsid w:val="0002517D"/>
    <w:rsid w:val="000251F7"/>
    <w:rsid w:val="000256A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929"/>
    <w:rsid w:val="00051C7F"/>
    <w:rsid w:val="00051CA4"/>
    <w:rsid w:val="00051D7C"/>
    <w:rsid w:val="000520CF"/>
    <w:rsid w:val="0005275B"/>
    <w:rsid w:val="0005295A"/>
    <w:rsid w:val="00052E44"/>
    <w:rsid w:val="000554D6"/>
    <w:rsid w:val="00055D5E"/>
    <w:rsid w:val="000565C3"/>
    <w:rsid w:val="00056A54"/>
    <w:rsid w:val="00057550"/>
    <w:rsid w:val="000575FB"/>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2ED"/>
    <w:rsid w:val="0007233B"/>
    <w:rsid w:val="00072793"/>
    <w:rsid w:val="000733DA"/>
    <w:rsid w:val="000737FA"/>
    <w:rsid w:val="00073AF2"/>
    <w:rsid w:val="00073EF8"/>
    <w:rsid w:val="00074626"/>
    <w:rsid w:val="00074750"/>
    <w:rsid w:val="00074ABF"/>
    <w:rsid w:val="000757C5"/>
    <w:rsid w:val="000767A1"/>
    <w:rsid w:val="00077A90"/>
    <w:rsid w:val="00077CB0"/>
    <w:rsid w:val="0008050D"/>
    <w:rsid w:val="000806EE"/>
    <w:rsid w:val="000813FC"/>
    <w:rsid w:val="00081EB9"/>
    <w:rsid w:val="000824C8"/>
    <w:rsid w:val="000824D0"/>
    <w:rsid w:val="0008387A"/>
    <w:rsid w:val="00083A33"/>
    <w:rsid w:val="00083CE8"/>
    <w:rsid w:val="00085924"/>
    <w:rsid w:val="00086368"/>
    <w:rsid w:val="000869B0"/>
    <w:rsid w:val="00086DB5"/>
    <w:rsid w:val="00086E97"/>
    <w:rsid w:val="00086F71"/>
    <w:rsid w:val="00087498"/>
    <w:rsid w:val="00087E41"/>
    <w:rsid w:val="00090132"/>
    <w:rsid w:val="000901B7"/>
    <w:rsid w:val="000908EA"/>
    <w:rsid w:val="00090A2C"/>
    <w:rsid w:val="00091C20"/>
    <w:rsid w:val="00092055"/>
    <w:rsid w:val="00092A15"/>
    <w:rsid w:val="0009397C"/>
    <w:rsid w:val="0009496A"/>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B4F"/>
    <w:rsid w:val="000C2EE3"/>
    <w:rsid w:val="000C2F15"/>
    <w:rsid w:val="000C3B34"/>
    <w:rsid w:val="000C3C61"/>
    <w:rsid w:val="000C438C"/>
    <w:rsid w:val="000C4776"/>
    <w:rsid w:val="000C4ED7"/>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0882"/>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7CE"/>
    <w:rsid w:val="000F5CBD"/>
    <w:rsid w:val="000F603F"/>
    <w:rsid w:val="000F63EA"/>
    <w:rsid w:val="000F63FF"/>
    <w:rsid w:val="000F663A"/>
    <w:rsid w:val="000F6B50"/>
    <w:rsid w:val="000F6E65"/>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0951"/>
    <w:rsid w:val="001315B5"/>
    <w:rsid w:val="00131ECD"/>
    <w:rsid w:val="001339B8"/>
    <w:rsid w:val="00133C5E"/>
    <w:rsid w:val="00133E00"/>
    <w:rsid w:val="00135E4C"/>
    <w:rsid w:val="00136620"/>
    <w:rsid w:val="00136850"/>
    <w:rsid w:val="00136A5E"/>
    <w:rsid w:val="00137CBE"/>
    <w:rsid w:val="00137CC1"/>
    <w:rsid w:val="001400B4"/>
    <w:rsid w:val="00140251"/>
    <w:rsid w:val="00140AEC"/>
    <w:rsid w:val="00141206"/>
    <w:rsid w:val="00141EB8"/>
    <w:rsid w:val="00141F09"/>
    <w:rsid w:val="00141FBC"/>
    <w:rsid w:val="0014200B"/>
    <w:rsid w:val="00142606"/>
    <w:rsid w:val="00142688"/>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2C8"/>
    <w:rsid w:val="00161310"/>
    <w:rsid w:val="00162A81"/>
    <w:rsid w:val="001644D4"/>
    <w:rsid w:val="00164C95"/>
    <w:rsid w:val="00165334"/>
    <w:rsid w:val="00165A9C"/>
    <w:rsid w:val="00165FBC"/>
    <w:rsid w:val="00166629"/>
    <w:rsid w:val="00167B2B"/>
    <w:rsid w:val="001701F3"/>
    <w:rsid w:val="0017189D"/>
    <w:rsid w:val="0017191D"/>
    <w:rsid w:val="001721C8"/>
    <w:rsid w:val="001725EB"/>
    <w:rsid w:val="0017336B"/>
    <w:rsid w:val="00173BA9"/>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25E8"/>
    <w:rsid w:val="00193139"/>
    <w:rsid w:val="00193AB2"/>
    <w:rsid w:val="00194384"/>
    <w:rsid w:val="001943C8"/>
    <w:rsid w:val="00195A6B"/>
    <w:rsid w:val="001969BF"/>
    <w:rsid w:val="00197076"/>
    <w:rsid w:val="001A0A7E"/>
    <w:rsid w:val="001A131B"/>
    <w:rsid w:val="001A2466"/>
    <w:rsid w:val="001A286E"/>
    <w:rsid w:val="001A33CD"/>
    <w:rsid w:val="001A39E3"/>
    <w:rsid w:val="001A3D76"/>
    <w:rsid w:val="001A3FA7"/>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500"/>
    <w:rsid w:val="001B7B9A"/>
    <w:rsid w:val="001B7CEE"/>
    <w:rsid w:val="001B7ED2"/>
    <w:rsid w:val="001C0070"/>
    <w:rsid w:val="001C0AB2"/>
    <w:rsid w:val="001C0C82"/>
    <w:rsid w:val="001C0DD5"/>
    <w:rsid w:val="001C22E3"/>
    <w:rsid w:val="001C26FE"/>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CB9"/>
    <w:rsid w:val="001D4397"/>
    <w:rsid w:val="001D44E0"/>
    <w:rsid w:val="001D5540"/>
    <w:rsid w:val="001D5872"/>
    <w:rsid w:val="001D5951"/>
    <w:rsid w:val="001D6219"/>
    <w:rsid w:val="001D6F80"/>
    <w:rsid w:val="001D7718"/>
    <w:rsid w:val="001E02DA"/>
    <w:rsid w:val="001E0B05"/>
    <w:rsid w:val="001E0C58"/>
    <w:rsid w:val="001E1220"/>
    <w:rsid w:val="001E1DB5"/>
    <w:rsid w:val="001E2253"/>
    <w:rsid w:val="001E25F0"/>
    <w:rsid w:val="001E2D64"/>
    <w:rsid w:val="001E3195"/>
    <w:rsid w:val="001E3E3A"/>
    <w:rsid w:val="001E43AB"/>
    <w:rsid w:val="001E4B70"/>
    <w:rsid w:val="001E5555"/>
    <w:rsid w:val="001E5600"/>
    <w:rsid w:val="001E6208"/>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99F"/>
    <w:rsid w:val="00216AE1"/>
    <w:rsid w:val="0021720A"/>
    <w:rsid w:val="00217D9B"/>
    <w:rsid w:val="0022004F"/>
    <w:rsid w:val="002201C0"/>
    <w:rsid w:val="00220233"/>
    <w:rsid w:val="002203A1"/>
    <w:rsid w:val="00220E69"/>
    <w:rsid w:val="002211BB"/>
    <w:rsid w:val="0022139A"/>
    <w:rsid w:val="00221A94"/>
    <w:rsid w:val="00221DA3"/>
    <w:rsid w:val="00221EBF"/>
    <w:rsid w:val="00222AC3"/>
    <w:rsid w:val="00222EBF"/>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168"/>
    <w:rsid w:val="00232399"/>
    <w:rsid w:val="00232815"/>
    <w:rsid w:val="00232DC0"/>
    <w:rsid w:val="0023499A"/>
    <w:rsid w:val="00234CFE"/>
    <w:rsid w:val="00235946"/>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17D"/>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931"/>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1F7"/>
    <w:rsid w:val="00271BAB"/>
    <w:rsid w:val="00271C76"/>
    <w:rsid w:val="0027285F"/>
    <w:rsid w:val="00272E3E"/>
    <w:rsid w:val="002734FB"/>
    <w:rsid w:val="002738DB"/>
    <w:rsid w:val="0027456A"/>
    <w:rsid w:val="00274728"/>
    <w:rsid w:val="002765D1"/>
    <w:rsid w:val="00276811"/>
    <w:rsid w:val="0027688C"/>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1B9"/>
    <w:rsid w:val="0029598E"/>
    <w:rsid w:val="00295A92"/>
    <w:rsid w:val="00295CF4"/>
    <w:rsid w:val="00297279"/>
    <w:rsid w:val="002A0449"/>
    <w:rsid w:val="002A0D3F"/>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386C"/>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360B"/>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030F"/>
    <w:rsid w:val="0030138E"/>
    <w:rsid w:val="00301C90"/>
    <w:rsid w:val="003021E5"/>
    <w:rsid w:val="0030254C"/>
    <w:rsid w:val="00302641"/>
    <w:rsid w:val="00302ADB"/>
    <w:rsid w:val="00302C20"/>
    <w:rsid w:val="00302D0D"/>
    <w:rsid w:val="00303923"/>
    <w:rsid w:val="003039B4"/>
    <w:rsid w:val="00303C92"/>
    <w:rsid w:val="00303E14"/>
    <w:rsid w:val="0030476E"/>
    <w:rsid w:val="00304A2F"/>
    <w:rsid w:val="00304B0E"/>
    <w:rsid w:val="00305036"/>
    <w:rsid w:val="003053C0"/>
    <w:rsid w:val="003055AC"/>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06C"/>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AF5"/>
    <w:rsid w:val="00385C4B"/>
    <w:rsid w:val="003868B0"/>
    <w:rsid w:val="0038720C"/>
    <w:rsid w:val="003875AF"/>
    <w:rsid w:val="003879B9"/>
    <w:rsid w:val="00387A78"/>
    <w:rsid w:val="00387DC2"/>
    <w:rsid w:val="0039043E"/>
    <w:rsid w:val="003909CE"/>
    <w:rsid w:val="00390CBC"/>
    <w:rsid w:val="00391896"/>
    <w:rsid w:val="003922BE"/>
    <w:rsid w:val="00392333"/>
    <w:rsid w:val="00392748"/>
    <w:rsid w:val="0039284D"/>
    <w:rsid w:val="00392BF6"/>
    <w:rsid w:val="00392E42"/>
    <w:rsid w:val="00395008"/>
    <w:rsid w:val="0039552E"/>
    <w:rsid w:val="00395C24"/>
    <w:rsid w:val="00395E37"/>
    <w:rsid w:val="00396D7F"/>
    <w:rsid w:val="003A01E2"/>
    <w:rsid w:val="003A0CFB"/>
    <w:rsid w:val="003A1ECB"/>
    <w:rsid w:val="003A29E8"/>
    <w:rsid w:val="003A2D8E"/>
    <w:rsid w:val="003A3206"/>
    <w:rsid w:val="003A33EC"/>
    <w:rsid w:val="003A3A7D"/>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65D1"/>
    <w:rsid w:val="003E673F"/>
    <w:rsid w:val="003E69C9"/>
    <w:rsid w:val="003E6EDD"/>
    <w:rsid w:val="003E71CE"/>
    <w:rsid w:val="003E759A"/>
    <w:rsid w:val="003F00CD"/>
    <w:rsid w:val="003F036A"/>
    <w:rsid w:val="003F1497"/>
    <w:rsid w:val="003F2691"/>
    <w:rsid w:val="003F3446"/>
    <w:rsid w:val="003F42AB"/>
    <w:rsid w:val="003F4B76"/>
    <w:rsid w:val="003F6017"/>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DFC"/>
    <w:rsid w:val="00417EE4"/>
    <w:rsid w:val="00420122"/>
    <w:rsid w:val="00420620"/>
    <w:rsid w:val="00420B01"/>
    <w:rsid w:val="00420BDC"/>
    <w:rsid w:val="004212F4"/>
    <w:rsid w:val="004223C2"/>
    <w:rsid w:val="00422592"/>
    <w:rsid w:val="00422C66"/>
    <w:rsid w:val="00423319"/>
    <w:rsid w:val="00423679"/>
    <w:rsid w:val="00424468"/>
    <w:rsid w:val="00425271"/>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0CC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502DF"/>
    <w:rsid w:val="004506C0"/>
    <w:rsid w:val="00450FDB"/>
    <w:rsid w:val="0045144F"/>
    <w:rsid w:val="00452817"/>
    <w:rsid w:val="004531ED"/>
    <w:rsid w:val="0045485A"/>
    <w:rsid w:val="0045487B"/>
    <w:rsid w:val="00454FBC"/>
    <w:rsid w:val="004550D5"/>
    <w:rsid w:val="00455236"/>
    <w:rsid w:val="00456507"/>
    <w:rsid w:val="0045787C"/>
    <w:rsid w:val="00457938"/>
    <w:rsid w:val="00457E9B"/>
    <w:rsid w:val="004608FA"/>
    <w:rsid w:val="004609F9"/>
    <w:rsid w:val="00461099"/>
    <w:rsid w:val="004618D6"/>
    <w:rsid w:val="0046195C"/>
    <w:rsid w:val="004619A4"/>
    <w:rsid w:val="0046261F"/>
    <w:rsid w:val="004628FA"/>
    <w:rsid w:val="0046323F"/>
    <w:rsid w:val="004634B0"/>
    <w:rsid w:val="004638F8"/>
    <w:rsid w:val="00463C82"/>
    <w:rsid w:val="00464A5F"/>
    <w:rsid w:val="00465C33"/>
    <w:rsid w:val="00466B73"/>
    <w:rsid w:val="0046705C"/>
    <w:rsid w:val="00467B9E"/>
    <w:rsid w:val="0047002A"/>
    <w:rsid w:val="00470B95"/>
    <w:rsid w:val="00470FC8"/>
    <w:rsid w:val="00471034"/>
    <w:rsid w:val="00471986"/>
    <w:rsid w:val="00471A93"/>
    <w:rsid w:val="00471E7E"/>
    <w:rsid w:val="00471F7E"/>
    <w:rsid w:val="00472C0D"/>
    <w:rsid w:val="00472E2D"/>
    <w:rsid w:val="004739E0"/>
    <w:rsid w:val="00473A0E"/>
    <w:rsid w:val="00474EBD"/>
    <w:rsid w:val="0047509A"/>
    <w:rsid w:val="004764A9"/>
    <w:rsid w:val="004779C6"/>
    <w:rsid w:val="00477B6B"/>
    <w:rsid w:val="004802BC"/>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4DDB"/>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725"/>
    <w:rsid w:val="004E4849"/>
    <w:rsid w:val="004E51D7"/>
    <w:rsid w:val="004E545C"/>
    <w:rsid w:val="004E583E"/>
    <w:rsid w:val="004E6D8D"/>
    <w:rsid w:val="004E72CE"/>
    <w:rsid w:val="004E7A50"/>
    <w:rsid w:val="004E7E16"/>
    <w:rsid w:val="004F04EE"/>
    <w:rsid w:val="004F114C"/>
    <w:rsid w:val="004F1A6A"/>
    <w:rsid w:val="004F2BF1"/>
    <w:rsid w:val="004F2CA9"/>
    <w:rsid w:val="004F2E58"/>
    <w:rsid w:val="004F305F"/>
    <w:rsid w:val="004F3B85"/>
    <w:rsid w:val="004F4D66"/>
    <w:rsid w:val="004F6BA9"/>
    <w:rsid w:val="004F6CD1"/>
    <w:rsid w:val="004F728D"/>
    <w:rsid w:val="004F75F8"/>
    <w:rsid w:val="0050149E"/>
    <w:rsid w:val="005027B2"/>
    <w:rsid w:val="0050354C"/>
    <w:rsid w:val="00503857"/>
    <w:rsid w:val="00503A1D"/>
    <w:rsid w:val="005041B2"/>
    <w:rsid w:val="005049FE"/>
    <w:rsid w:val="00504B6F"/>
    <w:rsid w:val="0050501C"/>
    <w:rsid w:val="00505318"/>
    <w:rsid w:val="005057AB"/>
    <w:rsid w:val="00505FB6"/>
    <w:rsid w:val="005060C5"/>
    <w:rsid w:val="0050630E"/>
    <w:rsid w:val="005063F7"/>
    <w:rsid w:val="00507938"/>
    <w:rsid w:val="00507A89"/>
    <w:rsid w:val="00507DF9"/>
    <w:rsid w:val="005108E9"/>
    <w:rsid w:val="005109D6"/>
    <w:rsid w:val="0051117F"/>
    <w:rsid w:val="005118AD"/>
    <w:rsid w:val="005118C9"/>
    <w:rsid w:val="00511F77"/>
    <w:rsid w:val="00512A6C"/>
    <w:rsid w:val="005130C6"/>
    <w:rsid w:val="005136AE"/>
    <w:rsid w:val="00513AAB"/>
    <w:rsid w:val="00513FA0"/>
    <w:rsid w:val="0051566D"/>
    <w:rsid w:val="00515D8D"/>
    <w:rsid w:val="00516193"/>
    <w:rsid w:val="005168BC"/>
    <w:rsid w:val="00517AA7"/>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4942"/>
    <w:rsid w:val="005250BD"/>
    <w:rsid w:val="005255D5"/>
    <w:rsid w:val="005255EA"/>
    <w:rsid w:val="00526CE4"/>
    <w:rsid w:val="0052708C"/>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121F"/>
    <w:rsid w:val="00572084"/>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26EF"/>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1B7"/>
    <w:rsid w:val="005B7C85"/>
    <w:rsid w:val="005C00E4"/>
    <w:rsid w:val="005C1BEC"/>
    <w:rsid w:val="005C1EED"/>
    <w:rsid w:val="005C233E"/>
    <w:rsid w:val="005C2464"/>
    <w:rsid w:val="005C2A30"/>
    <w:rsid w:val="005C2C8F"/>
    <w:rsid w:val="005C3147"/>
    <w:rsid w:val="005C41B4"/>
    <w:rsid w:val="005C4C8E"/>
    <w:rsid w:val="005C4EE1"/>
    <w:rsid w:val="005C5944"/>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211"/>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456"/>
    <w:rsid w:val="005F1AC5"/>
    <w:rsid w:val="005F2318"/>
    <w:rsid w:val="005F25D4"/>
    <w:rsid w:val="005F33E7"/>
    <w:rsid w:val="005F3E71"/>
    <w:rsid w:val="005F42BE"/>
    <w:rsid w:val="005F4370"/>
    <w:rsid w:val="005F63E0"/>
    <w:rsid w:val="005F71D7"/>
    <w:rsid w:val="005F7A76"/>
    <w:rsid w:val="00600089"/>
    <w:rsid w:val="00600B7A"/>
    <w:rsid w:val="006015B8"/>
    <w:rsid w:val="00601C86"/>
    <w:rsid w:val="00601DCD"/>
    <w:rsid w:val="00601EE8"/>
    <w:rsid w:val="00603304"/>
    <w:rsid w:val="00603B51"/>
    <w:rsid w:val="0060514E"/>
    <w:rsid w:val="006052BE"/>
    <w:rsid w:val="00605342"/>
    <w:rsid w:val="00605452"/>
    <w:rsid w:val="006055C7"/>
    <w:rsid w:val="006067E1"/>
    <w:rsid w:val="00606C26"/>
    <w:rsid w:val="006078C6"/>
    <w:rsid w:val="00610440"/>
    <w:rsid w:val="00610A13"/>
    <w:rsid w:val="00611A7B"/>
    <w:rsid w:val="00612140"/>
    <w:rsid w:val="006132FC"/>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04C"/>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5B94"/>
    <w:rsid w:val="006560BB"/>
    <w:rsid w:val="00656714"/>
    <w:rsid w:val="0065673A"/>
    <w:rsid w:val="00656977"/>
    <w:rsid w:val="00656B98"/>
    <w:rsid w:val="00656C0A"/>
    <w:rsid w:val="006600B9"/>
    <w:rsid w:val="0066024C"/>
    <w:rsid w:val="00660321"/>
    <w:rsid w:val="00660456"/>
    <w:rsid w:val="006609DE"/>
    <w:rsid w:val="00660F64"/>
    <w:rsid w:val="0066295C"/>
    <w:rsid w:val="00662B21"/>
    <w:rsid w:val="00663AEC"/>
    <w:rsid w:val="00664168"/>
    <w:rsid w:val="00664437"/>
    <w:rsid w:val="006644D2"/>
    <w:rsid w:val="00664E72"/>
    <w:rsid w:val="006650BB"/>
    <w:rsid w:val="006651C3"/>
    <w:rsid w:val="00665E05"/>
    <w:rsid w:val="00666708"/>
    <w:rsid w:val="006668F6"/>
    <w:rsid w:val="00666DFE"/>
    <w:rsid w:val="006672BD"/>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00E5"/>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22D"/>
    <w:rsid w:val="00691715"/>
    <w:rsid w:val="00691BB0"/>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5EE3"/>
    <w:rsid w:val="006C637B"/>
    <w:rsid w:val="006C663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7F7"/>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99E"/>
    <w:rsid w:val="00707E88"/>
    <w:rsid w:val="00707EB1"/>
    <w:rsid w:val="00710683"/>
    <w:rsid w:val="00710BEE"/>
    <w:rsid w:val="00710E75"/>
    <w:rsid w:val="00711054"/>
    <w:rsid w:val="00712C15"/>
    <w:rsid w:val="00712C78"/>
    <w:rsid w:val="00713B4E"/>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06EB"/>
    <w:rsid w:val="007215A8"/>
    <w:rsid w:val="0072195B"/>
    <w:rsid w:val="00721C70"/>
    <w:rsid w:val="00721D76"/>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36492"/>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44E"/>
    <w:rsid w:val="00751A33"/>
    <w:rsid w:val="00752304"/>
    <w:rsid w:val="00752612"/>
    <w:rsid w:val="00752956"/>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95"/>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790"/>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2EA"/>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1BE7"/>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1E8"/>
    <w:rsid w:val="00803483"/>
    <w:rsid w:val="00803F96"/>
    <w:rsid w:val="008048B2"/>
    <w:rsid w:val="00804906"/>
    <w:rsid w:val="00804DC5"/>
    <w:rsid w:val="008051E8"/>
    <w:rsid w:val="00806412"/>
    <w:rsid w:val="0080646B"/>
    <w:rsid w:val="0080654C"/>
    <w:rsid w:val="008067F0"/>
    <w:rsid w:val="00806DB5"/>
    <w:rsid w:val="00807856"/>
    <w:rsid w:val="00807BD0"/>
    <w:rsid w:val="00810E49"/>
    <w:rsid w:val="00811345"/>
    <w:rsid w:val="00811791"/>
    <w:rsid w:val="0081269D"/>
    <w:rsid w:val="00812EE6"/>
    <w:rsid w:val="00812FD4"/>
    <w:rsid w:val="00813035"/>
    <w:rsid w:val="0081409E"/>
    <w:rsid w:val="008147E6"/>
    <w:rsid w:val="008148D9"/>
    <w:rsid w:val="00814DF3"/>
    <w:rsid w:val="00815C43"/>
    <w:rsid w:val="00816C92"/>
    <w:rsid w:val="0081720E"/>
    <w:rsid w:val="00817248"/>
    <w:rsid w:val="00817259"/>
    <w:rsid w:val="0081777C"/>
    <w:rsid w:val="0081779B"/>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31"/>
    <w:rsid w:val="00872840"/>
    <w:rsid w:val="00873BA2"/>
    <w:rsid w:val="00873F00"/>
    <w:rsid w:val="008742D4"/>
    <w:rsid w:val="00874459"/>
    <w:rsid w:val="00874972"/>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5FF"/>
    <w:rsid w:val="00897B52"/>
    <w:rsid w:val="008A031C"/>
    <w:rsid w:val="008A0910"/>
    <w:rsid w:val="008A1797"/>
    <w:rsid w:val="008A1A77"/>
    <w:rsid w:val="008A22FA"/>
    <w:rsid w:val="008A293D"/>
    <w:rsid w:val="008A348C"/>
    <w:rsid w:val="008A419B"/>
    <w:rsid w:val="008A537A"/>
    <w:rsid w:val="008A58AA"/>
    <w:rsid w:val="008A5992"/>
    <w:rsid w:val="008A5E2A"/>
    <w:rsid w:val="008A7123"/>
    <w:rsid w:val="008A741C"/>
    <w:rsid w:val="008A793C"/>
    <w:rsid w:val="008A7D07"/>
    <w:rsid w:val="008A7D62"/>
    <w:rsid w:val="008B0947"/>
    <w:rsid w:val="008B1ADF"/>
    <w:rsid w:val="008B2EB2"/>
    <w:rsid w:val="008B3193"/>
    <w:rsid w:val="008B3927"/>
    <w:rsid w:val="008B39F8"/>
    <w:rsid w:val="008B4AC2"/>
    <w:rsid w:val="008B576C"/>
    <w:rsid w:val="008B617E"/>
    <w:rsid w:val="008C07EA"/>
    <w:rsid w:val="008C091D"/>
    <w:rsid w:val="008C0C57"/>
    <w:rsid w:val="008C2CA2"/>
    <w:rsid w:val="008C304E"/>
    <w:rsid w:val="008C3E16"/>
    <w:rsid w:val="008C422A"/>
    <w:rsid w:val="008C458E"/>
    <w:rsid w:val="008C4B2E"/>
    <w:rsid w:val="008C4E05"/>
    <w:rsid w:val="008C4E6B"/>
    <w:rsid w:val="008C6445"/>
    <w:rsid w:val="008C6674"/>
    <w:rsid w:val="008C671B"/>
    <w:rsid w:val="008C6B29"/>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4903"/>
    <w:rsid w:val="008E5591"/>
    <w:rsid w:val="008E562B"/>
    <w:rsid w:val="008E5C3F"/>
    <w:rsid w:val="008E65F6"/>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2BD"/>
    <w:rsid w:val="0090174A"/>
    <w:rsid w:val="00901D4A"/>
    <w:rsid w:val="00902054"/>
    <w:rsid w:val="0090227B"/>
    <w:rsid w:val="00902DCF"/>
    <w:rsid w:val="00902DD2"/>
    <w:rsid w:val="00903EE6"/>
    <w:rsid w:val="009055EF"/>
    <w:rsid w:val="009072E3"/>
    <w:rsid w:val="00910B8B"/>
    <w:rsid w:val="00910EF5"/>
    <w:rsid w:val="00910FF0"/>
    <w:rsid w:val="00911722"/>
    <w:rsid w:val="00911B19"/>
    <w:rsid w:val="00911DD7"/>
    <w:rsid w:val="00912BBD"/>
    <w:rsid w:val="00913315"/>
    <w:rsid w:val="0091431A"/>
    <w:rsid w:val="00915799"/>
    <w:rsid w:val="00916549"/>
    <w:rsid w:val="009165C8"/>
    <w:rsid w:val="0092062B"/>
    <w:rsid w:val="00920A29"/>
    <w:rsid w:val="00920C22"/>
    <w:rsid w:val="00920D40"/>
    <w:rsid w:val="0092133D"/>
    <w:rsid w:val="00921814"/>
    <w:rsid w:val="009219B5"/>
    <w:rsid w:val="00921EDF"/>
    <w:rsid w:val="00921F4F"/>
    <w:rsid w:val="0092230A"/>
    <w:rsid w:val="0092261C"/>
    <w:rsid w:val="00922DB7"/>
    <w:rsid w:val="009239BA"/>
    <w:rsid w:val="00924E81"/>
    <w:rsid w:val="00925555"/>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6DA1"/>
    <w:rsid w:val="00937509"/>
    <w:rsid w:val="009423BB"/>
    <w:rsid w:val="00942E28"/>
    <w:rsid w:val="0094327F"/>
    <w:rsid w:val="00944351"/>
    <w:rsid w:val="0094446C"/>
    <w:rsid w:val="0094483D"/>
    <w:rsid w:val="009448D1"/>
    <w:rsid w:val="0094502F"/>
    <w:rsid w:val="00945788"/>
    <w:rsid w:val="009458E6"/>
    <w:rsid w:val="00945C24"/>
    <w:rsid w:val="00946C2A"/>
    <w:rsid w:val="009474BB"/>
    <w:rsid w:val="00947B14"/>
    <w:rsid w:val="00950468"/>
    <w:rsid w:val="00950843"/>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6C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181C"/>
    <w:rsid w:val="009922CE"/>
    <w:rsid w:val="00992D9D"/>
    <w:rsid w:val="00992E87"/>
    <w:rsid w:val="009939DF"/>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237C"/>
    <w:rsid w:val="009C3206"/>
    <w:rsid w:val="009C36AA"/>
    <w:rsid w:val="009C36F2"/>
    <w:rsid w:val="009C474A"/>
    <w:rsid w:val="009C57B8"/>
    <w:rsid w:val="009C6A6A"/>
    <w:rsid w:val="009C6D99"/>
    <w:rsid w:val="009C71D3"/>
    <w:rsid w:val="009C78DB"/>
    <w:rsid w:val="009C7C6F"/>
    <w:rsid w:val="009C7D62"/>
    <w:rsid w:val="009C7DD7"/>
    <w:rsid w:val="009C7F88"/>
    <w:rsid w:val="009D0303"/>
    <w:rsid w:val="009D0BC1"/>
    <w:rsid w:val="009D1A19"/>
    <w:rsid w:val="009D1B87"/>
    <w:rsid w:val="009D1C4F"/>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07598"/>
    <w:rsid w:val="00A1059E"/>
    <w:rsid w:val="00A1111A"/>
    <w:rsid w:val="00A11343"/>
    <w:rsid w:val="00A11A4B"/>
    <w:rsid w:val="00A11FA8"/>
    <w:rsid w:val="00A1224B"/>
    <w:rsid w:val="00A1288E"/>
    <w:rsid w:val="00A12E7B"/>
    <w:rsid w:val="00A13C00"/>
    <w:rsid w:val="00A143AC"/>
    <w:rsid w:val="00A14EE8"/>
    <w:rsid w:val="00A161F8"/>
    <w:rsid w:val="00A16F90"/>
    <w:rsid w:val="00A20A69"/>
    <w:rsid w:val="00A20F0E"/>
    <w:rsid w:val="00A2186A"/>
    <w:rsid w:val="00A220AA"/>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718"/>
    <w:rsid w:val="00A36AFB"/>
    <w:rsid w:val="00A37C7C"/>
    <w:rsid w:val="00A40548"/>
    <w:rsid w:val="00A4257E"/>
    <w:rsid w:val="00A425A1"/>
    <w:rsid w:val="00A42852"/>
    <w:rsid w:val="00A42D0B"/>
    <w:rsid w:val="00A43DF9"/>
    <w:rsid w:val="00A45415"/>
    <w:rsid w:val="00A45BE8"/>
    <w:rsid w:val="00A45DC6"/>
    <w:rsid w:val="00A45F65"/>
    <w:rsid w:val="00A461D0"/>
    <w:rsid w:val="00A472EB"/>
    <w:rsid w:val="00A50279"/>
    <w:rsid w:val="00A50437"/>
    <w:rsid w:val="00A50A88"/>
    <w:rsid w:val="00A50C6F"/>
    <w:rsid w:val="00A51737"/>
    <w:rsid w:val="00A51B8E"/>
    <w:rsid w:val="00A522C8"/>
    <w:rsid w:val="00A5277A"/>
    <w:rsid w:val="00A535C5"/>
    <w:rsid w:val="00A54057"/>
    <w:rsid w:val="00A546FE"/>
    <w:rsid w:val="00A55ACB"/>
    <w:rsid w:val="00A55C37"/>
    <w:rsid w:val="00A55CDF"/>
    <w:rsid w:val="00A55FF5"/>
    <w:rsid w:val="00A56803"/>
    <w:rsid w:val="00A56818"/>
    <w:rsid w:val="00A56E4F"/>
    <w:rsid w:val="00A574EF"/>
    <w:rsid w:val="00A600F6"/>
    <w:rsid w:val="00A6068A"/>
    <w:rsid w:val="00A60F48"/>
    <w:rsid w:val="00A60FD0"/>
    <w:rsid w:val="00A617E7"/>
    <w:rsid w:val="00A62CA8"/>
    <w:rsid w:val="00A6443E"/>
    <w:rsid w:val="00A64820"/>
    <w:rsid w:val="00A6482F"/>
    <w:rsid w:val="00A64B06"/>
    <w:rsid w:val="00A64E13"/>
    <w:rsid w:val="00A654A6"/>
    <w:rsid w:val="00A656C0"/>
    <w:rsid w:val="00A6571E"/>
    <w:rsid w:val="00A657FE"/>
    <w:rsid w:val="00A65ED6"/>
    <w:rsid w:val="00A66537"/>
    <w:rsid w:val="00A67125"/>
    <w:rsid w:val="00A705BC"/>
    <w:rsid w:val="00A707B9"/>
    <w:rsid w:val="00A70FF4"/>
    <w:rsid w:val="00A71726"/>
    <w:rsid w:val="00A71955"/>
    <w:rsid w:val="00A723A2"/>
    <w:rsid w:val="00A724F6"/>
    <w:rsid w:val="00A72F47"/>
    <w:rsid w:val="00A73AF7"/>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4FAB"/>
    <w:rsid w:val="00AB6C40"/>
    <w:rsid w:val="00AB768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A94"/>
    <w:rsid w:val="00AE1F6D"/>
    <w:rsid w:val="00AE1FE3"/>
    <w:rsid w:val="00AE26AE"/>
    <w:rsid w:val="00AE2A1A"/>
    <w:rsid w:val="00AE42CE"/>
    <w:rsid w:val="00AE4647"/>
    <w:rsid w:val="00AE47A7"/>
    <w:rsid w:val="00AE5041"/>
    <w:rsid w:val="00AE559C"/>
    <w:rsid w:val="00AE5E6C"/>
    <w:rsid w:val="00AE68A1"/>
    <w:rsid w:val="00AE7185"/>
    <w:rsid w:val="00AE72DE"/>
    <w:rsid w:val="00AE78AE"/>
    <w:rsid w:val="00AE7DF6"/>
    <w:rsid w:val="00AF257C"/>
    <w:rsid w:val="00AF53BC"/>
    <w:rsid w:val="00AF611F"/>
    <w:rsid w:val="00AF6641"/>
    <w:rsid w:val="00AF6E04"/>
    <w:rsid w:val="00B002B7"/>
    <w:rsid w:val="00B005AC"/>
    <w:rsid w:val="00B00673"/>
    <w:rsid w:val="00B01261"/>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A54"/>
    <w:rsid w:val="00B20E7B"/>
    <w:rsid w:val="00B219D6"/>
    <w:rsid w:val="00B236D6"/>
    <w:rsid w:val="00B23AB1"/>
    <w:rsid w:val="00B23BF1"/>
    <w:rsid w:val="00B24EB0"/>
    <w:rsid w:val="00B25D6A"/>
    <w:rsid w:val="00B26D76"/>
    <w:rsid w:val="00B270CF"/>
    <w:rsid w:val="00B2768F"/>
    <w:rsid w:val="00B279A8"/>
    <w:rsid w:val="00B27C32"/>
    <w:rsid w:val="00B301A7"/>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A21"/>
    <w:rsid w:val="00B57F2D"/>
    <w:rsid w:val="00B6093A"/>
    <w:rsid w:val="00B60C26"/>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66EF"/>
    <w:rsid w:val="00B87234"/>
    <w:rsid w:val="00B87848"/>
    <w:rsid w:val="00B87AC0"/>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6BFB"/>
    <w:rsid w:val="00BB02CE"/>
    <w:rsid w:val="00BB043F"/>
    <w:rsid w:val="00BB1659"/>
    <w:rsid w:val="00BB16B5"/>
    <w:rsid w:val="00BB2208"/>
    <w:rsid w:val="00BB283D"/>
    <w:rsid w:val="00BB3C50"/>
    <w:rsid w:val="00BB3DA5"/>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4F31"/>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09E"/>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65E4"/>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4FE"/>
    <w:rsid w:val="00C25F54"/>
    <w:rsid w:val="00C26560"/>
    <w:rsid w:val="00C26590"/>
    <w:rsid w:val="00C27548"/>
    <w:rsid w:val="00C3065B"/>
    <w:rsid w:val="00C3109C"/>
    <w:rsid w:val="00C31FA2"/>
    <w:rsid w:val="00C320EC"/>
    <w:rsid w:val="00C3380A"/>
    <w:rsid w:val="00C34A5D"/>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2A1A"/>
    <w:rsid w:val="00C532FF"/>
    <w:rsid w:val="00C53BCA"/>
    <w:rsid w:val="00C549DA"/>
    <w:rsid w:val="00C54AEC"/>
    <w:rsid w:val="00C55330"/>
    <w:rsid w:val="00C55684"/>
    <w:rsid w:val="00C5575F"/>
    <w:rsid w:val="00C55F92"/>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1F61"/>
    <w:rsid w:val="00C92127"/>
    <w:rsid w:val="00C93034"/>
    <w:rsid w:val="00C945F7"/>
    <w:rsid w:val="00C947FB"/>
    <w:rsid w:val="00C94917"/>
    <w:rsid w:val="00C94E6F"/>
    <w:rsid w:val="00C9569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134F"/>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C6892"/>
    <w:rsid w:val="00CD0540"/>
    <w:rsid w:val="00CD05E9"/>
    <w:rsid w:val="00CD0697"/>
    <w:rsid w:val="00CD097B"/>
    <w:rsid w:val="00CD0EAB"/>
    <w:rsid w:val="00CD1748"/>
    <w:rsid w:val="00CD1D56"/>
    <w:rsid w:val="00CD201B"/>
    <w:rsid w:val="00CD228F"/>
    <w:rsid w:val="00CD2754"/>
    <w:rsid w:val="00CD437F"/>
    <w:rsid w:val="00CD43FE"/>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539"/>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48A"/>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58"/>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20FC"/>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4DC7"/>
    <w:rsid w:val="00D551EB"/>
    <w:rsid w:val="00D557CC"/>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DFB"/>
    <w:rsid w:val="00D741CD"/>
    <w:rsid w:val="00D74C89"/>
    <w:rsid w:val="00D752F0"/>
    <w:rsid w:val="00D75502"/>
    <w:rsid w:val="00D75DB6"/>
    <w:rsid w:val="00D75DFC"/>
    <w:rsid w:val="00D763B6"/>
    <w:rsid w:val="00D766BE"/>
    <w:rsid w:val="00D76877"/>
    <w:rsid w:val="00D7689C"/>
    <w:rsid w:val="00D77192"/>
    <w:rsid w:val="00D771F9"/>
    <w:rsid w:val="00D77940"/>
    <w:rsid w:val="00D77BE4"/>
    <w:rsid w:val="00D77CEF"/>
    <w:rsid w:val="00D8030D"/>
    <w:rsid w:val="00D8162F"/>
    <w:rsid w:val="00D81CE3"/>
    <w:rsid w:val="00D847BC"/>
    <w:rsid w:val="00D84815"/>
    <w:rsid w:val="00D84E1A"/>
    <w:rsid w:val="00D865C7"/>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F46"/>
    <w:rsid w:val="00DA4FC3"/>
    <w:rsid w:val="00DA53D3"/>
    <w:rsid w:val="00DA552C"/>
    <w:rsid w:val="00DA5FC5"/>
    <w:rsid w:val="00DA6061"/>
    <w:rsid w:val="00DA6926"/>
    <w:rsid w:val="00DA6C8F"/>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C9C"/>
    <w:rsid w:val="00DC6D13"/>
    <w:rsid w:val="00DC7FAF"/>
    <w:rsid w:val="00DD0B3A"/>
    <w:rsid w:val="00DD14F0"/>
    <w:rsid w:val="00DD1EBA"/>
    <w:rsid w:val="00DD434F"/>
    <w:rsid w:val="00DD4E01"/>
    <w:rsid w:val="00DD515C"/>
    <w:rsid w:val="00DD5890"/>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BD"/>
    <w:rsid w:val="00E112FC"/>
    <w:rsid w:val="00E113A7"/>
    <w:rsid w:val="00E1202C"/>
    <w:rsid w:val="00E12232"/>
    <w:rsid w:val="00E12C52"/>
    <w:rsid w:val="00E131BA"/>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ACD"/>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42A"/>
    <w:rsid w:val="00E565C0"/>
    <w:rsid w:val="00E56995"/>
    <w:rsid w:val="00E57A03"/>
    <w:rsid w:val="00E57ABA"/>
    <w:rsid w:val="00E612A1"/>
    <w:rsid w:val="00E615F9"/>
    <w:rsid w:val="00E61A0B"/>
    <w:rsid w:val="00E61BD0"/>
    <w:rsid w:val="00E622D4"/>
    <w:rsid w:val="00E628B7"/>
    <w:rsid w:val="00E63A76"/>
    <w:rsid w:val="00E65449"/>
    <w:rsid w:val="00E65F60"/>
    <w:rsid w:val="00E6605E"/>
    <w:rsid w:val="00E66855"/>
    <w:rsid w:val="00E67B36"/>
    <w:rsid w:val="00E700A7"/>
    <w:rsid w:val="00E7045C"/>
    <w:rsid w:val="00E71D79"/>
    <w:rsid w:val="00E722AD"/>
    <w:rsid w:val="00E73BAE"/>
    <w:rsid w:val="00E73E74"/>
    <w:rsid w:val="00E74662"/>
    <w:rsid w:val="00E749D1"/>
    <w:rsid w:val="00E751F5"/>
    <w:rsid w:val="00E7575D"/>
    <w:rsid w:val="00E77945"/>
    <w:rsid w:val="00E77B4C"/>
    <w:rsid w:val="00E77D92"/>
    <w:rsid w:val="00E80C11"/>
    <w:rsid w:val="00E81DCE"/>
    <w:rsid w:val="00E82919"/>
    <w:rsid w:val="00E82BE7"/>
    <w:rsid w:val="00E8383B"/>
    <w:rsid w:val="00E83B34"/>
    <w:rsid w:val="00E83BB7"/>
    <w:rsid w:val="00E83E8B"/>
    <w:rsid w:val="00E8493A"/>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232"/>
    <w:rsid w:val="00EB44C6"/>
    <w:rsid w:val="00EB4936"/>
    <w:rsid w:val="00EB4F64"/>
    <w:rsid w:val="00EB563D"/>
    <w:rsid w:val="00EB595A"/>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68CC"/>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F08"/>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CA"/>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AF2"/>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3227"/>
    <w:rsid w:val="00F54042"/>
    <w:rsid w:val="00F5435E"/>
    <w:rsid w:val="00F543DB"/>
    <w:rsid w:val="00F54A10"/>
    <w:rsid w:val="00F5519E"/>
    <w:rsid w:val="00F552F9"/>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88A"/>
    <w:rsid w:val="00F95FD2"/>
    <w:rsid w:val="00F96811"/>
    <w:rsid w:val="00F96C85"/>
    <w:rsid w:val="00F977EA"/>
    <w:rsid w:val="00F97A98"/>
    <w:rsid w:val="00F97CF5"/>
    <w:rsid w:val="00FA0185"/>
    <w:rsid w:val="00FA0AF8"/>
    <w:rsid w:val="00FA1000"/>
    <w:rsid w:val="00FA13AB"/>
    <w:rsid w:val="00FA2226"/>
    <w:rsid w:val="00FA25C0"/>
    <w:rsid w:val="00FA2C91"/>
    <w:rsid w:val="00FA30B9"/>
    <w:rsid w:val="00FA4C53"/>
    <w:rsid w:val="00FA4D0F"/>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B84"/>
    <w:rsid w:val="00FB60A6"/>
    <w:rsid w:val="00FB6F16"/>
    <w:rsid w:val="00FB7833"/>
    <w:rsid w:val="00FC026D"/>
    <w:rsid w:val="00FC17D6"/>
    <w:rsid w:val="00FC1AE6"/>
    <w:rsid w:val="00FC2EE6"/>
    <w:rsid w:val="00FC3733"/>
    <w:rsid w:val="00FC381E"/>
    <w:rsid w:val="00FC40E9"/>
    <w:rsid w:val="00FC4837"/>
    <w:rsid w:val="00FC52D3"/>
    <w:rsid w:val="00FC604B"/>
    <w:rsid w:val="00FC6DC5"/>
    <w:rsid w:val="00FC717E"/>
    <w:rsid w:val="00FC71B2"/>
    <w:rsid w:val="00FC74DD"/>
    <w:rsid w:val="00FC771A"/>
    <w:rsid w:val="00FC78A5"/>
    <w:rsid w:val="00FC7B85"/>
    <w:rsid w:val="00FD06FA"/>
    <w:rsid w:val="00FD08B3"/>
    <w:rsid w:val="00FD0916"/>
    <w:rsid w:val="00FD099F"/>
    <w:rsid w:val="00FD138B"/>
    <w:rsid w:val="00FD15CE"/>
    <w:rsid w:val="00FD3ABB"/>
    <w:rsid w:val="00FD3D34"/>
    <w:rsid w:val="00FD3D9B"/>
    <w:rsid w:val="00FD3E0F"/>
    <w:rsid w:val="00FD4197"/>
    <w:rsid w:val="00FD494E"/>
    <w:rsid w:val="00FD5241"/>
    <w:rsid w:val="00FD568E"/>
    <w:rsid w:val="00FD5E46"/>
    <w:rsid w:val="00FD658C"/>
    <w:rsid w:val="00FD739B"/>
    <w:rsid w:val="00FD78A0"/>
    <w:rsid w:val="00FD7AEC"/>
    <w:rsid w:val="00FE044E"/>
    <w:rsid w:val="00FE0B04"/>
    <w:rsid w:val="00FE101F"/>
    <w:rsid w:val="00FE164E"/>
    <w:rsid w:val="00FE18A9"/>
    <w:rsid w:val="00FE1F21"/>
    <w:rsid w:val="00FE32FC"/>
    <w:rsid w:val="00FE33EE"/>
    <w:rsid w:val="00FE7B59"/>
    <w:rsid w:val="00FE7C1A"/>
    <w:rsid w:val="00FF064D"/>
    <w:rsid w:val="00FF1201"/>
    <w:rsid w:val="00FF14D7"/>
    <w:rsid w:val="00FF16D5"/>
    <w:rsid w:val="00FF1B04"/>
    <w:rsid w:val="00FF3103"/>
    <w:rsid w:val="00FF31E6"/>
    <w:rsid w:val="00FF353A"/>
    <w:rsid w:val="00FF4402"/>
    <w:rsid w:val="00FF4B8C"/>
    <w:rsid w:val="00FF4E5A"/>
    <w:rsid w:val="00FF57E0"/>
    <w:rsid w:val="00FF613A"/>
    <w:rsid w:val="00FF6555"/>
    <w:rsid w:val="00FF65AC"/>
    <w:rsid w:val="00FF67F7"/>
    <w:rsid w:val="00FF6C93"/>
    <w:rsid w:val="00FF7763"/>
    <w:rsid w:val="00FF78E9"/>
    <w:rsid w:val="0102714D"/>
    <w:rsid w:val="01242ABC"/>
    <w:rsid w:val="0150D08C"/>
    <w:rsid w:val="0157427A"/>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2750A9"/>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C2E563"/>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4FE2212"/>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5E6E5"/>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68F1C3"/>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84291"/>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65C125"/>
    <w:rsid w:val="58BAFD33"/>
    <w:rsid w:val="58D2B06A"/>
    <w:rsid w:val="58D84588"/>
    <w:rsid w:val="58E2B6EE"/>
    <w:rsid w:val="59032A09"/>
    <w:rsid w:val="5935B731"/>
    <w:rsid w:val="593617DE"/>
    <w:rsid w:val="596D573D"/>
    <w:rsid w:val="59856B0B"/>
    <w:rsid w:val="59BA5D6C"/>
    <w:rsid w:val="5A04409B"/>
    <w:rsid w:val="5A3640A2"/>
    <w:rsid w:val="5A39A4A6"/>
    <w:rsid w:val="5A53DEC1"/>
    <w:rsid w:val="5A9DB4B5"/>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E285E5"/>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D9310C"/>
    <w:rsid w:val="64E295D3"/>
    <w:rsid w:val="64F55980"/>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A4264C"/>
    <w:rsid w:val="68D2F66C"/>
    <w:rsid w:val="68E38591"/>
    <w:rsid w:val="68E39A00"/>
    <w:rsid w:val="68FA63FA"/>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DC956C"/>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3A1E79"/>
    <w:rsid w:val="7554FB06"/>
    <w:rsid w:val="756C5941"/>
    <w:rsid w:val="75829BE7"/>
    <w:rsid w:val="759DCF45"/>
    <w:rsid w:val="75FA5EEC"/>
    <w:rsid w:val="760A4A64"/>
    <w:rsid w:val="761C6F3C"/>
    <w:rsid w:val="7628A45F"/>
    <w:rsid w:val="76A31D8A"/>
    <w:rsid w:val="76A5844F"/>
    <w:rsid w:val="76C15DBD"/>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24409F"/>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BC748E74-9427-49EB-A7E4-FAB70F1DD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3582A082-04A2-4361-9702-88EFBDDAD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01BF7312-80F4-446C-B6D8-0F2944C6F92F}">
  <ds:schemaRefs>
    <ds:schemaRef ds:uri="c5699820-3acf-401b-ab2e-c7e85a4a674a"/>
    <ds:schemaRef ds:uri="http://schemas.microsoft.com/office/2006/documentManagement/types"/>
    <ds:schemaRef ds:uri="http://purl.org/dc/terms/"/>
    <ds:schemaRef ds:uri="http://www.w3.org/XML/1998/namespace"/>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6176efa2-30a0-441c-9c03-48f8aba8ceb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848</Words>
  <Characters>4577</Characters>
  <Application>Microsoft Office Word</Application>
  <DocSecurity>0</DocSecurity>
  <Lines>38</Lines>
  <Paragraphs>10</Paragraphs>
  <ScaleCrop>false</ScaleCrop>
  <Company>Tejas Networks Ltd.</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167</cp:revision>
  <dcterms:created xsi:type="dcterms:W3CDTF">2024-07-25T23:24:00Z</dcterms:created>
  <dcterms:modified xsi:type="dcterms:W3CDTF">2024-10-04T07:05:00Z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0x01010013F341E96D5F85459BC6D958FECA505E</vt:lpwstr>
  </property>
  <property fmtid="{D5CDD505-2E9C-101B-9397-08002B2CF9AE}" pid="4" name="MediaServiceImageTags">
    <vt:lpwstr/>
  </property>
</Properties>
</file>