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3C1A1EEC"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704B">
        <w:rPr>
          <w:rFonts w:cs="Arial"/>
          <w:sz w:val="24"/>
          <w:szCs w:val="24"/>
          <w:lang w:val="de-DE"/>
        </w:rPr>
        <w:t>1</w:t>
      </w:r>
      <w:r w:rsidR="00006351" w:rsidRPr="00DB3907">
        <w:rPr>
          <w:rFonts w:cs="Arial"/>
          <w:sz w:val="24"/>
          <w:szCs w:val="24"/>
          <w:lang w:val="de-DE"/>
        </w:rPr>
        <w:tab/>
      </w:r>
      <w:r w:rsidR="00C65BB8" w:rsidRPr="00C65BB8">
        <w:rPr>
          <w:rFonts w:cs="Arial"/>
          <w:sz w:val="24"/>
          <w:szCs w:val="24"/>
          <w:lang w:val="de-DE"/>
        </w:rPr>
        <w:t>R4-2409054</w:t>
      </w:r>
    </w:p>
    <w:p w14:paraId="1BDB0B17" w14:textId="5BA62F9C" w:rsidR="007B2CE0" w:rsidRPr="00C3099F" w:rsidRDefault="00C2704B" w:rsidP="00C3099F">
      <w:pPr>
        <w:tabs>
          <w:tab w:val="left" w:pos="1985"/>
        </w:tabs>
        <w:spacing w:after="0"/>
        <w:jc w:val="both"/>
        <w:rPr>
          <w:rFonts w:ascii="Arial" w:eastAsia="MS Mincho" w:hAnsi="Arial" w:cs="Arial"/>
          <w:b/>
          <w:sz w:val="24"/>
          <w:szCs w:val="24"/>
          <w:lang w:eastAsia="zh-TW"/>
        </w:rPr>
      </w:pPr>
      <w:r w:rsidRPr="00C2704B">
        <w:rPr>
          <w:rFonts w:ascii="Arial" w:hAnsi="Arial"/>
          <w:b/>
          <w:sz w:val="24"/>
          <w:szCs w:val="24"/>
          <w:lang w:eastAsia="zh-CN"/>
        </w:rPr>
        <w:t>Fukuoka, Japan, 20th – 24th May, 2024</w:t>
      </w:r>
      <w:r w:rsidR="001674F2" w:rsidRPr="001674F2">
        <w:rPr>
          <w:rFonts w:ascii="Arial" w:hAnsi="Arial"/>
          <w:b/>
          <w:sz w:val="24"/>
          <w:szCs w:val="24"/>
          <w:lang w:eastAsia="zh-CN"/>
        </w:rPr>
        <w:cr/>
      </w:r>
    </w:p>
    <w:p w14:paraId="16783F2C" w14:textId="33F68062" w:rsidR="00DB3907" w:rsidRDefault="00DB3907" w:rsidP="0056403E">
      <w:pPr>
        <w:tabs>
          <w:tab w:val="left" w:pos="1985"/>
        </w:tabs>
        <w:spacing w:after="60"/>
        <w:jc w:val="both"/>
        <w:rPr>
          <w:rFonts w:ascii="Arial" w:hAnsi="Arial"/>
          <w:sz w:val="24"/>
          <w:lang w:val="en-US" w:eastAsia="zh-TW"/>
        </w:rPr>
      </w:pPr>
      <w:r>
        <w:rPr>
          <w:rFonts w:ascii="Arial" w:hAnsi="Arial"/>
          <w:b/>
          <w:sz w:val="24"/>
          <w:lang w:val="en-US"/>
        </w:rPr>
        <w:t>Agenda item:</w:t>
      </w:r>
      <w:r w:rsidR="0056403E">
        <w:rPr>
          <w:rFonts w:ascii="Arial" w:hAnsi="Arial"/>
          <w:b/>
          <w:sz w:val="24"/>
          <w:lang w:val="en-US"/>
        </w:rPr>
        <w:tab/>
      </w:r>
      <w:r w:rsidR="00F779C8">
        <w:rPr>
          <w:rFonts w:ascii="Arial" w:hAnsi="Arial"/>
          <w:sz w:val="24"/>
          <w:lang w:val="en-US"/>
        </w:rPr>
        <w:t>1</w:t>
      </w:r>
      <w:r w:rsidR="00C2704B">
        <w:rPr>
          <w:rFonts w:ascii="Arial" w:hAnsi="Arial"/>
          <w:sz w:val="24"/>
          <w:lang w:val="en-US"/>
        </w:rPr>
        <w:t>0</w:t>
      </w:r>
      <w:r w:rsidR="00F779C8">
        <w:rPr>
          <w:rFonts w:ascii="Arial" w:hAnsi="Arial"/>
          <w:sz w:val="24"/>
          <w:lang w:val="en-US"/>
        </w:rPr>
        <w:t>.</w:t>
      </w:r>
      <w:r w:rsidR="0035120D">
        <w:rPr>
          <w:rFonts w:ascii="Arial" w:hAnsi="Arial"/>
          <w:sz w:val="24"/>
          <w:lang w:val="en-US"/>
        </w:rPr>
        <w:t>3.</w:t>
      </w:r>
      <w:r w:rsidR="00FA4802">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4C6A7BE0"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507DF9">
        <w:rPr>
          <w:rFonts w:ascii="Arial" w:hAnsi="Arial"/>
          <w:sz w:val="24"/>
          <w:lang w:val="en-US"/>
        </w:rPr>
        <w:t xml:space="preserve">IMT parameters for </w:t>
      </w:r>
      <w:r w:rsidR="008D0601">
        <w:rPr>
          <w:rFonts w:ascii="Arial" w:hAnsi="Arial"/>
          <w:sz w:val="24"/>
          <w:lang w:val="en-US"/>
        </w:rPr>
        <w:t>4400</w:t>
      </w:r>
      <w:r w:rsidR="00507DF9">
        <w:rPr>
          <w:rFonts w:ascii="Arial" w:hAnsi="Arial"/>
          <w:sz w:val="24"/>
          <w:lang w:val="en-US"/>
        </w:rPr>
        <w:t xml:space="preserve"> to </w:t>
      </w:r>
      <w:r w:rsidR="008D0601">
        <w:rPr>
          <w:rFonts w:ascii="Arial" w:hAnsi="Arial"/>
          <w:sz w:val="24"/>
          <w:lang w:val="en-US"/>
        </w:rPr>
        <w:t>48</w:t>
      </w:r>
      <w:r w:rsidR="00507DF9">
        <w:rPr>
          <w:rFonts w:ascii="Arial" w:hAnsi="Arial"/>
          <w:sz w:val="24"/>
          <w:lang w:val="en-US"/>
        </w:rPr>
        <w:t>00MHz</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0623814D" w14:textId="749857CE" w:rsidR="00131263" w:rsidRDefault="00507DF9" w:rsidP="00131263">
      <w:pPr>
        <w:jc w:val="both"/>
        <w:rPr>
          <w:lang w:val="en-US"/>
        </w:rPr>
      </w:pPr>
      <w:r>
        <w:rPr>
          <w:lang w:val="en-US" w:eastAsia="zh-TW"/>
        </w:rPr>
        <w:t xml:space="preserve">In the latest </w:t>
      </w:r>
      <w:r w:rsidRPr="00507DF9">
        <w:rPr>
          <w:lang w:val="en-US"/>
        </w:rPr>
        <w:t>World Radiocommunication Conference 2023 (WRC-23)</w:t>
      </w:r>
      <w:r w:rsidR="002F198B">
        <w:rPr>
          <w:lang w:val="en-US"/>
        </w:rPr>
        <w:t xml:space="preserve"> meeting</w:t>
      </w:r>
      <w:r w:rsidRPr="00507DF9">
        <w:rPr>
          <w:lang w:val="en-US"/>
        </w:rPr>
        <w:t>,</w:t>
      </w:r>
      <w:r w:rsidR="002F198B">
        <w:rPr>
          <w:lang w:val="en-US"/>
        </w:rPr>
        <w:t xml:space="preserve"> </w:t>
      </w:r>
      <w:r w:rsidR="002F198B" w:rsidRPr="00507DF9">
        <w:rPr>
          <w:lang w:val="en-US"/>
        </w:rPr>
        <w:t>three frequency ranges (4400-4800 MHz, 7125-8400 MHz, and 14800-15350 MHz)</w:t>
      </w:r>
      <w:r w:rsidR="002F198B">
        <w:rPr>
          <w:lang w:val="en-US"/>
        </w:rPr>
        <w:t xml:space="preserve"> are identified </w:t>
      </w:r>
      <w:r w:rsidR="002F198B" w:rsidRPr="00507DF9">
        <w:rPr>
          <w:lang w:val="en-US"/>
        </w:rPr>
        <w:t>as potential candidates</w:t>
      </w:r>
      <w:r w:rsidR="002F198B">
        <w:rPr>
          <w:lang w:val="en-US"/>
        </w:rPr>
        <w:t xml:space="preserve"> for IMT-2030. </w:t>
      </w:r>
      <w:r w:rsidR="002F198B" w:rsidRPr="00507DF9">
        <w:rPr>
          <w:lang w:val="en-US"/>
        </w:rPr>
        <w:t>ITU-R Working Party 5D (WP5D</w:t>
      </w:r>
      <w:r w:rsidR="002F198B">
        <w:rPr>
          <w:lang w:val="en-US"/>
        </w:rPr>
        <w:t>)</w:t>
      </w:r>
      <w:r w:rsidR="002F198B" w:rsidRPr="002F198B">
        <w:rPr>
          <w:lang w:val="en-US"/>
        </w:rPr>
        <w:t xml:space="preserve"> </w:t>
      </w:r>
      <w:r w:rsidR="002F198B" w:rsidRPr="00507DF9">
        <w:rPr>
          <w:lang w:val="en-US"/>
        </w:rPr>
        <w:t>was tasked with conducting sharing and compatibility studies</w:t>
      </w:r>
      <w:r w:rsidR="00131263">
        <w:rPr>
          <w:lang w:val="en-US"/>
        </w:rPr>
        <w:t>, and a</w:t>
      </w:r>
      <w:r w:rsidR="002F198B">
        <w:rPr>
          <w:lang w:val="en-US"/>
        </w:rPr>
        <w:t xml:space="preserve"> LS [</w:t>
      </w:r>
      <w:r w:rsidR="00131263">
        <w:rPr>
          <w:lang w:val="en-US"/>
        </w:rPr>
        <w:t>1</w:t>
      </w:r>
      <w:r w:rsidR="002F198B">
        <w:rPr>
          <w:lang w:val="en-US"/>
        </w:rPr>
        <w:t xml:space="preserve">] </w:t>
      </w:r>
      <w:r w:rsidR="00131263">
        <w:rPr>
          <w:lang w:val="en-US"/>
        </w:rPr>
        <w:t>was sent to</w:t>
      </w:r>
      <w:r w:rsidR="002F198B">
        <w:rPr>
          <w:lang w:val="en-US"/>
        </w:rPr>
        <w:t xml:space="preserve"> </w:t>
      </w:r>
      <w:r w:rsidR="00131263">
        <w:rPr>
          <w:lang w:val="en-US"/>
        </w:rPr>
        <w:t xml:space="preserve">request </w:t>
      </w:r>
      <w:r w:rsidR="002F198B">
        <w:rPr>
          <w:lang w:val="en-US"/>
        </w:rPr>
        <w:t xml:space="preserve">RAN4 </w:t>
      </w:r>
      <w:r w:rsidR="00834B48">
        <w:rPr>
          <w:lang w:val="en-US"/>
        </w:rPr>
        <w:t xml:space="preserve">to </w:t>
      </w:r>
      <w:r w:rsidR="00131263">
        <w:rPr>
          <w:lang w:val="en-US"/>
        </w:rPr>
        <w:t>provid</w:t>
      </w:r>
      <w:r w:rsidR="00834B48">
        <w:rPr>
          <w:lang w:val="en-US"/>
        </w:rPr>
        <w:t>e</w:t>
      </w:r>
      <w:r w:rsidR="002F198B">
        <w:rPr>
          <w:lang w:val="en-US"/>
        </w:rPr>
        <w:t xml:space="preserve"> technical parameters for these candidate frequency range.</w:t>
      </w:r>
      <w:r w:rsidR="002F198B">
        <w:rPr>
          <w:rFonts w:hint="eastAsia"/>
          <w:lang w:val="en-US" w:eastAsia="zh-TW"/>
        </w:rPr>
        <w:t xml:space="preserve"> </w:t>
      </w:r>
      <w:r w:rsidR="00131263" w:rsidRPr="00507DF9">
        <w:rPr>
          <w:lang w:val="en-US"/>
        </w:rPr>
        <w:t xml:space="preserve">In response, a </w:t>
      </w:r>
      <w:r w:rsidR="00131263">
        <w:rPr>
          <w:lang w:val="en-US"/>
        </w:rPr>
        <w:t>s</w:t>
      </w:r>
      <w:r w:rsidR="00131263" w:rsidRPr="00507DF9">
        <w:rPr>
          <w:lang w:val="en-US"/>
        </w:rPr>
        <w:t xml:space="preserve">tudy </w:t>
      </w:r>
      <w:r w:rsidR="00131263">
        <w:rPr>
          <w:lang w:val="en-US"/>
        </w:rPr>
        <w:t>i</w:t>
      </w:r>
      <w:r w:rsidR="00131263" w:rsidRPr="00507DF9">
        <w:rPr>
          <w:lang w:val="en-US"/>
        </w:rPr>
        <w:t xml:space="preserve">tem </w:t>
      </w:r>
      <w:r w:rsidR="00131263">
        <w:rPr>
          <w:lang w:val="en-US"/>
        </w:rPr>
        <w:t>[</w:t>
      </w:r>
      <w:r w:rsidR="00BE579C">
        <w:rPr>
          <w:lang w:val="en-US"/>
        </w:rPr>
        <w:t>2</w:t>
      </w:r>
      <w:r w:rsidR="00131263">
        <w:rPr>
          <w:lang w:val="en-US"/>
        </w:rPr>
        <w:t xml:space="preserve">] </w:t>
      </w:r>
      <w:r w:rsidR="005836E6">
        <w:rPr>
          <w:lang w:val="en-US"/>
        </w:rPr>
        <w:t>for</w:t>
      </w:r>
      <w:r w:rsidR="00131263" w:rsidRPr="00507DF9">
        <w:rPr>
          <w:lang w:val="en-US"/>
        </w:rPr>
        <w:t xml:space="preserve"> the</w:t>
      </w:r>
      <w:r w:rsidR="00131263">
        <w:rPr>
          <w:lang w:val="en-US"/>
        </w:rPr>
        <w:t>se</w:t>
      </w:r>
      <w:r w:rsidR="00131263" w:rsidRPr="00507DF9">
        <w:rPr>
          <w:lang w:val="en-US"/>
        </w:rPr>
        <w:t xml:space="preserve"> </w:t>
      </w:r>
      <w:r w:rsidR="00131263">
        <w:rPr>
          <w:lang w:val="en-US"/>
        </w:rPr>
        <w:t>IMT</w:t>
      </w:r>
      <w:r w:rsidR="00131263" w:rsidRPr="00507DF9">
        <w:rPr>
          <w:lang w:val="en-US"/>
        </w:rPr>
        <w:t xml:space="preserve"> technical parameters</w:t>
      </w:r>
      <w:r w:rsidR="00131263">
        <w:rPr>
          <w:lang w:val="en-US"/>
        </w:rPr>
        <w:t xml:space="preserve"> </w:t>
      </w:r>
      <w:r w:rsidR="005836E6">
        <w:rPr>
          <w:lang w:val="en-US"/>
        </w:rPr>
        <w:t>has been</w:t>
      </w:r>
      <w:r w:rsidR="00131263">
        <w:rPr>
          <w:lang w:val="en-US"/>
        </w:rPr>
        <w:t xml:space="preserve"> approved in </w:t>
      </w:r>
      <w:r w:rsidR="00131263" w:rsidRPr="00507DF9">
        <w:rPr>
          <w:lang w:val="en-US"/>
        </w:rPr>
        <w:t xml:space="preserve">RAN#103. </w:t>
      </w:r>
      <w:r w:rsidR="00834B48">
        <w:rPr>
          <w:lang w:val="en-US"/>
        </w:rPr>
        <w:t>The objective of the WID is shown as follows.</w:t>
      </w:r>
    </w:p>
    <w:tbl>
      <w:tblPr>
        <w:tblStyle w:val="TableGrid"/>
        <w:tblW w:w="0" w:type="auto"/>
        <w:tblLook w:val="04A0" w:firstRow="1" w:lastRow="0" w:firstColumn="1" w:lastColumn="0" w:noHBand="0" w:noVBand="1"/>
      </w:tblPr>
      <w:tblGrid>
        <w:gridCol w:w="9621"/>
      </w:tblGrid>
      <w:tr w:rsidR="00131263" w14:paraId="65F4902E" w14:textId="77777777" w:rsidTr="00C93874">
        <w:tc>
          <w:tcPr>
            <w:tcW w:w="9621" w:type="dxa"/>
          </w:tcPr>
          <w:p w14:paraId="7C304417" w14:textId="77777777" w:rsidR="00834B48" w:rsidRPr="008D0601" w:rsidRDefault="00834B48" w:rsidP="00834B48">
            <w:pPr>
              <w:spacing w:after="0"/>
              <w:rPr>
                <w:bCs/>
              </w:rPr>
            </w:pPr>
            <w:r w:rsidRPr="008D0601">
              <w:rPr>
                <w:bCs/>
              </w:rPr>
              <w:t xml:space="preserve">The following objectives are defined for the frequency ranges in question: </w:t>
            </w:r>
          </w:p>
          <w:p w14:paraId="62B1188B" w14:textId="77777777" w:rsidR="00834B48" w:rsidRPr="008D0601" w:rsidRDefault="00834B48" w:rsidP="00834B48">
            <w:pPr>
              <w:spacing w:after="0"/>
              <w:rPr>
                <w:bCs/>
              </w:rPr>
            </w:pPr>
          </w:p>
          <w:p w14:paraId="3F0785CE" w14:textId="77777777" w:rsidR="00834B48" w:rsidRPr="008D0601" w:rsidRDefault="00834B48" w:rsidP="00834B48">
            <w:pPr>
              <w:numPr>
                <w:ilvl w:val="0"/>
                <w:numId w:val="56"/>
              </w:numPr>
              <w:overflowPunct w:val="0"/>
              <w:autoSpaceDE w:val="0"/>
              <w:autoSpaceDN w:val="0"/>
              <w:adjustRightInd w:val="0"/>
              <w:spacing w:after="0"/>
              <w:textAlignment w:val="baseline"/>
              <w:rPr>
                <w:bCs/>
              </w:rPr>
            </w:pPr>
            <w:r w:rsidRPr="008D0601">
              <w:rPr>
                <w:bCs/>
              </w:rPr>
              <w:t>Study the IMT parameters relevant for sharing and compatibility for 7125 to 8400 MHz frequency range.</w:t>
            </w:r>
          </w:p>
          <w:p w14:paraId="1EA50C99" w14:textId="77777777" w:rsidR="00834B48" w:rsidRPr="008D0601" w:rsidRDefault="00834B48" w:rsidP="00834B48">
            <w:pPr>
              <w:numPr>
                <w:ilvl w:val="0"/>
                <w:numId w:val="56"/>
              </w:numPr>
              <w:overflowPunct w:val="0"/>
              <w:autoSpaceDE w:val="0"/>
              <w:autoSpaceDN w:val="0"/>
              <w:adjustRightInd w:val="0"/>
              <w:spacing w:after="0"/>
              <w:textAlignment w:val="baseline"/>
              <w:rPr>
                <w:bCs/>
              </w:rPr>
            </w:pPr>
            <w:r w:rsidRPr="008D0601">
              <w:rPr>
                <w:bCs/>
              </w:rPr>
              <w:t>Study the IMT parameters relevant for sharing and compatibility for 14800 to 15350 MHz frequency range.</w:t>
            </w:r>
          </w:p>
          <w:p w14:paraId="3CE11E7A" w14:textId="77777777" w:rsidR="00834B48" w:rsidRPr="008D0601" w:rsidRDefault="00834B48" w:rsidP="00834B48">
            <w:pPr>
              <w:spacing w:after="0"/>
              <w:ind w:left="720"/>
              <w:rPr>
                <w:bCs/>
              </w:rPr>
            </w:pPr>
          </w:p>
          <w:p w14:paraId="3BEBF3CB" w14:textId="6DE0CE86" w:rsidR="00131263" w:rsidRPr="008D0601" w:rsidRDefault="00834B48" w:rsidP="00834B48">
            <w:pPr>
              <w:pStyle w:val="NO"/>
            </w:pPr>
            <w:r w:rsidRPr="008D0601">
              <w:rPr>
                <w:highlight w:val="yellow"/>
              </w:rPr>
              <w:t>NOTE:</w:t>
            </w:r>
            <w:r w:rsidRPr="008D0601">
              <w:rPr>
                <w:highlight w:val="yellow"/>
              </w:rPr>
              <w:tab/>
            </w:r>
            <w:r w:rsidRPr="008D0601">
              <w:rPr>
                <w:bCs/>
                <w:highlight w:val="yellow"/>
              </w:rPr>
              <w:t xml:space="preserve">IMT parameters relevant for sharing and compatibility for </w:t>
            </w:r>
            <w:r w:rsidRPr="008D0601">
              <w:rPr>
                <w:highlight w:val="yellow"/>
              </w:rPr>
              <w:t>4400 to 4800 MHz are reused from the already available RAN4 evaluations.</w:t>
            </w:r>
            <w:r w:rsidRPr="008D0601">
              <w:t xml:space="preserve"> </w:t>
            </w:r>
          </w:p>
        </w:tc>
      </w:tr>
    </w:tbl>
    <w:p w14:paraId="36538502" w14:textId="2CC62FD9" w:rsidR="00507DF9" w:rsidRPr="00BD586F" w:rsidRDefault="00834B48" w:rsidP="00507DF9">
      <w:pPr>
        <w:jc w:val="both"/>
        <w:rPr>
          <w:lang w:val="en-US"/>
        </w:rPr>
      </w:pPr>
      <w:r>
        <w:rPr>
          <w:lang w:val="en-US"/>
        </w:rPr>
        <w:t>In RAN4#110bis</w:t>
      </w:r>
      <w:r w:rsidRPr="00060A4E">
        <w:rPr>
          <w:lang w:val="en-US"/>
        </w:rPr>
        <w:t>,</w:t>
      </w:r>
      <w:r>
        <w:rPr>
          <w:lang w:val="en-US"/>
        </w:rPr>
        <w:t xml:space="preserve"> the IMT parameters for </w:t>
      </w:r>
      <w:r w:rsidR="00265F1C">
        <w:rPr>
          <w:lang w:val="en-US"/>
        </w:rPr>
        <w:t>the frequency range 4400</w:t>
      </w:r>
      <w:r w:rsidR="00265F1C">
        <w:rPr>
          <w:bCs/>
        </w:rPr>
        <w:t xml:space="preserve"> to 4800 MHz </w:t>
      </w:r>
      <w:r>
        <w:rPr>
          <w:lang w:val="en-US"/>
        </w:rPr>
        <w:t xml:space="preserve">has been discussed and </w:t>
      </w:r>
      <w:r w:rsidR="00265F1C">
        <w:rPr>
          <w:lang w:val="en-US"/>
        </w:rPr>
        <w:t>the</w:t>
      </w:r>
      <w:r>
        <w:rPr>
          <w:lang w:val="en-US"/>
        </w:rPr>
        <w:t xml:space="preserve"> </w:t>
      </w:r>
      <w:r w:rsidR="00265F1C">
        <w:rPr>
          <w:lang w:val="en-US"/>
        </w:rPr>
        <w:t xml:space="preserve">remaining </w:t>
      </w:r>
      <w:r>
        <w:rPr>
          <w:lang w:val="en-US"/>
        </w:rPr>
        <w:t>issue</w:t>
      </w:r>
      <w:r w:rsidR="00265F1C">
        <w:rPr>
          <w:lang w:val="en-US"/>
        </w:rPr>
        <w:t xml:space="preserve"> for SBFD</w:t>
      </w:r>
      <w:r>
        <w:rPr>
          <w:lang w:val="en-US"/>
        </w:rPr>
        <w:t xml:space="preserve"> </w:t>
      </w:r>
      <w:r w:rsidR="00265F1C">
        <w:rPr>
          <w:lang w:val="en-US"/>
        </w:rPr>
        <w:t>is</w:t>
      </w:r>
      <w:r>
        <w:rPr>
          <w:lang w:val="en-US"/>
        </w:rPr>
        <w:t xml:space="preserve"> captured in the approved WF [</w:t>
      </w:r>
      <w:r w:rsidR="001327EB">
        <w:rPr>
          <w:lang w:val="en-US"/>
        </w:rPr>
        <w:t>3</w:t>
      </w:r>
      <w:r>
        <w:rPr>
          <w:lang w:val="en-US"/>
        </w:rPr>
        <w:t>].</w:t>
      </w:r>
      <w:r w:rsidR="00265F1C">
        <w:rPr>
          <w:lang w:val="en-US"/>
        </w:rPr>
        <w:t xml:space="preserve"> </w:t>
      </w:r>
      <w:r w:rsidR="00BD586F">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487ABD46" w14:textId="3A623EBA" w:rsidR="008D0601" w:rsidRDefault="008D0601" w:rsidP="008D0601">
            <w:pPr>
              <w:pStyle w:val="Heading1"/>
              <w:keepLines w:val="0"/>
              <w:numPr>
                <w:ilvl w:val="0"/>
                <w:numId w:val="0"/>
              </w:numPr>
              <w:pBdr>
                <w:top w:val="none" w:sz="0" w:space="0" w:color="auto"/>
              </w:pBdr>
              <w:spacing w:before="0" w:after="240"/>
              <w:ind w:left="432" w:right="284" w:hanging="432"/>
            </w:pPr>
            <w:r>
              <w:t>2. Way-forward</w:t>
            </w:r>
          </w:p>
          <w:p w14:paraId="27BC104E" w14:textId="77777777" w:rsidR="008D0601" w:rsidRPr="00BB66AD" w:rsidRDefault="008D0601" w:rsidP="008D0601">
            <w:pPr>
              <w:pStyle w:val="BodyText"/>
              <w:rPr>
                <w:highlight w:val="green"/>
                <w:u w:val="single"/>
              </w:rPr>
            </w:pPr>
            <w:r w:rsidRPr="00BB66AD">
              <w:rPr>
                <w:highlight w:val="green"/>
                <w:u w:val="single"/>
              </w:rPr>
              <w:t xml:space="preserve">Agreements:  </w:t>
            </w:r>
          </w:p>
          <w:p w14:paraId="74CA4D0F" w14:textId="77777777" w:rsidR="008D0601" w:rsidRPr="00BB66AD" w:rsidRDefault="008D0601" w:rsidP="008D0601">
            <w:pPr>
              <w:pStyle w:val="BodyText"/>
              <w:rPr>
                <w:highlight w:val="green"/>
              </w:rPr>
            </w:pPr>
            <w:r w:rsidRPr="00BB66AD">
              <w:rPr>
                <w:highlight w:val="green"/>
              </w:rPr>
              <w:t>For the frequency range 4400 to 4800 MHz, RAN4 agreed to provide ITU-R WP 5D with information based on Annex in Section 4.</w:t>
            </w:r>
          </w:p>
          <w:p w14:paraId="6DD2BFF3" w14:textId="40B204C3" w:rsidR="00587FE1" w:rsidRPr="008D0601" w:rsidRDefault="008D0601" w:rsidP="008D0601">
            <w:pPr>
              <w:pStyle w:val="BodyText"/>
            </w:pPr>
            <w:r w:rsidRPr="00BB66AD">
              <w:rPr>
                <w:highlight w:val="green"/>
              </w:rPr>
              <w:t>It is FFS to add a note for SBFD to parameter 1 (duplex method) in Table 1 or in SI TR.</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1729204E" w14:textId="39F3D845" w:rsidR="003A0CC4" w:rsidRDefault="007E229F" w:rsidP="0085336C">
      <w:pPr>
        <w:jc w:val="both"/>
        <w:rPr>
          <w:bCs/>
        </w:rPr>
      </w:pPr>
      <w:r>
        <w:rPr>
          <w:bCs/>
          <w:lang w:val="en-US" w:eastAsia="zh-TW"/>
        </w:rPr>
        <w:t xml:space="preserve">In RAN4#110bis, the technical parameters for </w:t>
      </w:r>
      <w:r>
        <w:rPr>
          <w:lang w:val="en-US"/>
        </w:rPr>
        <w:t>the frequency range 4400</w:t>
      </w:r>
      <w:r>
        <w:rPr>
          <w:bCs/>
        </w:rPr>
        <w:t xml:space="preserve"> to 4800 MHz </w:t>
      </w:r>
      <w:proofErr w:type="gramStart"/>
      <w:r w:rsidR="003A0CC4">
        <w:rPr>
          <w:bCs/>
        </w:rPr>
        <w:t>has</w:t>
      </w:r>
      <w:proofErr w:type="gramEnd"/>
      <w:r w:rsidR="003A0CC4">
        <w:rPr>
          <w:bCs/>
        </w:rPr>
        <w:t xml:space="preserve"> been </w:t>
      </w:r>
      <w:r>
        <w:rPr>
          <w:bCs/>
        </w:rPr>
        <w:t>discussed,</w:t>
      </w:r>
      <w:r w:rsidR="00DD1802">
        <w:rPr>
          <w:bCs/>
        </w:rPr>
        <w:t xml:space="preserve"> and</w:t>
      </w:r>
      <w:r>
        <w:rPr>
          <w:bCs/>
        </w:rPr>
        <w:t xml:space="preserve"> most of technical parameters are harmonized</w:t>
      </w:r>
      <w:r w:rsidR="00DD1802">
        <w:rPr>
          <w:bCs/>
        </w:rPr>
        <w:t>. However,</w:t>
      </w:r>
      <w:r>
        <w:rPr>
          <w:bCs/>
        </w:rPr>
        <w:t xml:space="preserve"> </w:t>
      </w:r>
      <w:r w:rsidR="00DD1802">
        <w:rPr>
          <w:bCs/>
        </w:rPr>
        <w:t xml:space="preserve">in the WF, there is still one remaining issue about </w:t>
      </w:r>
      <w:r>
        <w:rPr>
          <w:bCs/>
        </w:rPr>
        <w:t xml:space="preserve">whether to add a note for </w:t>
      </w:r>
      <w:r w:rsidR="006452CE">
        <w:rPr>
          <w:bCs/>
          <w:lang w:val="en-US" w:eastAsia="zh-TW"/>
        </w:rPr>
        <w:t>Sub-band full duplex (SBFD)</w:t>
      </w:r>
      <w:r>
        <w:rPr>
          <w:bCs/>
        </w:rPr>
        <w:t xml:space="preserve"> to the parameter duplex method in the reply LS to WP5D still needs </w:t>
      </w:r>
      <w:r w:rsidR="006452CE">
        <w:rPr>
          <w:bCs/>
        </w:rPr>
        <w:t>to be determined</w:t>
      </w:r>
      <w:r>
        <w:rPr>
          <w:bCs/>
        </w:rPr>
        <w:t xml:space="preserve">. </w:t>
      </w:r>
    </w:p>
    <w:p w14:paraId="694FF98B" w14:textId="461837D3" w:rsidR="004041BA" w:rsidRPr="00715D39" w:rsidRDefault="006452CE" w:rsidP="004041BA">
      <w:pPr>
        <w:jc w:val="both"/>
        <w:rPr>
          <w:bCs/>
          <w:lang w:val="en-US" w:eastAsia="zh-TW"/>
        </w:rPr>
      </w:pPr>
      <w:r>
        <w:rPr>
          <w:bCs/>
          <w:lang w:val="en-US" w:eastAsia="zh-TW"/>
        </w:rPr>
        <w:t xml:space="preserve">In our understanding, since the Rel-19 SBFD work item is still on-going, </w:t>
      </w:r>
      <w:r w:rsidR="00723F90">
        <w:rPr>
          <w:bCs/>
          <w:lang w:val="en-US" w:eastAsia="zh-TW"/>
        </w:rPr>
        <w:t>it</w:t>
      </w:r>
      <w:r>
        <w:rPr>
          <w:bCs/>
          <w:lang w:val="en-US" w:eastAsia="zh-TW"/>
        </w:rPr>
        <w:t xml:space="preserve"> would be probably </w:t>
      </w:r>
      <w:r w:rsidR="00723F90">
        <w:rPr>
          <w:bCs/>
          <w:lang w:val="en-US" w:eastAsia="zh-TW"/>
        </w:rPr>
        <w:t xml:space="preserve">not stable </w:t>
      </w:r>
      <w:r w:rsidR="00723F90">
        <w:rPr>
          <w:rFonts w:hint="eastAsia"/>
          <w:bCs/>
          <w:lang w:val="en-US" w:eastAsia="zh-TW"/>
        </w:rPr>
        <w:t>f</w:t>
      </w:r>
      <w:r w:rsidR="00723F90">
        <w:rPr>
          <w:bCs/>
          <w:lang w:val="en-US" w:eastAsia="zh-TW"/>
        </w:rPr>
        <w:t>or all</w:t>
      </w:r>
      <w:r>
        <w:rPr>
          <w:bCs/>
          <w:lang w:val="en-US" w:eastAsia="zh-TW"/>
        </w:rPr>
        <w:t xml:space="preserve"> SFBD technical parameters before the time line to replying LS. </w:t>
      </w:r>
      <w:r w:rsidR="004041BA">
        <w:rPr>
          <w:bCs/>
          <w:lang w:val="en-US" w:eastAsia="zh-TW"/>
        </w:rPr>
        <w:t>Besides</w:t>
      </w:r>
      <w:r>
        <w:rPr>
          <w:bCs/>
          <w:lang w:val="en-US" w:eastAsia="zh-TW"/>
        </w:rPr>
        <w:t xml:space="preserve">, it is also agreed in </w:t>
      </w:r>
      <w:r>
        <w:rPr>
          <w:bCs/>
        </w:rPr>
        <w:t xml:space="preserve">RAN4#110bis that </w:t>
      </w:r>
      <w:r w:rsidRPr="00F36F6F">
        <w:rPr>
          <w:bCs/>
          <w:lang w:val="en-US" w:eastAsia="zh-TW"/>
        </w:rPr>
        <w:t>the usage of SBFD</w:t>
      </w:r>
      <w:r>
        <w:rPr>
          <w:bCs/>
          <w:lang w:val="en-US" w:eastAsia="zh-TW"/>
        </w:rPr>
        <w:t xml:space="preserve"> in the replying LS </w:t>
      </w:r>
      <w:r>
        <w:rPr>
          <w:bCs/>
        </w:rPr>
        <w:t xml:space="preserve">is not precluded in the </w:t>
      </w:r>
      <w:r>
        <w:rPr>
          <w:bCs/>
          <w:lang w:val="en-US" w:eastAsia="zh-TW"/>
        </w:rPr>
        <w:t xml:space="preserve">frequency range </w:t>
      </w:r>
      <w:r w:rsidRPr="0044318B">
        <w:rPr>
          <w:bCs/>
        </w:rPr>
        <w:t>4400 to 4800 MHz</w:t>
      </w:r>
      <w:r>
        <w:rPr>
          <w:bCs/>
        </w:rPr>
        <w:t xml:space="preserve"> and companies can provide TP to capture it in the TR. </w:t>
      </w:r>
      <w:r w:rsidR="00757647">
        <w:rPr>
          <w:bCs/>
        </w:rPr>
        <w:t>Therefore</w:t>
      </w:r>
      <w:r w:rsidR="004041BA">
        <w:rPr>
          <w:bCs/>
        </w:rPr>
        <w:t xml:space="preserve">, although Rel-19 SBFD WI does not have much impact to the UE specification, it is still not very sure whether any new </w:t>
      </w:r>
      <w:r w:rsidR="00757647">
        <w:rPr>
          <w:bCs/>
        </w:rPr>
        <w:t>featured</w:t>
      </w:r>
      <w:r w:rsidR="004041BA">
        <w:rPr>
          <w:bCs/>
        </w:rPr>
        <w:t xml:space="preserve"> from UE perspective will be </w:t>
      </w:r>
      <w:r w:rsidR="004041BA">
        <w:rPr>
          <w:bCs/>
        </w:rPr>
        <w:t>introduc</w:t>
      </w:r>
      <w:r w:rsidR="004041BA">
        <w:rPr>
          <w:bCs/>
        </w:rPr>
        <w:t>ed in the future release.</w:t>
      </w:r>
      <w:r w:rsidR="004041BA">
        <w:rPr>
          <w:bCs/>
          <w:lang w:val="en-US" w:eastAsia="zh-TW"/>
        </w:rPr>
        <w:t xml:space="preserve"> </w:t>
      </w:r>
      <w:r w:rsidR="003E1434" w:rsidRPr="003E1434">
        <w:t xml:space="preserve">Considering that SBFD may be a 6G candidate feature and it is pre-matured to determine the details for technical parameters, it would be better to follow the previous agreement for the frequency range 4400 to 4800 </w:t>
      </w:r>
      <w:proofErr w:type="spellStart"/>
      <w:r w:rsidR="003E1434" w:rsidRPr="003E1434">
        <w:t>MHz.</w:t>
      </w:r>
      <w:proofErr w:type="spellEnd"/>
      <w:r w:rsidR="003E1434" w:rsidRPr="003E1434">
        <w:t xml:space="preserve"> Hence, it is proposed to capture only TDD as the duplex method in the reply LS and the usage of SBFD for the frequency range 4400 to 4800 MHz can be captured in </w:t>
      </w:r>
      <w:r w:rsidR="00651115">
        <w:t xml:space="preserve">the </w:t>
      </w:r>
      <w:r w:rsidR="003E1434" w:rsidRPr="003E1434">
        <w:t>SI TR.</w:t>
      </w:r>
    </w:p>
    <w:p w14:paraId="4D674A8C" w14:textId="584F56F7" w:rsidR="003D27C9" w:rsidRPr="004041BA" w:rsidRDefault="004041BA" w:rsidP="0085336C">
      <w:pPr>
        <w:jc w:val="both"/>
        <w:rPr>
          <w:b/>
          <w:bCs/>
          <w:u w:val="single"/>
        </w:rPr>
      </w:pPr>
      <w:r w:rsidRPr="002056B9">
        <w:rPr>
          <w:b/>
          <w:bCs/>
          <w:lang w:val="en-US" w:eastAsia="x-none"/>
        </w:rPr>
        <w:t xml:space="preserve">Proposal 1: </w:t>
      </w:r>
      <w:r w:rsidRPr="002056B9">
        <w:rPr>
          <w:b/>
          <w:bCs/>
        </w:rPr>
        <w:t xml:space="preserve">Considering that SBFD may be a 6G candidate feature and it is pre-matured to determine the details for technical parameters, it would be better to follow the </w:t>
      </w:r>
      <w:r>
        <w:rPr>
          <w:b/>
          <w:bCs/>
        </w:rPr>
        <w:t xml:space="preserve">previous </w:t>
      </w:r>
      <w:r w:rsidRPr="002056B9">
        <w:rPr>
          <w:b/>
          <w:bCs/>
        </w:rPr>
        <w:t xml:space="preserve">agreement for the frequency range 4400 to 4800 </w:t>
      </w:r>
      <w:proofErr w:type="spellStart"/>
      <w:r w:rsidRPr="002056B9">
        <w:rPr>
          <w:b/>
          <w:bCs/>
        </w:rPr>
        <w:t>MHz.</w:t>
      </w:r>
      <w:proofErr w:type="spellEnd"/>
      <w:r w:rsidRPr="002056B9">
        <w:rPr>
          <w:b/>
          <w:bCs/>
        </w:rPr>
        <w:t xml:space="preserve"> Hence, it is proposed to capture only TDD as the duplex method in the reply LS and the usage of SBFD for the frequency range 4400 to 4800 MHz </w:t>
      </w:r>
      <w:r w:rsidR="003E1434">
        <w:rPr>
          <w:b/>
          <w:bCs/>
        </w:rPr>
        <w:t xml:space="preserve">can be captured in </w:t>
      </w:r>
      <w:r w:rsidR="00651115">
        <w:rPr>
          <w:b/>
          <w:bCs/>
        </w:rPr>
        <w:t xml:space="preserve">the </w:t>
      </w:r>
      <w:r w:rsidR="003E1434">
        <w:rPr>
          <w:b/>
          <w:bCs/>
        </w:rPr>
        <w:t>SI TR</w:t>
      </w:r>
      <w:r w:rsidRPr="002056B9">
        <w:rPr>
          <w:b/>
          <w:bCs/>
        </w:rPr>
        <w:t>.</w:t>
      </w:r>
    </w:p>
    <w:tbl>
      <w:tblPr>
        <w:tblStyle w:val="TableGrid"/>
        <w:tblW w:w="0" w:type="auto"/>
        <w:tblLook w:val="04A0" w:firstRow="1" w:lastRow="0" w:firstColumn="1" w:lastColumn="0" w:noHBand="0" w:noVBand="1"/>
      </w:tblPr>
      <w:tblGrid>
        <w:gridCol w:w="9621"/>
      </w:tblGrid>
      <w:tr w:rsidR="008036E2" w14:paraId="68013E07" w14:textId="77777777" w:rsidTr="00C93874">
        <w:tc>
          <w:tcPr>
            <w:tcW w:w="9621" w:type="dxa"/>
          </w:tcPr>
          <w:p w14:paraId="690E21AF" w14:textId="77777777" w:rsidR="008036E2" w:rsidRDefault="00000000" w:rsidP="00C93874">
            <w:pPr>
              <w:rPr>
                <w:rFonts w:ascii="Arial" w:hAnsi="Arial" w:cs="Arial"/>
                <w:b/>
                <w:sz w:val="24"/>
              </w:rPr>
            </w:pPr>
            <w:hyperlink r:id="rId8" w:history="1">
              <w:r w:rsidR="008036E2" w:rsidRPr="007374F6">
                <w:rPr>
                  <w:rStyle w:val="Hyperlink"/>
                  <w:rFonts w:ascii="Arial" w:hAnsi="Arial" w:cs="Arial"/>
                  <w:b/>
                  <w:sz w:val="24"/>
                </w:rPr>
                <w:t>R4-2406613</w:t>
              </w:r>
            </w:hyperlink>
            <w:r w:rsidR="008036E2">
              <w:rPr>
                <w:rFonts w:ascii="Arial" w:hAnsi="Arial" w:cs="Arial"/>
                <w:b/>
                <w:color w:val="0000FF"/>
                <w:sz w:val="24"/>
              </w:rPr>
              <w:tab/>
            </w:r>
            <w:r w:rsidR="008036E2">
              <w:rPr>
                <w:rFonts w:ascii="Arial" w:hAnsi="Arial" w:cs="Arial"/>
                <w:b/>
                <w:sz w:val="24"/>
              </w:rPr>
              <w:t>Draft LS on Parameters relevant for 4400 to 4800 MHz of terrestrial component of IMT for sharing and compatibility studies in preparation for WRC-27</w:t>
            </w:r>
          </w:p>
          <w:p w14:paraId="5E2F2FBB" w14:textId="77777777" w:rsidR="008036E2" w:rsidRDefault="008036E2" w:rsidP="00C93874">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53470E1F" w14:textId="77777777" w:rsidR="008036E2" w:rsidRDefault="008036E2" w:rsidP="00C93874">
            <w:pPr>
              <w:rPr>
                <w:rFonts w:ascii="Arial" w:hAnsi="Arial" w:cs="Arial"/>
                <w:b/>
              </w:rPr>
            </w:pPr>
            <w:r>
              <w:rPr>
                <w:rFonts w:ascii="Arial" w:hAnsi="Arial" w:cs="Arial"/>
                <w:b/>
              </w:rPr>
              <w:t xml:space="preserve">Abstract: </w:t>
            </w:r>
          </w:p>
          <w:p w14:paraId="67F59865" w14:textId="77777777" w:rsidR="008036E2" w:rsidRDefault="008036E2" w:rsidP="00C93874">
            <w:r>
              <w:t>At the end of this contribution a draft LS to ITU-R WP 5D with a workplan and information relevant for 4400 to 4800 MHz is attached as an annex.</w:t>
            </w:r>
          </w:p>
          <w:p w14:paraId="53E4526D" w14:textId="77777777" w:rsidR="008036E2" w:rsidRPr="00FA4802" w:rsidRDefault="008036E2" w:rsidP="00C93874">
            <w:pPr>
              <w:rPr>
                <w:rFonts w:eastAsiaTheme="minorEastAsia"/>
                <w:b/>
                <w:bCs/>
                <w:highlight w:val="green"/>
                <w:lang w:val="en-US" w:eastAsia="zh-TW"/>
              </w:rPr>
            </w:pPr>
            <w:r w:rsidRPr="00BD56AF">
              <w:rPr>
                <w:rFonts w:eastAsiaTheme="minorEastAsia"/>
                <w:b/>
                <w:bCs/>
                <w:highlight w:val="green"/>
                <w:lang w:val="en-US"/>
              </w:rPr>
              <w:t>A</w:t>
            </w:r>
            <w:proofErr w:type="spellStart"/>
            <w:r w:rsidRPr="00BD56AF">
              <w:rPr>
                <w:rFonts w:eastAsiaTheme="minorEastAsia"/>
                <w:b/>
                <w:bCs/>
                <w:highlight w:val="green"/>
              </w:rPr>
              <w:t>greement</w:t>
            </w:r>
            <w:proofErr w:type="spellEnd"/>
            <w:r w:rsidRPr="00BD56AF">
              <w:rPr>
                <w:rFonts w:eastAsiaTheme="minorEastAsia"/>
                <w:b/>
                <w:bCs/>
                <w:highlight w:val="green"/>
              </w:rPr>
              <w:t>:</w:t>
            </w:r>
          </w:p>
          <w:p w14:paraId="793B0379" w14:textId="77777777" w:rsidR="008036E2" w:rsidRPr="00CA6CEA" w:rsidRDefault="008036E2" w:rsidP="00C93874">
            <w:pPr>
              <w:pStyle w:val="ListParagraph"/>
              <w:numPr>
                <w:ilvl w:val="0"/>
                <w:numId w:val="59"/>
              </w:numPr>
              <w:overflowPunct/>
              <w:autoSpaceDE/>
              <w:autoSpaceDN/>
              <w:adjustRightInd/>
              <w:contextualSpacing w:val="0"/>
              <w:textAlignment w:val="auto"/>
              <w:rPr>
                <w:rFonts w:eastAsiaTheme="minorEastAsia"/>
                <w:highlight w:val="green"/>
              </w:rPr>
            </w:pPr>
            <w:r w:rsidRPr="00BD56AF">
              <w:rPr>
                <w:rFonts w:eastAsia="DengXian"/>
                <w:highlight w:val="green"/>
              </w:rPr>
              <w:t>The agreements in LS do not preclude the usage of SBFD in this frequency range, and companies can provide TP to capture it in the TR.</w:t>
            </w:r>
          </w:p>
        </w:tc>
      </w:tr>
    </w:tbl>
    <w:p w14:paraId="41A92AFA" w14:textId="77777777" w:rsidR="0044170B" w:rsidRDefault="0044170B" w:rsidP="0044170B">
      <w:pPr>
        <w:pStyle w:val="Heading1"/>
        <w:rPr>
          <w:lang w:val="en-US"/>
        </w:rPr>
      </w:pPr>
      <w:r>
        <w:rPr>
          <w:lang w:val="en-US"/>
        </w:rPr>
        <w:t>Conclusion</w:t>
      </w:r>
    </w:p>
    <w:p w14:paraId="11E28819" w14:textId="2F7FBA07" w:rsidR="0044170B" w:rsidRDefault="0044170B" w:rsidP="0044170B">
      <w:pPr>
        <w:rPr>
          <w:lang w:val="en-US"/>
        </w:rPr>
      </w:pPr>
      <w:r>
        <w:rPr>
          <w:lang w:val="en-US"/>
        </w:rPr>
        <w:t>The proposals in this contribution are summarized in the following.</w:t>
      </w:r>
    </w:p>
    <w:p w14:paraId="727FFB1B" w14:textId="5AC53F5F" w:rsidR="003E1434" w:rsidRPr="007A5374" w:rsidRDefault="003E1434" w:rsidP="0044170B">
      <w:pPr>
        <w:rPr>
          <w:lang w:val="en-US"/>
        </w:rPr>
      </w:pPr>
      <w:r w:rsidRPr="002056B9">
        <w:rPr>
          <w:b/>
          <w:bCs/>
          <w:lang w:val="en-US" w:eastAsia="x-none"/>
        </w:rPr>
        <w:t xml:space="preserve">Proposal 1: </w:t>
      </w:r>
      <w:r w:rsidRPr="002056B9">
        <w:rPr>
          <w:b/>
          <w:bCs/>
        </w:rPr>
        <w:t xml:space="preserve">Considering that SBFD may be a 6G candidate feature and it is pre-matured to determine the details for technical parameters, it would be better to follow the </w:t>
      </w:r>
      <w:r>
        <w:rPr>
          <w:b/>
          <w:bCs/>
        </w:rPr>
        <w:t xml:space="preserve">previous </w:t>
      </w:r>
      <w:r w:rsidRPr="002056B9">
        <w:rPr>
          <w:b/>
          <w:bCs/>
        </w:rPr>
        <w:t xml:space="preserve">agreement for the frequency range 4400 to 4800 </w:t>
      </w:r>
      <w:proofErr w:type="spellStart"/>
      <w:r w:rsidRPr="002056B9">
        <w:rPr>
          <w:b/>
          <w:bCs/>
        </w:rPr>
        <w:t>MHz.</w:t>
      </w:r>
      <w:proofErr w:type="spellEnd"/>
      <w:r w:rsidRPr="002056B9">
        <w:rPr>
          <w:b/>
          <w:bCs/>
        </w:rPr>
        <w:t xml:space="preserve"> Hence, it is proposed to capture only TDD as the duplex method in the reply LS and the usage of SBFD for the frequency range 4400 to 4800 MHz </w:t>
      </w:r>
      <w:r>
        <w:rPr>
          <w:b/>
          <w:bCs/>
        </w:rPr>
        <w:t xml:space="preserve">can be captured in </w:t>
      </w:r>
      <w:r w:rsidR="00651115">
        <w:rPr>
          <w:b/>
          <w:bCs/>
        </w:rPr>
        <w:t xml:space="preserve">the </w:t>
      </w:r>
      <w:r>
        <w:rPr>
          <w:b/>
          <w:bCs/>
        </w:rPr>
        <w:t>SI TR</w:t>
      </w:r>
      <w:r w:rsidRPr="002056B9">
        <w:rPr>
          <w:b/>
          <w:bCs/>
        </w:rPr>
        <w:t>.</w:t>
      </w:r>
    </w:p>
    <w:p w14:paraId="56780286" w14:textId="60CCB3D5" w:rsidR="00A839C8" w:rsidRPr="00046E46" w:rsidRDefault="00A839C8" w:rsidP="00046E46">
      <w:pPr>
        <w:pStyle w:val="Heading1"/>
        <w:rPr>
          <w:lang w:val="en-US"/>
        </w:rPr>
      </w:pPr>
      <w:r w:rsidRPr="00046E46">
        <w:rPr>
          <w:lang w:val="en-US"/>
        </w:rPr>
        <w:t>Reference</w:t>
      </w:r>
    </w:p>
    <w:p w14:paraId="634EAF6A" w14:textId="354F7826" w:rsidR="008E7636" w:rsidRDefault="003B56D7" w:rsidP="00DA6AB3">
      <w:pPr>
        <w:numPr>
          <w:ilvl w:val="0"/>
          <w:numId w:val="2"/>
        </w:numPr>
        <w:tabs>
          <w:tab w:val="left" w:pos="1080"/>
        </w:tabs>
        <w:rPr>
          <w:lang w:val="en-US" w:eastAsia="x-none"/>
        </w:rPr>
      </w:pPr>
      <w:r w:rsidRPr="003B56D7">
        <w:rPr>
          <w:lang w:val="en-US" w:eastAsia="x-none"/>
        </w:rPr>
        <w:t>R4-2400333</w:t>
      </w:r>
      <w:r w:rsidR="00AA2163">
        <w:rPr>
          <w:lang w:val="en-US" w:eastAsia="x-none"/>
        </w:rPr>
        <w:t>, “</w:t>
      </w:r>
      <w:r w:rsidRPr="003B56D7">
        <w:rPr>
          <w:lang w:val="en-US" w:eastAsia="x-none"/>
        </w:rPr>
        <w:t>Parameters of terrestrial component of IMT for sharing and compatibility studies in the frequency bands 4 400-4 800 MHz, 7 125-8 400 MHz and 14.8-15.35 GHz. (R23-WP5D-240131-TD-0028)</w:t>
      </w:r>
      <w:r w:rsidR="00AA2163">
        <w:rPr>
          <w:lang w:val="en-US" w:eastAsia="x-none"/>
        </w:rPr>
        <w:t xml:space="preserve">”, </w:t>
      </w:r>
      <w:r w:rsidRPr="003B56D7">
        <w:rPr>
          <w:lang w:val="en-US" w:eastAsia="x-none"/>
        </w:rPr>
        <w:t>ITU-R Working Party 5D, RAN4#110</w:t>
      </w:r>
    </w:p>
    <w:p w14:paraId="446E7147" w14:textId="057E69FF" w:rsidR="00791A14" w:rsidRDefault="003B56D7" w:rsidP="00DA6AB3">
      <w:pPr>
        <w:numPr>
          <w:ilvl w:val="0"/>
          <w:numId w:val="2"/>
        </w:numPr>
        <w:tabs>
          <w:tab w:val="left" w:pos="1080"/>
        </w:tabs>
        <w:rPr>
          <w:lang w:val="en-US" w:eastAsia="x-none"/>
        </w:rPr>
      </w:pPr>
      <w:r w:rsidRPr="003B56D7">
        <w:rPr>
          <w:lang w:val="en-US" w:eastAsia="x-none"/>
        </w:rPr>
        <w:t>RP-240787</w:t>
      </w:r>
      <w:r w:rsidR="00AE612E">
        <w:rPr>
          <w:lang w:val="en-US" w:eastAsia="x-none"/>
        </w:rPr>
        <w:t xml:space="preserve">, </w:t>
      </w:r>
      <w:r w:rsidRPr="003B56D7">
        <w:rPr>
          <w:lang w:val="en-US" w:eastAsia="x-none"/>
        </w:rPr>
        <w:t>“New SI proposal: Study on IMT parameters for 4400 to 4800 MHz, 7125 to 8400 MHz and 14800 to 15350 MHz”, Ericsson</w:t>
      </w:r>
      <w:r>
        <w:rPr>
          <w:lang w:val="en-US" w:eastAsia="x-none"/>
        </w:rPr>
        <w:t xml:space="preserve">, </w:t>
      </w:r>
      <w:r w:rsidRPr="003B56D7">
        <w:rPr>
          <w:lang w:val="en-US" w:eastAsia="x-none"/>
        </w:rPr>
        <w:t>RAN#103</w:t>
      </w:r>
    </w:p>
    <w:p w14:paraId="59E7431B" w14:textId="7FC90A00" w:rsidR="00383328" w:rsidRPr="008D0601" w:rsidRDefault="00383328" w:rsidP="008D0601">
      <w:pPr>
        <w:numPr>
          <w:ilvl w:val="0"/>
          <w:numId w:val="2"/>
        </w:numPr>
        <w:tabs>
          <w:tab w:val="left" w:pos="1080"/>
        </w:tabs>
        <w:rPr>
          <w:lang w:val="en-US" w:eastAsia="x-none"/>
        </w:rPr>
      </w:pPr>
      <w:r w:rsidRPr="00383328">
        <w:rPr>
          <w:lang w:val="en-US" w:eastAsia="x-none"/>
        </w:rPr>
        <w:t>R4-240661</w:t>
      </w:r>
      <w:r w:rsidR="008D0601">
        <w:rPr>
          <w:lang w:val="en-US" w:eastAsia="x-none"/>
        </w:rPr>
        <w:t>2</w:t>
      </w:r>
      <w:r w:rsidRPr="00383328">
        <w:rPr>
          <w:lang w:val="en-US" w:eastAsia="x-none"/>
        </w:rPr>
        <w:t xml:space="preserve">, “WF on </w:t>
      </w:r>
      <w:r w:rsidR="008D0601">
        <w:rPr>
          <w:lang w:val="en-US" w:eastAsia="x-none"/>
        </w:rPr>
        <w:t xml:space="preserve">study of </w:t>
      </w:r>
      <w:r w:rsidRPr="00383328">
        <w:rPr>
          <w:lang w:val="en-US" w:eastAsia="x-none"/>
        </w:rPr>
        <w:t xml:space="preserve">IMT parameters for </w:t>
      </w:r>
      <w:r w:rsidR="008D0601">
        <w:rPr>
          <w:lang w:val="en-US" w:eastAsia="x-none"/>
        </w:rPr>
        <w:t>4400 ~4800 MHz</w:t>
      </w:r>
      <w:r w:rsidRPr="00383328">
        <w:rPr>
          <w:lang w:val="en-US" w:eastAsia="x-none"/>
        </w:rPr>
        <w:t xml:space="preserve"> frequency range”, RAN4#110bis, </w:t>
      </w:r>
      <w:r w:rsidR="008D0601">
        <w:rPr>
          <w:lang w:val="en-US" w:eastAsia="x-none"/>
        </w:rPr>
        <w:t>Ericsson</w:t>
      </w:r>
    </w:p>
    <w:sectPr w:rsidR="00383328" w:rsidRPr="008D0601"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9AD8" w14:textId="77777777" w:rsidR="00AA2D67" w:rsidRDefault="00AA2D67">
      <w:r>
        <w:separator/>
      </w:r>
    </w:p>
  </w:endnote>
  <w:endnote w:type="continuationSeparator" w:id="0">
    <w:p w14:paraId="619C9657" w14:textId="77777777" w:rsidR="00AA2D67" w:rsidRDefault="00AA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7C701" w14:textId="77777777" w:rsidR="00AA2D67" w:rsidRDefault="00AA2D67">
      <w:r>
        <w:separator/>
      </w:r>
    </w:p>
  </w:footnote>
  <w:footnote w:type="continuationSeparator" w:id="0">
    <w:p w14:paraId="4CCEFFC6" w14:textId="77777777" w:rsidR="00AA2D67" w:rsidRDefault="00AA2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1E1578"/>
    <w:multiLevelType w:val="hybridMultilevel"/>
    <w:tmpl w:val="C3C885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0"/>
  </w:num>
  <w:num w:numId="2" w16cid:durableId="1217398289">
    <w:abstractNumId w:val="44"/>
  </w:num>
  <w:num w:numId="3" w16cid:durableId="1848671440">
    <w:abstractNumId w:val="47"/>
  </w:num>
  <w:num w:numId="4" w16cid:durableId="287128541">
    <w:abstractNumId w:val="56"/>
  </w:num>
  <w:num w:numId="5" w16cid:durableId="704259481">
    <w:abstractNumId w:val="39"/>
  </w:num>
  <w:num w:numId="6" w16cid:durableId="494150064">
    <w:abstractNumId w:val="21"/>
  </w:num>
  <w:num w:numId="7" w16cid:durableId="32266730">
    <w:abstractNumId w:val="8"/>
  </w:num>
  <w:num w:numId="8" w16cid:durableId="897008261">
    <w:abstractNumId w:val="45"/>
  </w:num>
  <w:num w:numId="9" w16cid:durableId="1918588008">
    <w:abstractNumId w:val="23"/>
  </w:num>
  <w:num w:numId="10" w16cid:durableId="543835056">
    <w:abstractNumId w:val="36"/>
  </w:num>
  <w:num w:numId="11" w16cid:durableId="637493424">
    <w:abstractNumId w:val="59"/>
  </w:num>
  <w:num w:numId="12" w16cid:durableId="72287852">
    <w:abstractNumId w:val="18"/>
  </w:num>
  <w:num w:numId="13" w16cid:durableId="910506567">
    <w:abstractNumId w:val="14"/>
  </w:num>
  <w:num w:numId="14" w16cid:durableId="868878726">
    <w:abstractNumId w:val="32"/>
  </w:num>
  <w:num w:numId="15" w16cid:durableId="1417282263">
    <w:abstractNumId w:val="29"/>
  </w:num>
  <w:num w:numId="16" w16cid:durableId="1483235279">
    <w:abstractNumId w:val="3"/>
  </w:num>
  <w:num w:numId="17" w16cid:durableId="1391224398">
    <w:abstractNumId w:val="17"/>
  </w:num>
  <w:num w:numId="18" w16cid:durableId="580065971">
    <w:abstractNumId w:val="6"/>
  </w:num>
  <w:num w:numId="19" w16cid:durableId="2003700665">
    <w:abstractNumId w:val="57"/>
  </w:num>
  <w:num w:numId="20" w16cid:durableId="846746527">
    <w:abstractNumId w:val="31"/>
  </w:num>
  <w:num w:numId="21" w16cid:durableId="1524898150">
    <w:abstractNumId w:val="55"/>
  </w:num>
  <w:num w:numId="22" w16cid:durableId="75175246">
    <w:abstractNumId w:val="2"/>
  </w:num>
  <w:num w:numId="23" w16cid:durableId="601499786">
    <w:abstractNumId w:val="7"/>
  </w:num>
  <w:num w:numId="24" w16cid:durableId="2097164087">
    <w:abstractNumId w:val="49"/>
  </w:num>
  <w:num w:numId="25" w16cid:durableId="1759863025">
    <w:abstractNumId w:val="12"/>
  </w:num>
  <w:num w:numId="26" w16cid:durableId="2080593379">
    <w:abstractNumId w:val="50"/>
  </w:num>
  <w:num w:numId="27" w16cid:durableId="749083227">
    <w:abstractNumId w:val="25"/>
  </w:num>
  <w:num w:numId="28" w16cid:durableId="1626621793">
    <w:abstractNumId w:val="11"/>
  </w:num>
  <w:num w:numId="29" w16cid:durableId="1936208958">
    <w:abstractNumId w:val="10"/>
  </w:num>
  <w:num w:numId="30" w16cid:durableId="400178168">
    <w:abstractNumId w:val="54"/>
  </w:num>
  <w:num w:numId="31" w16cid:durableId="1491948527">
    <w:abstractNumId w:val="24"/>
  </w:num>
  <w:num w:numId="32" w16cid:durableId="91433850">
    <w:abstractNumId w:val="27"/>
  </w:num>
  <w:num w:numId="33" w16cid:durableId="1705252149">
    <w:abstractNumId w:val="37"/>
  </w:num>
  <w:num w:numId="34" w16cid:durableId="1341931594">
    <w:abstractNumId w:val="41"/>
  </w:num>
  <w:num w:numId="35" w16cid:durableId="2055157285">
    <w:abstractNumId w:val="52"/>
  </w:num>
  <w:num w:numId="36" w16cid:durableId="907494910">
    <w:abstractNumId w:val="58"/>
  </w:num>
  <w:num w:numId="37" w16cid:durableId="175579515">
    <w:abstractNumId w:val="13"/>
  </w:num>
  <w:num w:numId="38" w16cid:durableId="2080783788">
    <w:abstractNumId w:val="40"/>
  </w:num>
  <w:num w:numId="39" w16cid:durableId="496312924">
    <w:abstractNumId w:val="53"/>
  </w:num>
  <w:num w:numId="40" w16cid:durableId="1366060901">
    <w:abstractNumId w:val="42"/>
  </w:num>
  <w:num w:numId="41" w16cid:durableId="866598799">
    <w:abstractNumId w:val="26"/>
  </w:num>
  <w:num w:numId="42" w16cid:durableId="1087383631">
    <w:abstractNumId w:val="1"/>
  </w:num>
  <w:num w:numId="43" w16cid:durableId="986669777">
    <w:abstractNumId w:val="35"/>
  </w:num>
  <w:num w:numId="44" w16cid:durableId="1512717097">
    <w:abstractNumId w:val="19"/>
  </w:num>
  <w:num w:numId="45" w16cid:durableId="811950696">
    <w:abstractNumId w:val="22"/>
  </w:num>
  <w:num w:numId="46" w16cid:durableId="547497964">
    <w:abstractNumId w:val="38"/>
  </w:num>
  <w:num w:numId="47" w16cid:durableId="2133554907">
    <w:abstractNumId w:val="51"/>
  </w:num>
  <w:num w:numId="48" w16cid:durableId="1937009862">
    <w:abstractNumId w:val="43"/>
  </w:num>
  <w:num w:numId="49" w16cid:durableId="1936475883">
    <w:abstractNumId w:val="28"/>
  </w:num>
  <w:num w:numId="50" w16cid:durableId="1052271111">
    <w:abstractNumId w:val="16"/>
  </w:num>
  <w:num w:numId="51" w16cid:durableId="733743088">
    <w:abstractNumId w:val="0"/>
  </w:num>
  <w:num w:numId="52" w16cid:durableId="1782725393">
    <w:abstractNumId w:val="4"/>
  </w:num>
  <w:num w:numId="53" w16cid:durableId="319431744">
    <w:abstractNumId w:val="46"/>
  </w:num>
  <w:num w:numId="54" w16cid:durableId="2142645833">
    <w:abstractNumId w:val="15"/>
  </w:num>
  <w:num w:numId="55" w16cid:durableId="309406662">
    <w:abstractNumId w:val="9"/>
  </w:num>
  <w:num w:numId="56" w16cid:durableId="1920165617">
    <w:abstractNumId w:val="34"/>
  </w:num>
  <w:num w:numId="57" w16cid:durableId="2081445157">
    <w:abstractNumId w:val="20"/>
  </w:num>
  <w:num w:numId="58" w16cid:durableId="578293186">
    <w:abstractNumId w:val="48"/>
  </w:num>
  <w:num w:numId="59" w16cid:durableId="2131168550">
    <w:abstractNumId w:val="5"/>
  </w:num>
  <w:num w:numId="60" w16cid:durableId="878513487">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9"/>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4B3"/>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58"/>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C"/>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263"/>
    <w:rsid w:val="0013166F"/>
    <w:rsid w:val="00131FD4"/>
    <w:rsid w:val="001327EB"/>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2FF7"/>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02C"/>
    <w:rsid w:val="002046B8"/>
    <w:rsid w:val="00204A02"/>
    <w:rsid w:val="00204E5B"/>
    <w:rsid w:val="00204ECB"/>
    <w:rsid w:val="002053F6"/>
    <w:rsid w:val="00205462"/>
    <w:rsid w:val="002054B0"/>
    <w:rsid w:val="002055ED"/>
    <w:rsid w:val="002056B9"/>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3DEA"/>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5F1C"/>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E86"/>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3C5"/>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07A"/>
    <w:rsid w:val="002B2185"/>
    <w:rsid w:val="002B2C2C"/>
    <w:rsid w:val="002B2C81"/>
    <w:rsid w:val="002B31B5"/>
    <w:rsid w:val="002B3AB2"/>
    <w:rsid w:val="002B3B2F"/>
    <w:rsid w:val="002B40E0"/>
    <w:rsid w:val="002B43AE"/>
    <w:rsid w:val="002B4A51"/>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6159"/>
    <w:rsid w:val="002E7199"/>
    <w:rsid w:val="002E7660"/>
    <w:rsid w:val="002E7B67"/>
    <w:rsid w:val="002E7C4B"/>
    <w:rsid w:val="002F037C"/>
    <w:rsid w:val="002F16A6"/>
    <w:rsid w:val="002F1791"/>
    <w:rsid w:val="002F198B"/>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A45"/>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8DA"/>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3B08"/>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0D"/>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328"/>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81D"/>
    <w:rsid w:val="00397C84"/>
    <w:rsid w:val="00397D2B"/>
    <w:rsid w:val="00397DAD"/>
    <w:rsid w:val="003A06B7"/>
    <w:rsid w:val="003A0B91"/>
    <w:rsid w:val="003A0CC4"/>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6D7"/>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7C9"/>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434"/>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A9"/>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1BA"/>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18B"/>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428"/>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07DF9"/>
    <w:rsid w:val="00510460"/>
    <w:rsid w:val="0051077E"/>
    <w:rsid w:val="0051139E"/>
    <w:rsid w:val="00511476"/>
    <w:rsid w:val="005115FA"/>
    <w:rsid w:val="00511EB5"/>
    <w:rsid w:val="0051200B"/>
    <w:rsid w:val="00512097"/>
    <w:rsid w:val="00512900"/>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BFB"/>
    <w:rsid w:val="00577EB6"/>
    <w:rsid w:val="0058025A"/>
    <w:rsid w:val="00580E3C"/>
    <w:rsid w:val="005816AC"/>
    <w:rsid w:val="0058268D"/>
    <w:rsid w:val="00582705"/>
    <w:rsid w:val="00582CA7"/>
    <w:rsid w:val="005830A8"/>
    <w:rsid w:val="0058368D"/>
    <w:rsid w:val="005836E6"/>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6D12"/>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0A7C"/>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2CE"/>
    <w:rsid w:val="00645461"/>
    <w:rsid w:val="00645743"/>
    <w:rsid w:val="00646715"/>
    <w:rsid w:val="006467EB"/>
    <w:rsid w:val="00647889"/>
    <w:rsid w:val="0065040D"/>
    <w:rsid w:val="0065058F"/>
    <w:rsid w:val="00650B89"/>
    <w:rsid w:val="00650F37"/>
    <w:rsid w:val="0065104B"/>
    <w:rsid w:val="00651115"/>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032"/>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ECD"/>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206"/>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1CFF"/>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D39"/>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3F90"/>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647"/>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3FA"/>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384"/>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29F"/>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6E2"/>
    <w:rsid w:val="00803BB2"/>
    <w:rsid w:val="00804205"/>
    <w:rsid w:val="00804B52"/>
    <w:rsid w:val="00804ED0"/>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4B48"/>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DD4"/>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601"/>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1DED"/>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8C9"/>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303B"/>
    <w:rsid w:val="00A13382"/>
    <w:rsid w:val="00A13408"/>
    <w:rsid w:val="00A13D4D"/>
    <w:rsid w:val="00A14118"/>
    <w:rsid w:val="00A1422A"/>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38"/>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2D67"/>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187"/>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86F"/>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79C"/>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C88"/>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5BB8"/>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CEA"/>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BB4"/>
    <w:rsid w:val="00CC417E"/>
    <w:rsid w:val="00CC4196"/>
    <w:rsid w:val="00CC430F"/>
    <w:rsid w:val="00CC473D"/>
    <w:rsid w:val="00CC47FD"/>
    <w:rsid w:val="00CC491C"/>
    <w:rsid w:val="00CC4CC5"/>
    <w:rsid w:val="00CC592B"/>
    <w:rsid w:val="00CC6037"/>
    <w:rsid w:val="00CC63B5"/>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A96"/>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77E"/>
    <w:rsid w:val="00D268F8"/>
    <w:rsid w:val="00D26AD7"/>
    <w:rsid w:val="00D26BF6"/>
    <w:rsid w:val="00D26CE4"/>
    <w:rsid w:val="00D26DE7"/>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8CF"/>
    <w:rsid w:val="00D4094B"/>
    <w:rsid w:val="00D40C2B"/>
    <w:rsid w:val="00D40D9E"/>
    <w:rsid w:val="00D40EDE"/>
    <w:rsid w:val="00D40F61"/>
    <w:rsid w:val="00D42322"/>
    <w:rsid w:val="00D4272C"/>
    <w:rsid w:val="00D428E2"/>
    <w:rsid w:val="00D42ABC"/>
    <w:rsid w:val="00D42BD7"/>
    <w:rsid w:val="00D42BF0"/>
    <w:rsid w:val="00D42BFA"/>
    <w:rsid w:val="00D42D39"/>
    <w:rsid w:val="00D43670"/>
    <w:rsid w:val="00D4382A"/>
    <w:rsid w:val="00D43AD9"/>
    <w:rsid w:val="00D43B0E"/>
    <w:rsid w:val="00D44292"/>
    <w:rsid w:val="00D44587"/>
    <w:rsid w:val="00D44BB9"/>
    <w:rsid w:val="00D44E9A"/>
    <w:rsid w:val="00D453E9"/>
    <w:rsid w:val="00D45AA3"/>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D0B"/>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1802"/>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15A"/>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50"/>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55F"/>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22"/>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37C4"/>
    <w:rsid w:val="00EF40A5"/>
    <w:rsid w:val="00EF4102"/>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5F1"/>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6F6F"/>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802"/>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475"/>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first-token">
    <w:name w:val="first-token"/>
    <w:basedOn w:val="DefaultParagraphFont"/>
    <w:rsid w:val="00253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0661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22921</TotalTime>
  <Pages>2</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1083</cp:revision>
  <cp:lastPrinted>2017-09-11T16:45:00Z</cp:lastPrinted>
  <dcterms:created xsi:type="dcterms:W3CDTF">2022-02-14T18:34:00Z</dcterms:created>
  <dcterms:modified xsi:type="dcterms:W3CDTF">2024-05-13T12:27:00Z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