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0233E" w14:textId="6A1E7813" w:rsidR="002052F8" w:rsidRDefault="00000000">
      <w:pPr>
        <w:rPr>
          <w:rFonts w:ascii="Arial" w:hAnsi="Arial" w:cs="Arial" w:hint="eastAsia"/>
          <w:b/>
          <w:bCs/>
          <w:sz w:val="24"/>
          <w:szCs w:val="28"/>
        </w:rPr>
      </w:pPr>
      <w:r>
        <w:rPr>
          <w:rFonts w:ascii="Arial" w:hAnsi="Arial" w:cs="Arial"/>
          <w:b/>
          <w:bCs/>
          <w:sz w:val="24"/>
          <w:szCs w:val="28"/>
        </w:rPr>
        <w:t>3GPP TSG-RAN WG4 Meeting #11</w:t>
      </w:r>
      <w:r w:rsidR="005F2AEA">
        <w:rPr>
          <w:rFonts w:ascii="Arial" w:hAnsi="Arial" w:cs="Arial" w:hint="eastAsia"/>
          <w:b/>
          <w:bCs/>
          <w:sz w:val="24"/>
          <w:szCs w:val="28"/>
        </w:rPr>
        <w:t>1</w:t>
      </w:r>
      <w:r>
        <w:rPr>
          <w:rFonts w:ascii="Arial" w:hAnsi="Arial" w:cs="Arial"/>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Pr>
          <w:rFonts w:ascii="Arial" w:hAnsi="Arial" w:cs="Arial" w:hint="eastAsia"/>
          <w:b/>
          <w:bCs/>
          <w:sz w:val="24"/>
          <w:szCs w:val="28"/>
        </w:rPr>
        <w:tab/>
      </w:r>
      <w:r w:rsidR="005F2AEA">
        <w:rPr>
          <w:rFonts w:ascii="Arial" w:hAnsi="Arial" w:cs="Arial" w:hint="eastAsia"/>
          <w:b/>
          <w:bCs/>
          <w:sz w:val="24"/>
          <w:szCs w:val="28"/>
        </w:rPr>
        <w:t xml:space="preserve"> </w:t>
      </w:r>
      <w:r w:rsidR="00E932BC">
        <w:rPr>
          <w:rFonts w:ascii="Arial" w:hAnsi="Arial" w:cs="Arial" w:hint="eastAsia"/>
          <w:b/>
          <w:bCs/>
          <w:sz w:val="24"/>
          <w:szCs w:val="28"/>
        </w:rPr>
        <w:t xml:space="preserve">  </w:t>
      </w:r>
      <w:r w:rsidR="005F2AEA">
        <w:rPr>
          <w:rFonts w:ascii="Arial" w:hAnsi="Arial" w:cs="Arial" w:hint="eastAsia"/>
          <w:b/>
          <w:bCs/>
          <w:sz w:val="24"/>
          <w:szCs w:val="28"/>
        </w:rPr>
        <w:t xml:space="preserve">  </w:t>
      </w:r>
      <w:r>
        <w:rPr>
          <w:rFonts w:ascii="Arial" w:hAnsi="Arial" w:cs="Arial" w:hint="eastAsia"/>
          <w:b/>
          <w:bCs/>
          <w:sz w:val="24"/>
          <w:szCs w:val="28"/>
        </w:rPr>
        <w:tab/>
      </w:r>
      <w:r>
        <w:rPr>
          <w:rFonts w:ascii="Arial" w:hAnsi="Arial" w:cs="Arial"/>
          <w:b/>
          <w:bCs/>
          <w:sz w:val="24"/>
          <w:szCs w:val="28"/>
        </w:rPr>
        <w:t>R4-240</w:t>
      </w:r>
      <w:r w:rsidR="00E932BC">
        <w:rPr>
          <w:rFonts w:ascii="Arial" w:hAnsi="Arial" w:cs="Arial" w:hint="eastAsia"/>
          <w:b/>
          <w:bCs/>
          <w:sz w:val="24"/>
          <w:szCs w:val="28"/>
        </w:rPr>
        <w:t>8731</w:t>
      </w:r>
    </w:p>
    <w:p w14:paraId="2FD4D72B" w14:textId="3A41F169" w:rsidR="002052F8" w:rsidRDefault="005F2AEA">
      <w:pPr>
        <w:rPr>
          <w:rFonts w:ascii="Arial" w:hAnsi="Arial" w:cs="Arial"/>
          <w:b/>
          <w:bCs/>
          <w:sz w:val="24"/>
          <w:szCs w:val="28"/>
        </w:rPr>
      </w:pPr>
      <w:r w:rsidRPr="005F2AEA">
        <w:rPr>
          <w:rFonts w:ascii="Arial" w:hAnsi="Arial" w:cs="Arial"/>
          <w:b/>
          <w:bCs/>
          <w:sz w:val="24"/>
          <w:szCs w:val="28"/>
        </w:rPr>
        <w:t>Fukuoka, Japan, 20 May – 24 May, 2024</w:t>
      </w:r>
    </w:p>
    <w:p w14:paraId="134F57B4" w14:textId="77777777" w:rsidR="002052F8" w:rsidRDefault="002052F8"/>
    <w:p w14:paraId="65E44804" w14:textId="3F29BD1B" w:rsidR="002052F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922F9">
        <w:rPr>
          <w:rFonts w:ascii="Arial" w:hAnsi="Arial" w:cs="Arial" w:hint="eastAsia"/>
          <w:b/>
          <w:sz w:val="24"/>
          <w:szCs w:val="24"/>
        </w:rPr>
        <w:t>6.1.1.1</w:t>
      </w:r>
    </w:p>
    <w:p w14:paraId="01ABA111"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04EB3F6" w14:textId="4CCFE5EE" w:rsidR="002052F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1C1B77" w:rsidRPr="001C1B77">
        <w:rPr>
          <w:rFonts w:ascii="Arial" w:hAnsi="Arial" w:cs="Arial"/>
          <w:b/>
          <w:sz w:val="24"/>
          <w:szCs w:val="24"/>
        </w:rPr>
        <w:t>MSD requirements with intra-band contiguous UL CA</w:t>
      </w:r>
    </w:p>
    <w:p w14:paraId="565AB358" w14:textId="77777777" w:rsidR="002052F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09F12AE"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604E765" w14:textId="1A53B032" w:rsidR="005F2AEA" w:rsidRDefault="005F2AEA">
      <w:pPr>
        <w:spacing w:beforeLines="50" w:before="156"/>
        <w:rPr>
          <w:rFonts w:ascii="Times New Roman" w:hAnsi="Times New Roman"/>
          <w:sz w:val="20"/>
        </w:rPr>
      </w:pPr>
      <w:r w:rsidRPr="005F2AEA">
        <w:rPr>
          <w:rFonts w:ascii="Times New Roman" w:hAnsi="Times New Roman"/>
          <w:sz w:val="20"/>
        </w:rPr>
        <w:t>At the last meeting, there was a</w:t>
      </w:r>
      <w:r w:rsidR="00EB6A60">
        <w:rPr>
          <w:rFonts w:ascii="Times New Roman" w:hAnsi="Times New Roman" w:hint="eastAsia"/>
          <w:sz w:val="20"/>
        </w:rPr>
        <w:t>n approved</w:t>
      </w:r>
      <w:r w:rsidRPr="005F2AEA">
        <w:rPr>
          <w:rFonts w:ascii="Times New Roman" w:hAnsi="Times New Roman"/>
          <w:sz w:val="20"/>
        </w:rPr>
        <w:t xml:space="preserve"> </w:t>
      </w:r>
      <w:r>
        <w:rPr>
          <w:rFonts w:ascii="Times New Roman" w:hAnsi="Times New Roman" w:hint="eastAsia"/>
          <w:sz w:val="20"/>
        </w:rPr>
        <w:t xml:space="preserve">WF </w:t>
      </w:r>
      <w:r w:rsidRPr="005F2AEA">
        <w:rPr>
          <w:rFonts w:ascii="Times New Roman" w:hAnsi="Times New Roman"/>
          <w:sz w:val="20"/>
        </w:rPr>
        <w:t>that reminded RAN4</w:t>
      </w:r>
      <w:r w:rsidR="00EB6A60">
        <w:rPr>
          <w:rFonts w:ascii="Times New Roman" w:hAnsi="Times New Roman" w:hint="eastAsia"/>
          <w:sz w:val="20"/>
        </w:rPr>
        <w:t xml:space="preserve"> to</w:t>
      </w:r>
      <w:r w:rsidRPr="005F2AEA">
        <w:rPr>
          <w:rFonts w:ascii="Times New Roman" w:hAnsi="Times New Roman"/>
          <w:sz w:val="20"/>
        </w:rPr>
        <w:t xml:space="preserve"> </w:t>
      </w:r>
      <w:r w:rsidR="00EB6A60" w:rsidRPr="00EB6A60">
        <w:rPr>
          <w:rFonts w:ascii="Times New Roman" w:hAnsi="Times New Roman"/>
          <w:sz w:val="20"/>
        </w:rPr>
        <w:t>reconsider whether such MSD requirements</w:t>
      </w:r>
      <w:r w:rsidR="00EB6A60">
        <w:rPr>
          <w:rFonts w:ascii="Times New Roman" w:hAnsi="Times New Roman" w:hint="eastAsia"/>
          <w:sz w:val="20"/>
        </w:rPr>
        <w:t xml:space="preserve">, which </w:t>
      </w:r>
      <w:r w:rsidR="005D21DD" w:rsidRPr="005D21DD">
        <w:rPr>
          <w:rFonts w:ascii="Times New Roman" w:hAnsi="Times New Roman"/>
          <w:sz w:val="20"/>
        </w:rPr>
        <w:t>are associated with intra-band contiguous UL CA</w:t>
      </w:r>
      <w:r w:rsidR="00EB6A60" w:rsidRPr="00EB6A60">
        <w:rPr>
          <w:rFonts w:ascii="Times New Roman" w:hAnsi="Times New Roman"/>
          <w:sz w:val="20"/>
        </w:rPr>
        <w:t xml:space="preserve"> are needed or can be justified.</w:t>
      </w:r>
      <w:r w:rsidR="00EB6A60">
        <w:rPr>
          <w:rFonts w:ascii="Times New Roman" w:hAnsi="Times New Roman" w:hint="eastAsia"/>
          <w:sz w:val="20"/>
        </w:rPr>
        <w:t xml:space="preserve"> And the MSD of CA_n40A-n41C and CA_n40-n79 w</w:t>
      </w:r>
      <w:r w:rsidR="00BD5539">
        <w:rPr>
          <w:rFonts w:ascii="Times New Roman" w:hAnsi="Times New Roman" w:hint="eastAsia"/>
          <w:sz w:val="20"/>
        </w:rPr>
        <w:t>ere</w:t>
      </w:r>
      <w:r w:rsidR="00EB6A60">
        <w:rPr>
          <w:rFonts w:ascii="Times New Roman" w:hAnsi="Times New Roman" w:hint="eastAsia"/>
          <w:sz w:val="20"/>
        </w:rPr>
        <w:t xml:space="preserve"> also concerned by some companies because of the large MSD value. </w:t>
      </w:r>
      <w:r w:rsidR="00764595" w:rsidRPr="00764595">
        <w:rPr>
          <w:rFonts w:ascii="Times New Roman" w:hAnsi="Times New Roman"/>
          <w:sz w:val="20"/>
        </w:rPr>
        <w:t>We will share operators' views on the above issues in this article</w:t>
      </w:r>
    </w:p>
    <w:p w14:paraId="298F4020" w14:textId="77777777" w:rsidR="002052F8"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40185046" w14:textId="77777777" w:rsidR="00BD5539" w:rsidRPr="00BD5539" w:rsidRDefault="00BD5539" w:rsidP="00BD5539">
      <w:pPr>
        <w:spacing w:after="180"/>
        <w:rPr>
          <w:rFonts w:ascii="Times New Roman" w:hAnsi="Times New Roman"/>
          <w:sz w:val="20"/>
          <w:szCs w:val="20"/>
        </w:rPr>
      </w:pPr>
      <w:r w:rsidRPr="00BD5539">
        <w:rPr>
          <w:rFonts w:ascii="Times New Roman" w:hAnsi="Times New Roman"/>
          <w:sz w:val="20"/>
          <w:szCs w:val="20"/>
        </w:rPr>
        <w:t>When simultaneous Rx/Tx is supported for the inter-band UL CA with intra-band contiguous UL CA band combinations, the intermodulation products will cause more REFSENS degradation. Consider this situation, RAN4 introduced MSD requirements for inter-band UL CA with intra-band contiguous UL CA in one band. There are three types of such MSD requirements, such as inter-band CA with cross-band DL interference and inter-band CA with triple beat issue.</w:t>
      </w:r>
    </w:p>
    <w:p w14:paraId="03383DC5" w14:textId="7FCC61B8" w:rsidR="007B16B9" w:rsidRDefault="00BD5539" w:rsidP="00BD5539">
      <w:pPr>
        <w:spacing w:after="180"/>
        <w:rPr>
          <w:rFonts w:ascii="Times New Roman" w:hAnsi="Times New Roman"/>
          <w:sz w:val="20"/>
          <w:szCs w:val="20"/>
        </w:rPr>
      </w:pPr>
      <w:r w:rsidRPr="00BD5539">
        <w:rPr>
          <w:rFonts w:ascii="Times New Roman" w:hAnsi="Times New Roman"/>
          <w:sz w:val="20"/>
          <w:szCs w:val="20"/>
        </w:rPr>
        <w:t>Based on this MSD requirement, the special MSD test configuration is also introduced and small numbers of RBs or even only 1 RB in each UL carrier are specified, such as the MSD value discussion table below.</w:t>
      </w:r>
    </w:p>
    <w:p w14:paraId="7D21CCB0" w14:textId="73C1E075" w:rsidR="00AE6DDF" w:rsidRPr="00AE6DDF" w:rsidRDefault="00AE6DDF" w:rsidP="00AE6DDF">
      <w:pPr>
        <w:spacing w:after="180"/>
        <w:jc w:val="center"/>
        <w:rPr>
          <w:rFonts w:ascii="Times New Roman" w:hAnsi="Times New Roman"/>
          <w:b/>
          <w:bCs/>
          <w:sz w:val="20"/>
          <w:szCs w:val="20"/>
        </w:rPr>
      </w:pPr>
      <w:r w:rsidRPr="00AE6DDF">
        <w:rPr>
          <w:rFonts w:ascii="Times New Roman" w:hAnsi="Times New Roman" w:hint="eastAsia"/>
          <w:b/>
          <w:bCs/>
          <w:sz w:val="20"/>
          <w:szCs w:val="20"/>
        </w:rPr>
        <w:t>Table 1: MSD discussion for CA_</w:t>
      </w:r>
      <w:r w:rsidRPr="00AE6DDF">
        <w:rPr>
          <w:rFonts w:ascii="Times New Roman" w:hAnsi="Times New Roman"/>
          <w:b/>
          <w:bCs/>
          <w:sz w:val="20"/>
          <w:szCs w:val="20"/>
        </w:rPr>
        <w:t>n40A-n41C</w:t>
      </w:r>
    </w:p>
    <w:tbl>
      <w:tblPr>
        <w:tblW w:w="96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7"/>
        <w:gridCol w:w="607"/>
        <w:gridCol w:w="836"/>
        <w:gridCol w:w="969"/>
        <w:gridCol w:w="1244"/>
        <w:gridCol w:w="1589"/>
        <w:gridCol w:w="1419"/>
        <w:gridCol w:w="1801"/>
      </w:tblGrid>
      <w:tr w:rsidR="00AE6DDF" w:rsidRPr="00BD5539" w14:paraId="296AEFEC" w14:textId="77777777" w:rsidTr="00AE6DDF">
        <w:trPr>
          <w:trHeight w:val="187"/>
        </w:trPr>
        <w:tc>
          <w:tcPr>
            <w:tcW w:w="9642" w:type="dxa"/>
            <w:gridSpan w:val="8"/>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E64BB1B" w14:textId="77777777" w:rsidR="00AE6DDF" w:rsidRPr="00BD5539" w:rsidRDefault="00AE6DDF">
            <w:pPr>
              <w:keepNext/>
              <w:keepLines/>
              <w:jc w:val="center"/>
              <w:rPr>
                <w:rFonts w:ascii="Times New Roman" w:eastAsia="MS Mincho" w:hAnsi="Times New Roman"/>
                <w:b/>
                <w:bCs/>
                <w:sz w:val="18"/>
                <w:szCs w:val="18"/>
              </w:rPr>
            </w:pPr>
            <w:r w:rsidRPr="00BD5539">
              <w:rPr>
                <w:rFonts w:ascii="Times New Roman" w:eastAsia="MS Mincho" w:hAnsi="Times New Roman"/>
                <w:b/>
                <w:bCs/>
                <w:sz w:val="18"/>
                <w:szCs w:val="18"/>
              </w:rPr>
              <w:t>Band / Channel bandwidth / N</w:t>
            </w:r>
            <w:r w:rsidRPr="00BD5539">
              <w:rPr>
                <w:rFonts w:ascii="Times New Roman" w:eastAsia="MS Mincho" w:hAnsi="Times New Roman"/>
                <w:b/>
                <w:bCs/>
                <w:sz w:val="18"/>
                <w:szCs w:val="18"/>
                <w:vertAlign w:val="subscript"/>
              </w:rPr>
              <w:t>RB</w:t>
            </w:r>
            <w:r w:rsidRPr="00BD5539">
              <w:rPr>
                <w:rFonts w:ascii="Times New Roman" w:eastAsia="MS Mincho" w:hAnsi="Times New Roman"/>
                <w:b/>
                <w:bCs/>
                <w:sz w:val="18"/>
                <w:szCs w:val="18"/>
              </w:rPr>
              <w:t xml:space="preserve"> / Duplex mode</w:t>
            </w:r>
          </w:p>
        </w:tc>
      </w:tr>
      <w:tr w:rsidR="00C756A5" w:rsidRPr="00BD5539" w14:paraId="665E0391" w14:textId="77777777" w:rsidTr="00BD5539">
        <w:trPr>
          <w:trHeight w:val="187"/>
        </w:trPr>
        <w:tc>
          <w:tcPr>
            <w:tcW w:w="1121"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068306FB" w14:textId="77777777" w:rsidR="00C756A5" w:rsidRPr="00BD5539" w:rsidRDefault="00C756A5">
            <w:pPr>
              <w:keepNext/>
              <w:keepLines/>
              <w:jc w:val="center"/>
              <w:rPr>
                <w:rFonts w:ascii="Times New Roman" w:eastAsia="MS Mincho" w:hAnsi="Times New Roman"/>
                <w:b/>
                <w:bCs/>
                <w:sz w:val="18"/>
                <w:szCs w:val="18"/>
              </w:rPr>
            </w:pPr>
            <w:r w:rsidRPr="00BD5539">
              <w:rPr>
                <w:rFonts w:ascii="Times New Roman" w:eastAsia="MS Mincho" w:hAnsi="Times New Roman"/>
                <w:b/>
                <w:sz w:val="18"/>
                <w:szCs w:val="18"/>
                <w:lang w:eastAsia="ja-JP"/>
              </w:rPr>
              <w:t>NR</w:t>
            </w:r>
            <w:r w:rsidRPr="00BD5539">
              <w:rPr>
                <w:rFonts w:ascii="Times New Roman" w:eastAsia="MS Mincho" w:hAnsi="Times New Roman"/>
                <w:b/>
                <w:sz w:val="18"/>
                <w:szCs w:val="18"/>
              </w:rPr>
              <w:t xml:space="preserve"> CA band combination</w:t>
            </w:r>
          </w:p>
        </w:tc>
        <w:tc>
          <w:tcPr>
            <w:tcW w:w="566"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6BAF8148" w14:textId="77777777" w:rsidR="00C756A5" w:rsidRPr="00BD5539" w:rsidRDefault="00C756A5">
            <w:pPr>
              <w:keepNext/>
              <w:keepLines/>
              <w:jc w:val="center"/>
              <w:rPr>
                <w:rFonts w:ascii="Times New Roman" w:eastAsia="MS Mincho" w:hAnsi="Times New Roman"/>
                <w:b/>
                <w:sz w:val="18"/>
                <w:szCs w:val="18"/>
                <w:lang w:val="en-GB"/>
              </w:rPr>
            </w:pPr>
            <w:r w:rsidRPr="00BD5539">
              <w:rPr>
                <w:rFonts w:ascii="Times New Roman" w:eastAsia="MS Mincho" w:hAnsi="Times New Roman"/>
                <w:b/>
                <w:sz w:val="18"/>
                <w:szCs w:val="18"/>
                <w:lang w:eastAsia="ja-JP"/>
              </w:rPr>
              <w:t>NR</w:t>
            </w:r>
            <w:r w:rsidRPr="00BD5539">
              <w:rPr>
                <w:rFonts w:ascii="Times New Roman" w:eastAsia="MS Mincho" w:hAnsi="Times New Roman"/>
                <w:b/>
                <w:sz w:val="18"/>
                <w:szCs w:val="18"/>
              </w:rPr>
              <w:t xml:space="preserve"> band</w:t>
            </w:r>
          </w:p>
        </w:tc>
        <w:tc>
          <w:tcPr>
            <w:tcW w:w="84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6FF868A" w14:textId="77777777"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UL F</w:t>
            </w:r>
            <w:r w:rsidRPr="00BD5539">
              <w:rPr>
                <w:rFonts w:ascii="Times New Roman" w:eastAsia="MS Mincho" w:hAnsi="Times New Roman"/>
                <w:b/>
                <w:sz w:val="18"/>
                <w:szCs w:val="18"/>
                <w:vertAlign w:val="subscript"/>
              </w:rPr>
              <w:t>c</w:t>
            </w:r>
            <w:r w:rsidRPr="00BD5539">
              <w:rPr>
                <w:rFonts w:ascii="Times New Roman" w:eastAsia="MS Mincho" w:hAnsi="Times New Roman"/>
                <w:b/>
                <w:sz w:val="18"/>
                <w:szCs w:val="18"/>
              </w:rPr>
              <w:t xml:space="preserve"> </w:t>
            </w:r>
            <w:r w:rsidRPr="00BD5539">
              <w:rPr>
                <w:rFonts w:ascii="Times New Roman" w:eastAsia="MS Mincho" w:hAnsi="Times New Roman"/>
                <w:b/>
                <w:sz w:val="18"/>
                <w:szCs w:val="18"/>
              </w:rPr>
              <w:br/>
              <w:t>(MHz)</w:t>
            </w:r>
          </w:p>
        </w:tc>
        <w:tc>
          <w:tcPr>
            <w:tcW w:w="975"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3D93ED0" w14:textId="77777777"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 xml:space="preserve">UL/DL BW </w:t>
            </w:r>
            <w:r w:rsidRPr="00BD5539">
              <w:rPr>
                <w:rFonts w:ascii="Times New Roman" w:eastAsia="MS Mincho" w:hAnsi="Times New Roman"/>
                <w:b/>
                <w:sz w:val="18"/>
                <w:szCs w:val="18"/>
              </w:rPr>
              <w:br/>
              <w:t>(MHz)</w:t>
            </w:r>
          </w:p>
        </w:tc>
        <w:tc>
          <w:tcPr>
            <w:tcW w:w="12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04B93DE" w14:textId="77777777"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 xml:space="preserve">UL </w:t>
            </w:r>
            <w:r w:rsidRPr="00BD5539">
              <w:rPr>
                <w:rFonts w:ascii="Times New Roman" w:eastAsia="MS Mincho" w:hAnsi="Times New Roman"/>
                <w:b/>
                <w:sz w:val="18"/>
                <w:szCs w:val="18"/>
              </w:rPr>
              <w:br/>
              <w:t>L</w:t>
            </w:r>
            <w:r w:rsidRPr="00BD5539">
              <w:rPr>
                <w:rFonts w:ascii="Times New Roman" w:eastAsia="MS Mincho" w:hAnsi="Times New Roman"/>
                <w:b/>
                <w:sz w:val="18"/>
                <w:szCs w:val="18"/>
                <w:vertAlign w:val="subscript"/>
              </w:rPr>
              <w:t>CRB</w:t>
            </w:r>
          </w:p>
        </w:tc>
        <w:tc>
          <w:tcPr>
            <w:tcW w:w="1615"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7E749179" w14:textId="77777777"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DL F</w:t>
            </w:r>
            <w:r w:rsidRPr="00BD5539">
              <w:rPr>
                <w:rFonts w:ascii="Times New Roman" w:eastAsia="MS Mincho" w:hAnsi="Times New Roman"/>
                <w:b/>
                <w:sz w:val="18"/>
                <w:szCs w:val="18"/>
                <w:vertAlign w:val="subscript"/>
              </w:rPr>
              <w:t>c</w:t>
            </w:r>
            <w:r w:rsidRPr="00BD5539">
              <w:rPr>
                <w:rFonts w:ascii="Times New Roman" w:eastAsia="MS Mincho" w:hAnsi="Times New Roman"/>
                <w:b/>
                <w:sz w:val="18"/>
                <w:szCs w:val="18"/>
              </w:rPr>
              <w:t xml:space="preserve"> (MHz)</w:t>
            </w:r>
          </w:p>
        </w:tc>
        <w:tc>
          <w:tcPr>
            <w:tcW w:w="144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8FDC964" w14:textId="77777777"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 xml:space="preserve">MSD </w:t>
            </w:r>
            <w:r w:rsidRPr="00BD5539">
              <w:rPr>
                <w:rFonts w:ascii="Times New Roman" w:eastAsia="MS Mincho" w:hAnsi="Times New Roman"/>
                <w:b/>
                <w:sz w:val="18"/>
                <w:szCs w:val="18"/>
              </w:rPr>
              <w:br/>
              <w:t>(dB)</w:t>
            </w:r>
          </w:p>
        </w:tc>
        <w:tc>
          <w:tcPr>
            <w:tcW w:w="1833"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87C5F3A" w14:textId="6188B7D3" w:rsidR="00C756A5" w:rsidRPr="00BD5539" w:rsidRDefault="00C756A5">
            <w:pPr>
              <w:keepNext/>
              <w:keepLines/>
              <w:jc w:val="center"/>
              <w:rPr>
                <w:rFonts w:ascii="Times New Roman" w:eastAsia="MS Mincho" w:hAnsi="Times New Roman"/>
                <w:b/>
                <w:sz w:val="18"/>
                <w:szCs w:val="18"/>
              </w:rPr>
            </w:pPr>
            <w:r w:rsidRPr="00BD5539">
              <w:rPr>
                <w:rFonts w:ascii="Times New Roman" w:eastAsia="MS Mincho" w:hAnsi="Times New Roman"/>
                <w:b/>
                <w:sz w:val="18"/>
                <w:szCs w:val="18"/>
              </w:rPr>
              <w:t>Source of IMD</w:t>
            </w:r>
          </w:p>
        </w:tc>
      </w:tr>
      <w:tr w:rsidR="00C756A5" w:rsidRPr="00BD5539" w14:paraId="1117787E" w14:textId="77777777" w:rsidTr="00BD5539">
        <w:trPr>
          <w:trHeight w:val="976"/>
        </w:trPr>
        <w:tc>
          <w:tcPr>
            <w:tcW w:w="1121"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3FBBC72A" w14:textId="77777777"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CA_n40-n41</w:t>
            </w:r>
          </w:p>
        </w:tc>
        <w:tc>
          <w:tcPr>
            <w:tcW w:w="566"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468E8" w14:textId="77777777"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n40</w:t>
            </w:r>
          </w:p>
        </w:tc>
        <w:tc>
          <w:tcPr>
            <w:tcW w:w="840"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94D2B" w14:textId="77777777"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N/A</w:t>
            </w:r>
          </w:p>
        </w:tc>
        <w:tc>
          <w:tcPr>
            <w:tcW w:w="975"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25001" w14:textId="77777777"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5</w:t>
            </w:r>
          </w:p>
        </w:tc>
        <w:tc>
          <w:tcPr>
            <w:tcW w:w="1252"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3E0B3" w14:textId="77777777"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N/A</w:t>
            </w:r>
          </w:p>
        </w:tc>
        <w:tc>
          <w:tcPr>
            <w:tcW w:w="1615" w:type="dxa"/>
            <w:tcBorders>
              <w:top w:val="single" w:sz="8" w:space="0" w:color="auto"/>
              <w:left w:val="single" w:sz="4" w:space="0" w:color="auto"/>
              <w:right w:val="single" w:sz="4" w:space="0" w:color="auto"/>
            </w:tcBorders>
            <w:tcMar>
              <w:top w:w="0" w:type="dxa"/>
              <w:left w:w="108" w:type="dxa"/>
              <w:bottom w:w="0" w:type="dxa"/>
              <w:right w:w="108" w:type="dxa"/>
            </w:tcMar>
            <w:vAlign w:val="center"/>
            <w:hideMark/>
          </w:tcPr>
          <w:p w14:paraId="232FFE8F" w14:textId="3100C141" w:rsidR="00C756A5" w:rsidRPr="00BD5539" w:rsidRDefault="00C756A5" w:rsidP="004314CB">
            <w:pPr>
              <w:keepNext/>
              <w:keepLines/>
              <w:jc w:val="center"/>
              <w:rPr>
                <w:rFonts w:ascii="Times New Roman" w:eastAsiaTheme="minorEastAsia" w:hAnsi="Times New Roman"/>
                <w:b/>
                <w:bCs/>
                <w:sz w:val="18"/>
                <w:szCs w:val="18"/>
              </w:rPr>
            </w:pPr>
            <w:r w:rsidRPr="00BD5539">
              <w:rPr>
                <w:rFonts w:ascii="Times New Roman" w:eastAsiaTheme="minorEastAsia" w:hAnsi="Times New Roman"/>
                <w:b/>
                <w:bCs/>
                <w:sz w:val="18"/>
                <w:szCs w:val="18"/>
              </w:rPr>
              <w:t>[TBD]</w:t>
            </w:r>
          </w:p>
        </w:tc>
        <w:tc>
          <w:tcPr>
            <w:tcW w:w="1440" w:type="dxa"/>
            <w:tcBorders>
              <w:top w:val="single" w:sz="8" w:space="0" w:color="auto"/>
              <w:left w:val="single" w:sz="4" w:space="0" w:color="auto"/>
              <w:right w:val="single" w:sz="4" w:space="0" w:color="auto"/>
            </w:tcBorders>
            <w:tcMar>
              <w:top w:w="0" w:type="dxa"/>
              <w:left w:w="108" w:type="dxa"/>
              <w:bottom w:w="0" w:type="dxa"/>
              <w:right w:w="108" w:type="dxa"/>
            </w:tcMar>
            <w:vAlign w:val="center"/>
            <w:hideMark/>
          </w:tcPr>
          <w:p w14:paraId="0345767D" w14:textId="3F89E854" w:rsidR="00C756A5" w:rsidRPr="00BD5539" w:rsidRDefault="00C756A5" w:rsidP="00CB32C9">
            <w:pPr>
              <w:keepNext/>
              <w:keepLines/>
              <w:jc w:val="center"/>
              <w:rPr>
                <w:rFonts w:ascii="Times New Roman" w:eastAsiaTheme="minorEastAsia" w:hAnsi="Times New Roman"/>
                <w:b/>
                <w:bCs/>
                <w:sz w:val="18"/>
                <w:szCs w:val="18"/>
              </w:rPr>
            </w:pPr>
            <w:r w:rsidRPr="00BD5539">
              <w:rPr>
                <w:rFonts w:ascii="Times New Roman" w:eastAsiaTheme="minorEastAsia" w:hAnsi="Times New Roman"/>
                <w:b/>
                <w:bCs/>
                <w:sz w:val="18"/>
                <w:szCs w:val="18"/>
              </w:rPr>
              <w:t>[TBD]</w:t>
            </w:r>
          </w:p>
        </w:tc>
        <w:tc>
          <w:tcPr>
            <w:tcW w:w="1833" w:type="dxa"/>
            <w:tcBorders>
              <w:top w:val="single" w:sz="8" w:space="0" w:color="auto"/>
              <w:left w:val="single" w:sz="4" w:space="0" w:color="auto"/>
              <w:right w:val="single" w:sz="8" w:space="0" w:color="auto"/>
            </w:tcBorders>
            <w:tcMar>
              <w:top w:w="0" w:type="dxa"/>
              <w:left w:w="108" w:type="dxa"/>
              <w:bottom w:w="0" w:type="dxa"/>
              <w:right w:w="108" w:type="dxa"/>
            </w:tcMar>
            <w:vAlign w:val="center"/>
            <w:hideMark/>
          </w:tcPr>
          <w:p w14:paraId="054A5E7C" w14:textId="2AC80579" w:rsidR="00C756A5" w:rsidRPr="00BD5539" w:rsidRDefault="00C756A5">
            <w:pPr>
              <w:keepNext/>
              <w:keepLines/>
              <w:jc w:val="center"/>
              <w:rPr>
                <w:rFonts w:ascii="Times New Roman" w:eastAsia="MS Mincho" w:hAnsi="Times New Roman"/>
                <w:sz w:val="18"/>
                <w:szCs w:val="18"/>
              </w:rPr>
            </w:pPr>
            <w:r w:rsidRPr="00BD5539">
              <w:rPr>
                <w:rFonts w:ascii="Times New Roman" w:eastAsia="MS Mincho" w:hAnsi="Times New Roman"/>
                <w:sz w:val="18"/>
                <w:szCs w:val="18"/>
              </w:rPr>
              <w:t>IMD3</w:t>
            </w:r>
          </w:p>
        </w:tc>
      </w:tr>
      <w:tr w:rsidR="00BD5539" w:rsidRPr="00BD5539" w14:paraId="43F9B6D7" w14:textId="77777777" w:rsidTr="00072391">
        <w:trPr>
          <w:trHeight w:val="187"/>
        </w:trPr>
        <w:tc>
          <w:tcPr>
            <w:tcW w:w="0" w:type="auto"/>
            <w:vMerge/>
            <w:tcBorders>
              <w:top w:val="single" w:sz="8" w:space="0" w:color="auto"/>
              <w:left w:val="single" w:sz="8" w:space="0" w:color="auto"/>
              <w:bottom w:val="single" w:sz="8" w:space="0" w:color="auto"/>
              <w:right w:val="single" w:sz="4" w:space="0" w:color="auto"/>
            </w:tcBorders>
            <w:vAlign w:val="center"/>
            <w:hideMark/>
          </w:tcPr>
          <w:p w14:paraId="71C73735" w14:textId="77777777" w:rsidR="00BD5539" w:rsidRPr="00BD5539" w:rsidRDefault="00BD5539">
            <w:pPr>
              <w:rPr>
                <w:rFonts w:ascii="Times New Roman" w:eastAsia="MS Mincho" w:hAnsi="Times New Roman"/>
                <w:sz w:val="18"/>
                <w:szCs w:val="18"/>
                <w:lang w:val="en-GB"/>
              </w:rPr>
            </w:pPr>
          </w:p>
        </w:tc>
        <w:tc>
          <w:tcPr>
            <w:tcW w:w="566"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29DDAB4"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rPr>
              <w:t>n41</w:t>
            </w:r>
          </w:p>
        </w:tc>
        <w:tc>
          <w:tcPr>
            <w:tcW w:w="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DBD4F9" w14:textId="77777777" w:rsidR="00BD5539" w:rsidRPr="00BD5539" w:rsidRDefault="00BD5539">
            <w:pPr>
              <w:keepNext/>
              <w:keepLines/>
              <w:jc w:val="center"/>
              <w:rPr>
                <w:rFonts w:ascii="Times New Roman" w:eastAsia="MS Mincho" w:hAnsi="Times New Roman"/>
                <w:sz w:val="18"/>
                <w:szCs w:val="18"/>
                <w:lang w:eastAsia="en-US"/>
              </w:rPr>
            </w:pPr>
            <w:r w:rsidRPr="00BD5539">
              <w:rPr>
                <w:rFonts w:ascii="Times New Roman" w:eastAsia="MS Mincho" w:hAnsi="Times New Roman"/>
                <w:sz w:val="18"/>
                <w:szCs w:val="18"/>
                <w:lang w:eastAsia="ja-JP"/>
              </w:rPr>
              <w:t>2545</w:t>
            </w:r>
          </w:p>
        </w:tc>
        <w:tc>
          <w:tcPr>
            <w:tcW w:w="9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64D65"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rPr>
              <w:t>60</w:t>
            </w:r>
          </w:p>
        </w:tc>
        <w:tc>
          <w:tcPr>
            <w:tcW w:w="12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3ECB0" w14:textId="77777777" w:rsidR="00BD5539" w:rsidRPr="00BD5539" w:rsidRDefault="00BD5539">
            <w:pPr>
              <w:keepNext/>
              <w:keepLines/>
              <w:jc w:val="center"/>
              <w:rPr>
                <w:rFonts w:ascii="Times New Roman" w:eastAsia="MS Mincho" w:hAnsi="Times New Roman"/>
                <w:sz w:val="18"/>
                <w:szCs w:val="18"/>
                <w:highlight w:val="yellow"/>
              </w:rPr>
            </w:pPr>
            <w:r w:rsidRPr="00BD5539">
              <w:rPr>
                <w:rFonts w:ascii="Times New Roman" w:eastAsia="MS Mincho" w:hAnsi="Times New Roman"/>
                <w:sz w:val="18"/>
                <w:szCs w:val="18"/>
                <w:highlight w:val="yellow"/>
              </w:rPr>
              <w:t>1 (RB</w:t>
            </w:r>
            <w:r w:rsidRPr="00BD5539">
              <w:rPr>
                <w:rFonts w:ascii="Times New Roman" w:eastAsia="MS Mincho" w:hAnsi="Times New Roman"/>
                <w:sz w:val="18"/>
                <w:szCs w:val="18"/>
                <w:highlight w:val="yellow"/>
                <w:vertAlign w:val="subscript"/>
              </w:rPr>
              <w:t>START</w:t>
            </w:r>
            <w:r w:rsidRPr="00BD5539">
              <w:rPr>
                <w:rFonts w:ascii="Times New Roman" w:eastAsia="MS Mincho" w:hAnsi="Times New Roman"/>
                <w:sz w:val="18"/>
                <w:szCs w:val="18"/>
                <w:highlight w:val="yellow"/>
              </w:rPr>
              <w:t>= 0)</w:t>
            </w:r>
          </w:p>
        </w:tc>
        <w:tc>
          <w:tcPr>
            <w:tcW w:w="1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C0356" w14:textId="77777777" w:rsidR="00BD5539" w:rsidRPr="00BD5539" w:rsidRDefault="00BD5539">
            <w:pPr>
              <w:keepNext/>
              <w:keepLines/>
              <w:jc w:val="center"/>
              <w:rPr>
                <w:rFonts w:ascii="Times New Roman" w:eastAsia="MS Mincho" w:hAnsi="Times New Roman"/>
                <w:sz w:val="18"/>
                <w:szCs w:val="18"/>
                <w:lang w:val="en-GB"/>
              </w:rPr>
            </w:pPr>
            <w:r w:rsidRPr="00BD5539">
              <w:rPr>
                <w:rFonts w:ascii="Times New Roman" w:eastAsia="MS Mincho" w:hAnsi="Times New Roman"/>
                <w:sz w:val="18"/>
                <w:szCs w:val="18"/>
                <w:lang w:eastAsia="ja-JP"/>
              </w:rPr>
              <w:t>2545</w:t>
            </w:r>
          </w:p>
        </w:tc>
        <w:tc>
          <w:tcPr>
            <w:tcW w:w="1440"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6308ED8E"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lang w:eastAsia="ja-JP"/>
              </w:rPr>
              <w:t>N/A</w:t>
            </w:r>
          </w:p>
        </w:tc>
        <w:tc>
          <w:tcPr>
            <w:tcW w:w="1833"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hideMark/>
          </w:tcPr>
          <w:p w14:paraId="3689150F" w14:textId="77777777" w:rsidR="00BD5539" w:rsidRPr="00BD5539" w:rsidRDefault="00BD5539">
            <w:pPr>
              <w:keepNext/>
              <w:keepLines/>
              <w:jc w:val="center"/>
              <w:rPr>
                <w:rFonts w:ascii="Times New Roman" w:eastAsia="MS Mincho" w:hAnsi="Times New Roman"/>
                <w:sz w:val="18"/>
                <w:szCs w:val="18"/>
                <w:lang w:val="en-GB" w:eastAsia="en-US"/>
              </w:rPr>
            </w:pPr>
            <w:r w:rsidRPr="00BD5539">
              <w:rPr>
                <w:rFonts w:ascii="Times New Roman" w:eastAsia="MS Mincho" w:hAnsi="Times New Roman"/>
                <w:sz w:val="18"/>
                <w:szCs w:val="18"/>
                <w:lang w:eastAsia="ja-JP"/>
              </w:rPr>
              <w:t>N/A</w:t>
            </w:r>
          </w:p>
        </w:tc>
      </w:tr>
      <w:tr w:rsidR="00BD5539" w:rsidRPr="00BD5539" w14:paraId="409B008B" w14:textId="77777777" w:rsidTr="00072391">
        <w:trPr>
          <w:trHeight w:val="187"/>
        </w:trPr>
        <w:tc>
          <w:tcPr>
            <w:tcW w:w="0" w:type="auto"/>
            <w:vMerge/>
            <w:tcBorders>
              <w:top w:val="single" w:sz="8" w:space="0" w:color="auto"/>
              <w:left w:val="single" w:sz="8" w:space="0" w:color="auto"/>
              <w:bottom w:val="single" w:sz="8" w:space="0" w:color="auto"/>
              <w:right w:val="single" w:sz="4" w:space="0" w:color="auto"/>
            </w:tcBorders>
            <w:vAlign w:val="center"/>
            <w:hideMark/>
          </w:tcPr>
          <w:p w14:paraId="5DE84081" w14:textId="77777777" w:rsidR="00BD5539" w:rsidRPr="00BD5539" w:rsidRDefault="00BD5539">
            <w:pPr>
              <w:rPr>
                <w:rFonts w:ascii="Times New Roman" w:eastAsia="MS Mincho" w:hAnsi="Times New Roman"/>
                <w:sz w:val="18"/>
                <w:szCs w:val="18"/>
                <w:lang w:val="en-GB"/>
              </w:rPr>
            </w:pPr>
          </w:p>
        </w:tc>
        <w:tc>
          <w:tcPr>
            <w:tcW w:w="0" w:type="auto"/>
            <w:vMerge/>
            <w:tcBorders>
              <w:top w:val="single" w:sz="4" w:space="0" w:color="auto"/>
              <w:left w:val="single" w:sz="4" w:space="0" w:color="auto"/>
              <w:bottom w:val="single" w:sz="8" w:space="0" w:color="auto"/>
              <w:right w:val="single" w:sz="4" w:space="0" w:color="auto"/>
            </w:tcBorders>
            <w:vAlign w:val="center"/>
            <w:hideMark/>
          </w:tcPr>
          <w:p w14:paraId="31FF6C02" w14:textId="77777777" w:rsidR="00BD5539" w:rsidRPr="00BD5539" w:rsidRDefault="00BD5539">
            <w:pPr>
              <w:rPr>
                <w:rFonts w:ascii="Times New Roman" w:eastAsia="MS Mincho" w:hAnsi="Times New Roman"/>
                <w:sz w:val="18"/>
                <w:szCs w:val="18"/>
                <w:lang w:val="en-GB"/>
              </w:rPr>
            </w:pPr>
          </w:p>
        </w:tc>
        <w:tc>
          <w:tcPr>
            <w:tcW w:w="840"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EDF45B8"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lang w:eastAsia="ja-JP"/>
              </w:rPr>
              <w:t>2625</w:t>
            </w:r>
          </w:p>
        </w:tc>
        <w:tc>
          <w:tcPr>
            <w:tcW w:w="975"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6827823"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rPr>
              <w:t>100</w:t>
            </w:r>
          </w:p>
        </w:tc>
        <w:tc>
          <w:tcPr>
            <w:tcW w:w="12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647BDD2" w14:textId="77777777" w:rsidR="00BD5539" w:rsidRPr="00BD5539" w:rsidRDefault="00BD5539">
            <w:pPr>
              <w:keepNext/>
              <w:keepLines/>
              <w:jc w:val="center"/>
              <w:rPr>
                <w:rFonts w:ascii="Times New Roman" w:eastAsia="MS Mincho" w:hAnsi="Times New Roman"/>
                <w:sz w:val="18"/>
                <w:szCs w:val="18"/>
                <w:highlight w:val="yellow"/>
              </w:rPr>
            </w:pPr>
            <w:r w:rsidRPr="00BD5539">
              <w:rPr>
                <w:rFonts w:ascii="Times New Roman" w:eastAsia="MS Mincho" w:hAnsi="Times New Roman"/>
                <w:sz w:val="18"/>
                <w:szCs w:val="18"/>
                <w:highlight w:val="yellow"/>
              </w:rPr>
              <w:t>1 (RB</w:t>
            </w:r>
            <w:r w:rsidRPr="00BD5539">
              <w:rPr>
                <w:rFonts w:ascii="Times New Roman" w:eastAsia="MS Mincho" w:hAnsi="Times New Roman"/>
                <w:sz w:val="18"/>
                <w:szCs w:val="18"/>
                <w:highlight w:val="yellow"/>
                <w:vertAlign w:val="subscript"/>
              </w:rPr>
              <w:t>START</w:t>
            </w:r>
            <w:r w:rsidRPr="00BD5539">
              <w:rPr>
                <w:rFonts w:ascii="Times New Roman" w:eastAsia="MS Mincho" w:hAnsi="Times New Roman"/>
                <w:sz w:val="18"/>
                <w:szCs w:val="18"/>
                <w:highlight w:val="yellow"/>
              </w:rPr>
              <w:t>= 272)</w:t>
            </w:r>
          </w:p>
        </w:tc>
        <w:tc>
          <w:tcPr>
            <w:tcW w:w="1615"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949D25E" w14:textId="77777777" w:rsidR="00BD5539" w:rsidRPr="00BD5539" w:rsidRDefault="00BD5539">
            <w:pPr>
              <w:keepNext/>
              <w:keepLines/>
              <w:jc w:val="center"/>
              <w:rPr>
                <w:rFonts w:ascii="Times New Roman" w:eastAsia="MS Mincho" w:hAnsi="Times New Roman"/>
                <w:sz w:val="18"/>
                <w:szCs w:val="18"/>
              </w:rPr>
            </w:pPr>
            <w:r w:rsidRPr="00BD5539">
              <w:rPr>
                <w:rFonts w:ascii="Times New Roman" w:eastAsia="MS Mincho" w:hAnsi="Times New Roman"/>
                <w:sz w:val="18"/>
                <w:szCs w:val="18"/>
                <w:lang w:eastAsia="ja-JP"/>
              </w:rPr>
              <w:t>2625</w:t>
            </w:r>
          </w:p>
        </w:tc>
        <w:tc>
          <w:tcPr>
            <w:tcW w:w="1440" w:type="dxa"/>
            <w:vMerge/>
            <w:tcBorders>
              <w:top w:val="single" w:sz="4" w:space="0" w:color="auto"/>
              <w:left w:val="single" w:sz="4" w:space="0" w:color="auto"/>
              <w:bottom w:val="single" w:sz="8" w:space="0" w:color="auto"/>
              <w:right w:val="single" w:sz="4" w:space="0" w:color="auto"/>
            </w:tcBorders>
            <w:vAlign w:val="center"/>
            <w:hideMark/>
          </w:tcPr>
          <w:p w14:paraId="00183905" w14:textId="77777777" w:rsidR="00BD5539" w:rsidRPr="00BD5539" w:rsidRDefault="00BD5539">
            <w:pPr>
              <w:rPr>
                <w:rFonts w:ascii="Times New Roman" w:eastAsia="MS Mincho" w:hAnsi="Times New Roman"/>
                <w:sz w:val="18"/>
                <w:szCs w:val="18"/>
                <w:lang w:val="en-GB" w:eastAsia="en-US"/>
              </w:rPr>
            </w:pPr>
          </w:p>
        </w:tc>
        <w:tc>
          <w:tcPr>
            <w:tcW w:w="0" w:type="auto"/>
            <w:vMerge/>
            <w:tcBorders>
              <w:left w:val="single" w:sz="4" w:space="0" w:color="auto"/>
              <w:bottom w:val="single" w:sz="8" w:space="0" w:color="auto"/>
              <w:right w:val="single" w:sz="8" w:space="0" w:color="auto"/>
            </w:tcBorders>
            <w:vAlign w:val="center"/>
            <w:hideMark/>
          </w:tcPr>
          <w:p w14:paraId="66D97CF0" w14:textId="77777777" w:rsidR="00BD5539" w:rsidRPr="00BD5539" w:rsidRDefault="00BD5539">
            <w:pPr>
              <w:rPr>
                <w:rFonts w:ascii="Times New Roman" w:eastAsia="MS Mincho" w:hAnsi="Times New Roman"/>
                <w:sz w:val="18"/>
                <w:szCs w:val="18"/>
                <w:lang w:val="en-GB" w:eastAsia="en-US"/>
              </w:rPr>
            </w:pPr>
          </w:p>
        </w:tc>
      </w:tr>
    </w:tbl>
    <w:p w14:paraId="5583AF87" w14:textId="2883FB08" w:rsidR="007B16B9" w:rsidRPr="00BD5539" w:rsidRDefault="007B16B9">
      <w:pPr>
        <w:spacing w:after="180"/>
        <w:rPr>
          <w:rFonts w:ascii="Times New Roman" w:hAnsi="Times New Roman"/>
          <w:sz w:val="18"/>
          <w:szCs w:val="18"/>
        </w:rPr>
      </w:pPr>
    </w:p>
    <w:p w14:paraId="628159C9" w14:textId="19FF08E7" w:rsidR="00AE6DDF" w:rsidRDefault="00BD5539">
      <w:pPr>
        <w:spacing w:after="180"/>
        <w:rPr>
          <w:rFonts w:ascii="Times New Roman" w:hAnsi="Times New Roman"/>
          <w:sz w:val="20"/>
          <w:szCs w:val="20"/>
        </w:rPr>
      </w:pPr>
      <w:r w:rsidRPr="00BD5539">
        <w:rPr>
          <w:rFonts w:ascii="Times New Roman" w:hAnsi="Times New Roman"/>
          <w:sz w:val="20"/>
          <w:szCs w:val="20"/>
        </w:rPr>
        <w:t xml:space="preserve">In our opinion, we introduced UL intra-band CA to enable an increase in UL throughput by introducing a larger channel bandwidth. Usually, a network will not schedule another carrier and configure UL intra-band CA if one carrier is not fully utilized. The test case that 1 RB is specified for each carrier of the intra-band CA will not appear in realistic network </w:t>
      </w:r>
      <w:r w:rsidRPr="00BD5539">
        <w:rPr>
          <w:rFonts w:ascii="Times New Roman" w:hAnsi="Times New Roman"/>
          <w:sz w:val="20"/>
          <w:szCs w:val="20"/>
        </w:rPr>
        <w:lastRenderedPageBreak/>
        <w:t>resource allocations, because one single carrier could achieve the throughput. Although the network has the option of allocating the above configuration, we can't deny that this is an extreme scenario that doesn't occur in operators’ networks.</w:t>
      </w:r>
    </w:p>
    <w:p w14:paraId="177FC28D" w14:textId="054EC1F8" w:rsidR="005B6AE5" w:rsidRDefault="00D707E0">
      <w:pPr>
        <w:spacing w:after="180"/>
        <w:rPr>
          <w:rFonts w:ascii="Times New Roman" w:hAnsi="Times New Roman"/>
          <w:b/>
          <w:bCs/>
          <w:sz w:val="20"/>
          <w:szCs w:val="20"/>
        </w:rPr>
      </w:pPr>
      <w:bookmarkStart w:id="0" w:name="OLE_LINK3"/>
      <w:r w:rsidRPr="00D707E0">
        <w:rPr>
          <w:rFonts w:ascii="Times New Roman" w:hAnsi="Times New Roman"/>
          <w:b/>
          <w:bCs/>
          <w:sz w:val="20"/>
          <w:szCs w:val="20"/>
        </w:rPr>
        <w:t>Observation 1</w:t>
      </w:r>
      <w:r w:rsidRPr="00D707E0">
        <w:rPr>
          <w:rFonts w:ascii="Times New Roman" w:hAnsi="Times New Roman" w:hint="eastAsia"/>
          <w:b/>
          <w:bCs/>
          <w:sz w:val="20"/>
          <w:szCs w:val="20"/>
        </w:rPr>
        <w:t xml:space="preserve">: </w:t>
      </w:r>
      <w:r w:rsidRPr="00D707E0">
        <w:rPr>
          <w:rFonts w:ascii="Times New Roman" w:hAnsi="Times New Roman"/>
          <w:b/>
          <w:bCs/>
          <w:sz w:val="20"/>
          <w:szCs w:val="20"/>
        </w:rPr>
        <w:t xml:space="preserve">The test case that 1 RB is specified for each carrier of the intra-band CA will not appear in realistic network resource </w:t>
      </w:r>
      <w:r w:rsidR="00BD5539" w:rsidRPr="00BD5539">
        <w:rPr>
          <w:rFonts w:ascii="Times New Roman" w:hAnsi="Times New Roman"/>
          <w:b/>
          <w:bCs/>
          <w:sz w:val="20"/>
          <w:szCs w:val="20"/>
        </w:rPr>
        <w:t>allocations</w:t>
      </w:r>
      <w:r w:rsidRPr="00D707E0">
        <w:rPr>
          <w:rFonts w:ascii="Times New Roman" w:hAnsi="Times New Roman"/>
          <w:b/>
          <w:bCs/>
          <w:sz w:val="20"/>
          <w:szCs w:val="20"/>
        </w:rPr>
        <w:t>, because one single carrier could achieve the throughput.</w:t>
      </w:r>
    </w:p>
    <w:p w14:paraId="25E68A65" w14:textId="585DBB94" w:rsidR="00C20B4C" w:rsidRDefault="00C20B4C">
      <w:pPr>
        <w:spacing w:after="180"/>
        <w:rPr>
          <w:rFonts w:ascii="Times New Roman" w:hAnsi="Times New Roman"/>
          <w:b/>
          <w:bCs/>
          <w:sz w:val="20"/>
          <w:szCs w:val="20"/>
        </w:rPr>
      </w:pPr>
      <w:r w:rsidRPr="00C20B4C">
        <w:rPr>
          <w:rFonts w:ascii="Times New Roman" w:hAnsi="Times New Roman"/>
          <w:b/>
          <w:bCs/>
          <w:sz w:val="20"/>
          <w:szCs w:val="20"/>
        </w:rPr>
        <w:t xml:space="preserve">Observation </w:t>
      </w:r>
      <w:r>
        <w:rPr>
          <w:rFonts w:ascii="Times New Roman" w:hAnsi="Times New Roman" w:hint="eastAsia"/>
          <w:b/>
          <w:bCs/>
          <w:sz w:val="20"/>
          <w:szCs w:val="20"/>
        </w:rPr>
        <w:t>2: T</w:t>
      </w:r>
      <w:r w:rsidRPr="00C20B4C">
        <w:rPr>
          <w:rFonts w:ascii="Times New Roman" w:hAnsi="Times New Roman"/>
          <w:b/>
          <w:bCs/>
          <w:sz w:val="20"/>
          <w:szCs w:val="20"/>
        </w:rPr>
        <w:t>he test case that 1 RB is specified for each carrier of the intra-band CA</w:t>
      </w:r>
      <w:r>
        <w:rPr>
          <w:rFonts w:ascii="Times New Roman" w:hAnsi="Times New Roman" w:hint="eastAsia"/>
          <w:b/>
          <w:bCs/>
          <w:sz w:val="20"/>
          <w:szCs w:val="20"/>
        </w:rPr>
        <w:t xml:space="preserve"> </w:t>
      </w:r>
      <w:r w:rsidRPr="00C20B4C">
        <w:rPr>
          <w:rFonts w:ascii="Times New Roman" w:hAnsi="Times New Roman"/>
          <w:b/>
          <w:bCs/>
          <w:sz w:val="20"/>
          <w:szCs w:val="20"/>
        </w:rPr>
        <w:t>is an extreme scenario that doesn't occur in operators’ networks.</w:t>
      </w:r>
    </w:p>
    <w:bookmarkEnd w:id="0"/>
    <w:p w14:paraId="5C6B7647" w14:textId="3CFF1D18" w:rsidR="00D707E0" w:rsidRDefault="00C20B4C">
      <w:pPr>
        <w:spacing w:after="180"/>
        <w:rPr>
          <w:rFonts w:ascii="Times New Roman" w:hAnsi="Times New Roman"/>
          <w:sz w:val="20"/>
          <w:szCs w:val="20"/>
        </w:rPr>
      </w:pPr>
      <w:r>
        <w:rPr>
          <w:rFonts w:ascii="Times New Roman" w:hAnsi="Times New Roman" w:hint="eastAsia"/>
          <w:sz w:val="20"/>
          <w:szCs w:val="20"/>
        </w:rPr>
        <w:t xml:space="preserve">The WF listed three </w:t>
      </w:r>
      <w:r w:rsidRPr="00C20B4C">
        <w:rPr>
          <w:rFonts w:ascii="Times New Roman" w:hAnsi="Times New Roman"/>
          <w:sz w:val="20"/>
          <w:szCs w:val="20"/>
        </w:rPr>
        <w:t>options for handling the MSD requirements</w:t>
      </w:r>
      <w:r>
        <w:rPr>
          <w:rFonts w:ascii="Times New Roman" w:hAnsi="Times New Roman" w:hint="eastAsia"/>
          <w:sz w:val="20"/>
          <w:szCs w:val="20"/>
        </w:rPr>
        <w:t>:</w:t>
      </w:r>
    </w:p>
    <w:p w14:paraId="64D969EC" w14:textId="77777777" w:rsidR="00C20B4C" w:rsidRPr="00C20B4C" w:rsidRDefault="00C20B4C" w:rsidP="00C20B4C">
      <w:pPr>
        <w:spacing w:after="180"/>
        <w:rPr>
          <w:rFonts w:ascii="Times New Roman" w:hAnsi="Times New Roman"/>
          <w:sz w:val="20"/>
          <w:szCs w:val="20"/>
        </w:rPr>
      </w:pPr>
      <w:r w:rsidRPr="00C20B4C">
        <w:rPr>
          <w:rFonts w:ascii="Times New Roman" w:hAnsi="Times New Roman"/>
          <w:b/>
          <w:bCs/>
          <w:sz w:val="20"/>
          <w:szCs w:val="20"/>
        </w:rPr>
        <w:t>Option 1</w:t>
      </w:r>
      <w:r w:rsidRPr="00C20B4C">
        <w:rPr>
          <w:rFonts w:ascii="Times New Roman" w:hAnsi="Times New Roman"/>
          <w:sz w:val="20"/>
          <w:szCs w:val="20"/>
        </w:rPr>
        <w:t xml:space="preserve">: No change from TR 38.862 guidelines </w:t>
      </w:r>
    </w:p>
    <w:p w14:paraId="310E2B44" w14:textId="77777777" w:rsidR="00C20B4C" w:rsidRPr="00C20B4C" w:rsidRDefault="00C20B4C" w:rsidP="00C20B4C">
      <w:pPr>
        <w:spacing w:after="180"/>
        <w:rPr>
          <w:rFonts w:ascii="Times New Roman" w:hAnsi="Times New Roman"/>
          <w:sz w:val="20"/>
          <w:szCs w:val="20"/>
        </w:rPr>
      </w:pPr>
      <w:r w:rsidRPr="00C20B4C">
        <w:rPr>
          <w:rFonts w:ascii="Times New Roman" w:hAnsi="Times New Roman"/>
          <w:b/>
          <w:bCs/>
          <w:sz w:val="20"/>
          <w:szCs w:val="20"/>
        </w:rPr>
        <w:t>Option 2</w:t>
      </w:r>
      <w:r w:rsidRPr="00C20B4C">
        <w:rPr>
          <w:rFonts w:ascii="Times New Roman" w:hAnsi="Times New Roman"/>
          <w:sz w:val="20"/>
          <w:szCs w:val="20"/>
        </w:rPr>
        <w:t>: Do not consider all MSD requirements resulting from intra-band contiguous UL CA configured with non-contiguous allocations.</w:t>
      </w:r>
    </w:p>
    <w:p w14:paraId="4125E9F7" w14:textId="6CAFED1B" w:rsidR="00C20B4C" w:rsidRDefault="00C20B4C" w:rsidP="00C20B4C">
      <w:pPr>
        <w:spacing w:after="180"/>
        <w:rPr>
          <w:rFonts w:ascii="Times New Roman" w:hAnsi="Times New Roman"/>
          <w:sz w:val="20"/>
          <w:szCs w:val="20"/>
        </w:rPr>
      </w:pPr>
      <w:r w:rsidRPr="00C20B4C">
        <w:rPr>
          <w:rFonts w:ascii="Times New Roman" w:hAnsi="Times New Roman"/>
          <w:b/>
          <w:bCs/>
          <w:sz w:val="20"/>
          <w:szCs w:val="20"/>
        </w:rPr>
        <w:t>Option 3</w:t>
      </w:r>
      <w:r w:rsidRPr="00C20B4C">
        <w:rPr>
          <w:rFonts w:ascii="Times New Roman" w:hAnsi="Times New Roman"/>
          <w:sz w:val="20"/>
          <w:szCs w:val="20"/>
        </w:rPr>
        <w:t>: Do not consider only the MSD requirements resulting from intra-band contiguous UL CA configured with 1RB+1RB allocations.</w:t>
      </w:r>
    </w:p>
    <w:p w14:paraId="21D453EA" w14:textId="158AE4E7" w:rsidR="00C20B4C" w:rsidRDefault="00C756A5" w:rsidP="00C20B4C">
      <w:pPr>
        <w:spacing w:after="180"/>
        <w:rPr>
          <w:rFonts w:ascii="Times New Roman" w:hAnsi="Times New Roman"/>
          <w:sz w:val="20"/>
          <w:szCs w:val="20"/>
        </w:rPr>
      </w:pPr>
      <w:bookmarkStart w:id="1" w:name="OLE_LINK4"/>
      <w:r>
        <w:rPr>
          <w:rFonts w:ascii="Times New Roman" w:hAnsi="Times New Roman" w:hint="eastAsia"/>
          <w:sz w:val="20"/>
          <w:szCs w:val="20"/>
        </w:rPr>
        <w:t>Based on the o</w:t>
      </w:r>
      <w:r w:rsidRPr="00C756A5">
        <w:rPr>
          <w:rFonts w:ascii="Times New Roman" w:hAnsi="Times New Roman"/>
          <w:sz w:val="20"/>
          <w:szCs w:val="20"/>
        </w:rPr>
        <w:t>bservation</w:t>
      </w:r>
      <w:r>
        <w:rPr>
          <w:rFonts w:ascii="Times New Roman" w:hAnsi="Times New Roman" w:hint="eastAsia"/>
          <w:sz w:val="20"/>
          <w:szCs w:val="20"/>
        </w:rPr>
        <w:t xml:space="preserve">s above, we think the </w:t>
      </w:r>
      <w:r w:rsidRPr="00C756A5">
        <w:rPr>
          <w:rFonts w:ascii="Times New Roman" w:hAnsi="Times New Roman"/>
          <w:sz w:val="20"/>
          <w:szCs w:val="20"/>
        </w:rPr>
        <w:t>extreme scenario</w:t>
      </w:r>
      <w:r>
        <w:rPr>
          <w:rFonts w:ascii="Times New Roman" w:hAnsi="Times New Roman" w:hint="eastAsia"/>
          <w:sz w:val="20"/>
          <w:szCs w:val="20"/>
        </w:rPr>
        <w:t xml:space="preserve"> in the </w:t>
      </w:r>
      <w:r>
        <w:rPr>
          <w:rFonts w:ascii="Times New Roman" w:hAnsi="Times New Roman"/>
          <w:sz w:val="20"/>
          <w:szCs w:val="20"/>
        </w:rPr>
        <w:t>network</w:t>
      </w:r>
      <w:r>
        <w:rPr>
          <w:rFonts w:ascii="Times New Roman" w:hAnsi="Times New Roman" w:hint="eastAsia"/>
          <w:sz w:val="20"/>
          <w:szCs w:val="20"/>
        </w:rPr>
        <w:t xml:space="preserve"> should not be considered and </w:t>
      </w:r>
      <w:r w:rsidRPr="00C756A5">
        <w:rPr>
          <w:rFonts w:ascii="Times New Roman" w:hAnsi="Times New Roman"/>
          <w:sz w:val="20"/>
          <w:szCs w:val="20"/>
        </w:rPr>
        <w:t>cross-band MSD requirements resulting from intra-band contiguous UL CA configured with fully allocated maximum aggregated BW</w:t>
      </w:r>
      <w:r>
        <w:rPr>
          <w:rFonts w:ascii="Times New Roman" w:hAnsi="Times New Roman" w:hint="eastAsia"/>
          <w:sz w:val="20"/>
          <w:szCs w:val="20"/>
        </w:rPr>
        <w:t xml:space="preserve"> should be introduced.</w:t>
      </w:r>
    </w:p>
    <w:bookmarkEnd w:id="1"/>
    <w:p w14:paraId="136E1173" w14:textId="6EC045DB" w:rsidR="00C756A5" w:rsidRPr="00C756A5" w:rsidRDefault="00C756A5" w:rsidP="00C20B4C">
      <w:pPr>
        <w:spacing w:after="180"/>
        <w:rPr>
          <w:rFonts w:ascii="Times New Roman" w:hAnsi="Times New Roman"/>
          <w:b/>
          <w:bCs/>
          <w:sz w:val="20"/>
          <w:szCs w:val="20"/>
        </w:rPr>
      </w:pPr>
      <w:r w:rsidRPr="00C756A5">
        <w:rPr>
          <w:rFonts w:ascii="Times New Roman" w:hAnsi="Times New Roman" w:hint="eastAsia"/>
          <w:b/>
          <w:bCs/>
          <w:sz w:val="20"/>
          <w:szCs w:val="20"/>
        </w:rPr>
        <w:t xml:space="preserve">Proposal 1: </w:t>
      </w:r>
      <w:r w:rsidRPr="00C756A5">
        <w:rPr>
          <w:rFonts w:ascii="Times New Roman" w:hAnsi="Times New Roman"/>
          <w:b/>
          <w:bCs/>
          <w:sz w:val="20"/>
          <w:szCs w:val="20"/>
        </w:rPr>
        <w:t>Do not consider only the MSD requirements resulting from intra-band contiguous UL CA configured with 1RB+1RB allocations</w:t>
      </w:r>
      <w:r w:rsidR="00E932BC">
        <w:rPr>
          <w:rFonts w:ascii="Times New Roman" w:hAnsi="Times New Roman" w:hint="eastAsia"/>
          <w:b/>
          <w:bCs/>
          <w:sz w:val="20"/>
          <w:szCs w:val="20"/>
        </w:rPr>
        <w:t>,</w:t>
      </w:r>
      <w:r w:rsidRPr="00C756A5">
        <w:rPr>
          <w:rFonts w:ascii="Times New Roman" w:hAnsi="Times New Roman" w:hint="eastAsia"/>
          <w:b/>
          <w:bCs/>
          <w:sz w:val="20"/>
          <w:szCs w:val="20"/>
        </w:rPr>
        <w:t xml:space="preserve"> and </w:t>
      </w:r>
      <w:r w:rsidRPr="00C756A5">
        <w:rPr>
          <w:rFonts w:ascii="Times New Roman" w:hAnsi="Times New Roman"/>
          <w:b/>
          <w:bCs/>
          <w:sz w:val="20"/>
          <w:szCs w:val="20"/>
        </w:rPr>
        <w:t>cross-band MSD requirements resulting from intra-band contiguous UL CA configured with fully allocated maximum aggregated BW should be introduced.</w:t>
      </w:r>
    </w:p>
    <w:p w14:paraId="33892E6F" w14:textId="0326FF78" w:rsidR="00C756A5" w:rsidRDefault="00C756A5">
      <w:pPr>
        <w:spacing w:after="180"/>
        <w:rPr>
          <w:rFonts w:ascii="Times New Roman" w:hAnsi="Times New Roman"/>
          <w:sz w:val="20"/>
          <w:szCs w:val="20"/>
        </w:rPr>
      </w:pPr>
      <w:r>
        <w:rPr>
          <w:rFonts w:ascii="Times New Roman" w:hAnsi="Times New Roman" w:hint="eastAsia"/>
          <w:sz w:val="20"/>
          <w:szCs w:val="20"/>
        </w:rPr>
        <w:t>Considering similar issues are discussed about CA_</w:t>
      </w:r>
      <w:r w:rsidRPr="00C756A5">
        <w:rPr>
          <w:rFonts w:ascii="Times New Roman" w:hAnsi="Times New Roman"/>
          <w:sz w:val="20"/>
          <w:szCs w:val="20"/>
        </w:rPr>
        <w:t>n40A-n41C</w:t>
      </w:r>
      <w:r>
        <w:rPr>
          <w:rFonts w:ascii="Times New Roman" w:hAnsi="Times New Roman" w:hint="eastAsia"/>
          <w:sz w:val="20"/>
          <w:szCs w:val="20"/>
        </w:rPr>
        <w:t xml:space="preserve"> and CA_n41-n79</w:t>
      </w:r>
      <w:r w:rsidR="00BD5539">
        <w:rPr>
          <w:rFonts w:ascii="Times New Roman" w:hAnsi="Times New Roman" w:hint="eastAsia"/>
          <w:sz w:val="20"/>
          <w:szCs w:val="20"/>
        </w:rPr>
        <w:t xml:space="preserve"> such as the above Table 1</w:t>
      </w:r>
      <w:r>
        <w:rPr>
          <w:rFonts w:ascii="Times New Roman" w:hAnsi="Times New Roman" w:hint="eastAsia"/>
          <w:sz w:val="20"/>
          <w:szCs w:val="20"/>
        </w:rPr>
        <w:t>, we should discuss the test configu</w:t>
      </w:r>
      <w:r w:rsidR="00BD5539">
        <w:rPr>
          <w:rFonts w:ascii="Times New Roman" w:hAnsi="Times New Roman" w:hint="eastAsia"/>
          <w:sz w:val="20"/>
          <w:szCs w:val="20"/>
        </w:rPr>
        <w:t>ration before MSD value t</w:t>
      </w:r>
      <w:r w:rsidR="00BD5539" w:rsidRPr="00BD5539">
        <w:rPr>
          <w:rFonts w:ascii="Times New Roman" w:hAnsi="Times New Roman"/>
          <w:sz w:val="20"/>
          <w:szCs w:val="20"/>
        </w:rPr>
        <w:t>o avoid useless work</w:t>
      </w:r>
      <w:r w:rsidR="00BD5539">
        <w:rPr>
          <w:rFonts w:ascii="Times New Roman" w:hAnsi="Times New Roman" w:hint="eastAsia"/>
          <w:sz w:val="20"/>
          <w:szCs w:val="20"/>
        </w:rPr>
        <w:t>.</w:t>
      </w:r>
    </w:p>
    <w:p w14:paraId="17755BFE" w14:textId="1DCC7967" w:rsidR="00BD5539" w:rsidRPr="00BD5539" w:rsidRDefault="00BD5539">
      <w:pPr>
        <w:spacing w:after="180"/>
        <w:rPr>
          <w:rFonts w:ascii="Times New Roman" w:hAnsi="Times New Roman"/>
          <w:b/>
          <w:bCs/>
          <w:sz w:val="20"/>
          <w:szCs w:val="20"/>
        </w:rPr>
      </w:pPr>
      <w:r w:rsidRPr="00BD5539">
        <w:rPr>
          <w:rFonts w:ascii="Times New Roman" w:hAnsi="Times New Roman"/>
          <w:b/>
          <w:bCs/>
          <w:sz w:val="20"/>
          <w:szCs w:val="20"/>
        </w:rPr>
        <w:t xml:space="preserve">Proposal </w:t>
      </w:r>
      <w:r w:rsidRPr="00BD5539">
        <w:rPr>
          <w:rFonts w:ascii="Times New Roman" w:hAnsi="Times New Roman" w:hint="eastAsia"/>
          <w:b/>
          <w:bCs/>
          <w:sz w:val="20"/>
          <w:szCs w:val="20"/>
        </w:rPr>
        <w:t>2</w:t>
      </w:r>
      <w:r>
        <w:rPr>
          <w:rFonts w:ascii="Times New Roman" w:hAnsi="Times New Roman" w:hint="eastAsia"/>
          <w:b/>
          <w:bCs/>
          <w:sz w:val="20"/>
          <w:szCs w:val="20"/>
        </w:rPr>
        <w:t xml:space="preserve">: Discuss the above </w:t>
      </w:r>
      <w:r w:rsidRPr="00BD5539">
        <w:rPr>
          <w:rFonts w:ascii="Times New Roman" w:hAnsi="Times New Roman"/>
          <w:b/>
          <w:bCs/>
          <w:sz w:val="20"/>
          <w:szCs w:val="20"/>
        </w:rPr>
        <w:t>test configuration</w:t>
      </w:r>
      <w:r>
        <w:rPr>
          <w:rFonts w:ascii="Times New Roman" w:hAnsi="Times New Roman" w:hint="eastAsia"/>
          <w:b/>
          <w:bCs/>
          <w:sz w:val="20"/>
          <w:szCs w:val="20"/>
        </w:rPr>
        <w:t xml:space="preserve"> first before the MSD value discussion.</w:t>
      </w:r>
    </w:p>
    <w:p w14:paraId="06EE2033"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855FF7E" w14:textId="34566E78" w:rsidR="002052F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E932BC">
        <w:rPr>
          <w:rFonts w:ascii="Times New Roman" w:hAnsi="Times New Roman" w:hint="eastAsia"/>
          <w:sz w:val="20"/>
          <w:szCs w:val="20"/>
        </w:rPr>
        <w:t>question have been</w:t>
      </w:r>
      <w:r>
        <w:rPr>
          <w:rFonts w:ascii="Times New Roman" w:hAnsi="Times New Roman" w:hint="eastAsia"/>
          <w:sz w:val="20"/>
          <w:szCs w:val="20"/>
        </w:rPr>
        <w:t xml:space="preserve"> discussed with following observations and proposals.</w:t>
      </w:r>
    </w:p>
    <w:p w14:paraId="4DB0F197" w14:textId="77777777" w:rsidR="00BD5539" w:rsidRPr="00BD5539" w:rsidRDefault="00BD5539" w:rsidP="00BD5539">
      <w:pPr>
        <w:spacing w:after="180"/>
        <w:rPr>
          <w:rFonts w:ascii="Times New Roman" w:hAnsi="Times New Roman"/>
          <w:b/>
          <w:bCs/>
          <w:sz w:val="20"/>
          <w:szCs w:val="20"/>
        </w:rPr>
      </w:pPr>
      <w:r w:rsidRPr="00BD5539">
        <w:rPr>
          <w:rFonts w:ascii="Times New Roman" w:hAnsi="Times New Roman"/>
          <w:b/>
          <w:bCs/>
          <w:sz w:val="20"/>
          <w:szCs w:val="20"/>
        </w:rPr>
        <w:t>Observation 1: The test case that 1 RB is specified for each carrier of the intra-band CA will not appear in realistic network resource allocations, because one single carrier could achieve the throughput.</w:t>
      </w:r>
    </w:p>
    <w:p w14:paraId="1843EFA4" w14:textId="2641381D" w:rsidR="002052F8" w:rsidRDefault="00BD5539" w:rsidP="00BD5539">
      <w:pPr>
        <w:spacing w:after="180"/>
        <w:rPr>
          <w:rFonts w:ascii="Times New Roman" w:hAnsi="Times New Roman"/>
          <w:b/>
          <w:bCs/>
          <w:sz w:val="20"/>
          <w:szCs w:val="20"/>
        </w:rPr>
      </w:pPr>
      <w:r w:rsidRPr="00BD5539">
        <w:rPr>
          <w:rFonts w:ascii="Times New Roman" w:hAnsi="Times New Roman"/>
          <w:b/>
          <w:bCs/>
          <w:sz w:val="20"/>
          <w:szCs w:val="20"/>
        </w:rPr>
        <w:t>Observation 2: The test case that 1 RB is specified for each carrier of the intra-band CA is an extreme scenario that doesn't occur in operators’ networks.</w:t>
      </w:r>
    </w:p>
    <w:p w14:paraId="728E8CC9" w14:textId="2F12849B" w:rsidR="00BD5539" w:rsidRDefault="00BD5539" w:rsidP="00BD5539">
      <w:pPr>
        <w:spacing w:after="180"/>
        <w:rPr>
          <w:rFonts w:ascii="Times New Roman" w:hAnsi="Times New Roman"/>
          <w:b/>
          <w:bCs/>
          <w:sz w:val="20"/>
          <w:szCs w:val="20"/>
        </w:rPr>
      </w:pPr>
      <w:r w:rsidRPr="00BD5539">
        <w:rPr>
          <w:rFonts w:ascii="Times New Roman" w:hAnsi="Times New Roman"/>
          <w:b/>
          <w:bCs/>
          <w:sz w:val="20"/>
          <w:szCs w:val="20"/>
        </w:rPr>
        <w:t>Proposal 1: Do not consider only the MSD requirements resulting from intra-band contiguous UL CA configured with 1RB+1RB allocations</w:t>
      </w:r>
      <w:r w:rsidR="00E932BC">
        <w:rPr>
          <w:rFonts w:ascii="Times New Roman" w:hAnsi="Times New Roman" w:hint="eastAsia"/>
          <w:b/>
          <w:bCs/>
          <w:sz w:val="20"/>
          <w:szCs w:val="20"/>
        </w:rPr>
        <w:t>,</w:t>
      </w:r>
      <w:r w:rsidRPr="00BD5539">
        <w:rPr>
          <w:rFonts w:ascii="Times New Roman" w:hAnsi="Times New Roman"/>
          <w:b/>
          <w:bCs/>
          <w:sz w:val="20"/>
          <w:szCs w:val="20"/>
        </w:rPr>
        <w:t xml:space="preserve"> and cross-band MSD requirements resulting from intra-band contiguous UL CA configured with fully allocated maximum aggregated BW should be introduced.</w:t>
      </w:r>
    </w:p>
    <w:p w14:paraId="1B00D6D7" w14:textId="71A88A67" w:rsidR="00BD5539" w:rsidRDefault="00BD5539" w:rsidP="00BD5539">
      <w:pPr>
        <w:spacing w:after="180"/>
        <w:rPr>
          <w:rFonts w:ascii="Times New Roman" w:hAnsi="Times New Roman"/>
          <w:b/>
          <w:bCs/>
          <w:sz w:val="20"/>
          <w:szCs w:val="20"/>
        </w:rPr>
      </w:pPr>
      <w:r w:rsidRPr="00BD5539">
        <w:rPr>
          <w:rFonts w:ascii="Times New Roman" w:hAnsi="Times New Roman"/>
          <w:b/>
          <w:bCs/>
          <w:sz w:val="20"/>
          <w:szCs w:val="20"/>
        </w:rPr>
        <w:t>Proposal 2: Discuss the above test configuration first before the MSD value discussion.</w:t>
      </w:r>
    </w:p>
    <w:p w14:paraId="67D9EE5A" w14:textId="77777777" w:rsidR="002052F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2E99E975" w14:textId="605E6DDB" w:rsidR="002052F8" w:rsidRDefault="00BD5539">
      <w:pPr>
        <w:numPr>
          <w:ilvl w:val="0"/>
          <w:numId w:val="7"/>
        </w:numPr>
        <w:tabs>
          <w:tab w:val="right" w:pos="10440"/>
          <w:tab w:val="right" w:pos="13323"/>
        </w:tabs>
        <w:jc w:val="left"/>
        <w:rPr>
          <w:rFonts w:ascii="Times New Roman" w:hAnsi="Times New Roman"/>
          <w:sz w:val="20"/>
          <w:szCs w:val="20"/>
        </w:rPr>
      </w:pPr>
      <w:r w:rsidRPr="00BD5539">
        <w:rPr>
          <w:rFonts w:ascii="Times New Roman" w:hAnsi="Times New Roman"/>
          <w:sz w:val="20"/>
          <w:szCs w:val="20"/>
        </w:rPr>
        <w:t>R4-2406676</w:t>
      </w:r>
      <w:r>
        <w:rPr>
          <w:rFonts w:ascii="Times New Roman" w:hAnsi="Times New Roman" w:hint="eastAsia"/>
          <w:sz w:val="20"/>
          <w:szCs w:val="20"/>
        </w:rPr>
        <w:t xml:space="preserve">, </w:t>
      </w:r>
      <w:r w:rsidRPr="00BD5539">
        <w:rPr>
          <w:rFonts w:ascii="Times New Roman" w:hAnsi="Times New Roman"/>
          <w:sz w:val="20"/>
          <w:szCs w:val="20"/>
        </w:rPr>
        <w:t>WF on MSD requirements with intra-band contiguous UL CA</w:t>
      </w:r>
      <w:r>
        <w:rPr>
          <w:rFonts w:ascii="Times New Roman" w:hAnsi="Times New Roman" w:hint="eastAsia"/>
          <w:sz w:val="20"/>
          <w:szCs w:val="20"/>
        </w:rPr>
        <w:t>, Apple</w:t>
      </w:r>
    </w:p>
    <w:p w14:paraId="619E0385" w14:textId="77777777" w:rsidR="002052F8" w:rsidRDefault="002052F8">
      <w:pPr>
        <w:tabs>
          <w:tab w:val="right" w:pos="10440"/>
          <w:tab w:val="right" w:pos="13323"/>
        </w:tabs>
        <w:jc w:val="left"/>
        <w:rPr>
          <w:rFonts w:ascii="Times New Roman" w:hAnsi="Times New Roman"/>
          <w:sz w:val="20"/>
          <w:szCs w:val="20"/>
        </w:rPr>
      </w:pPr>
    </w:p>
    <w:sectPr w:rsidR="002052F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5460B" w14:textId="77777777" w:rsidR="00552160" w:rsidRDefault="00552160">
      <w:r>
        <w:separator/>
      </w:r>
    </w:p>
  </w:endnote>
  <w:endnote w:type="continuationSeparator" w:id="0">
    <w:p w14:paraId="76C98B5B" w14:textId="77777777" w:rsidR="00552160" w:rsidRDefault="0055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1E7BC" w14:textId="77777777" w:rsidR="00552160" w:rsidRDefault="00552160">
      <w:r>
        <w:separator/>
      </w:r>
    </w:p>
  </w:footnote>
  <w:footnote w:type="continuationSeparator" w:id="0">
    <w:p w14:paraId="78CC4852" w14:textId="77777777" w:rsidR="00552160" w:rsidRDefault="0055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0748" w14:textId="77777777" w:rsidR="002052F8" w:rsidRDefault="002052F8">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229148556">
    <w:abstractNumId w:val="4"/>
  </w:num>
  <w:num w:numId="2" w16cid:durableId="463432622">
    <w:abstractNumId w:val="3"/>
  </w:num>
  <w:num w:numId="3" w16cid:durableId="885876920">
    <w:abstractNumId w:val="6"/>
  </w:num>
  <w:num w:numId="4" w16cid:durableId="1065493804">
    <w:abstractNumId w:val="2"/>
  </w:num>
  <w:num w:numId="5" w16cid:durableId="1316254560">
    <w:abstractNumId w:val="5"/>
  </w:num>
  <w:num w:numId="6" w16cid:durableId="1702975599">
    <w:abstractNumId w:val="0"/>
  </w:num>
  <w:num w:numId="7" w16cid:durableId="2050522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B2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1B77"/>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52F8"/>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160"/>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6AE5"/>
    <w:rsid w:val="005B7524"/>
    <w:rsid w:val="005B7DE2"/>
    <w:rsid w:val="005C0DC7"/>
    <w:rsid w:val="005C6829"/>
    <w:rsid w:val="005C6AE1"/>
    <w:rsid w:val="005C6E38"/>
    <w:rsid w:val="005C7684"/>
    <w:rsid w:val="005C7AF1"/>
    <w:rsid w:val="005D0B6E"/>
    <w:rsid w:val="005D0C74"/>
    <w:rsid w:val="005D1D6D"/>
    <w:rsid w:val="005D1F83"/>
    <w:rsid w:val="005D2156"/>
    <w:rsid w:val="005D21DD"/>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AE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459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6B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6DDF"/>
    <w:rsid w:val="00AE72DB"/>
    <w:rsid w:val="00AE730D"/>
    <w:rsid w:val="00AE7326"/>
    <w:rsid w:val="00AF050F"/>
    <w:rsid w:val="00AF08DE"/>
    <w:rsid w:val="00AF1FAA"/>
    <w:rsid w:val="00AF3637"/>
    <w:rsid w:val="00AF39E0"/>
    <w:rsid w:val="00AF4202"/>
    <w:rsid w:val="00AF471D"/>
    <w:rsid w:val="00AF499A"/>
    <w:rsid w:val="00AF6B74"/>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5539"/>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0B4C"/>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6A5"/>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7E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2F9"/>
    <w:rsid w:val="00E92937"/>
    <w:rsid w:val="00E931C3"/>
    <w:rsid w:val="00E932BC"/>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B6A60"/>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D328"/>
  <w15:docId w15:val="{891FDB86-0B8C-45E5-9274-2886D0CA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98485">
      <w:bodyDiv w:val="1"/>
      <w:marLeft w:val="0"/>
      <w:marRight w:val="0"/>
      <w:marTop w:val="0"/>
      <w:marBottom w:val="0"/>
      <w:divBdr>
        <w:top w:val="none" w:sz="0" w:space="0" w:color="auto"/>
        <w:left w:val="none" w:sz="0" w:space="0" w:color="auto"/>
        <w:bottom w:val="none" w:sz="0" w:space="0" w:color="auto"/>
        <w:right w:val="none" w:sz="0" w:space="0" w:color="auto"/>
      </w:divBdr>
    </w:div>
    <w:div w:id="486702744">
      <w:bodyDiv w:val="1"/>
      <w:marLeft w:val="0"/>
      <w:marRight w:val="0"/>
      <w:marTop w:val="0"/>
      <w:marBottom w:val="0"/>
      <w:divBdr>
        <w:top w:val="none" w:sz="0" w:space="0" w:color="auto"/>
        <w:left w:val="none" w:sz="0" w:space="0" w:color="auto"/>
        <w:bottom w:val="none" w:sz="0" w:space="0" w:color="auto"/>
        <w:right w:val="none" w:sz="0" w:space="0" w:color="auto"/>
      </w:divBdr>
    </w:div>
    <w:div w:id="154764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186</cp:revision>
  <dcterms:created xsi:type="dcterms:W3CDTF">2022-04-25T02:55:00Z</dcterms:created>
  <dcterms:modified xsi:type="dcterms:W3CDTF">2024-05-13T14:32:00Z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