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eastAsia="宋体" w:cs="Arial"/>
          <w:b/>
          <w:bCs/>
          <w:sz w:val="24"/>
          <w:szCs w:val="28"/>
          <w:lang w:eastAsia="zh-CN"/>
        </w:rPr>
      </w:pPr>
      <w:r>
        <w:rPr>
          <w:rFonts w:ascii="Arial" w:hAnsi="Arial" w:eastAsia="宋体" w:cs="Arial"/>
          <w:b/>
          <w:bCs/>
          <w:sz w:val="24"/>
          <w:szCs w:val="28"/>
        </w:rPr>
        <w:t xml:space="preserve">3GPP TSG-RAN WG4 Meeting # 111   </w:t>
      </w:r>
      <w:r>
        <w:rPr>
          <w:rFonts w:hint="eastAsia" w:ascii="Arial" w:hAnsi="Arial" w:eastAsia="宋体" w:cs="Arial"/>
          <w:b/>
          <w:bCs/>
          <w:sz w:val="24"/>
          <w:szCs w:val="28"/>
          <w:lang w:val="en-US" w:eastAsia="zh-CN"/>
        </w:rPr>
        <w:tab/>
      </w:r>
      <w:r>
        <w:rPr>
          <w:rFonts w:hint="eastAsia" w:ascii="Arial" w:hAnsi="Arial" w:eastAsia="宋体" w:cs="Arial"/>
          <w:b/>
          <w:bCs/>
          <w:sz w:val="24"/>
          <w:szCs w:val="28"/>
          <w:lang w:val="en-US" w:eastAsia="zh-CN"/>
        </w:rPr>
        <w:t xml:space="preserve">                </w:t>
      </w:r>
      <w:r>
        <w:rPr>
          <w:rFonts w:hint="eastAsia" w:ascii="Arial" w:hAnsi="Arial" w:eastAsia="宋体" w:cs="Arial"/>
          <w:b/>
          <w:bCs/>
          <w:sz w:val="24"/>
          <w:szCs w:val="28"/>
        </w:rPr>
        <w:t xml:space="preserve">             </w:t>
      </w:r>
      <w:r>
        <w:rPr>
          <w:rFonts w:ascii="Arial" w:hAnsi="Arial" w:eastAsia="宋体" w:cs="Arial"/>
          <w:b/>
          <w:bCs/>
          <w:sz w:val="24"/>
          <w:szCs w:val="28"/>
        </w:rPr>
        <w:t xml:space="preserve">  </w:t>
      </w:r>
      <w:r>
        <w:rPr>
          <w:rFonts w:hint="eastAsia" w:ascii="Arial" w:hAnsi="Arial" w:eastAsia="宋体" w:cs="Arial"/>
          <w:b/>
          <w:bCs/>
          <w:sz w:val="24"/>
          <w:szCs w:val="28"/>
        </w:rPr>
        <w:t>R4-240821</w:t>
      </w:r>
      <w:r>
        <w:rPr>
          <w:rFonts w:hint="eastAsia" w:ascii="Arial" w:hAnsi="Arial" w:eastAsia="宋体" w:cs="Arial"/>
          <w:b/>
          <w:bCs/>
          <w:sz w:val="24"/>
          <w:szCs w:val="28"/>
          <w:lang w:val="en-US" w:eastAsia="zh-CN"/>
        </w:rPr>
        <w:t>8</w:t>
      </w:r>
      <w:bookmarkStart w:id="0" w:name="_GoBack"/>
      <w:bookmarkEnd w:id="0"/>
    </w:p>
    <w:p>
      <w:pPr>
        <w:rPr>
          <w:rFonts w:ascii="Arial" w:hAnsi="Arial" w:eastAsia="宋体" w:cs="Arial"/>
          <w:b/>
          <w:bCs/>
          <w:sz w:val="24"/>
          <w:szCs w:val="28"/>
        </w:rPr>
      </w:pPr>
      <w:r>
        <w:rPr>
          <w:rFonts w:ascii="Arial" w:hAnsi="Arial" w:eastAsia="宋体" w:cs="Arial"/>
          <w:b/>
          <w:bCs/>
          <w:sz w:val="24"/>
          <w:szCs w:val="28"/>
        </w:rPr>
        <w:t>Fukuoka, Japan, 20 May – 24 May, 2024</w:t>
      </w:r>
    </w:p>
    <w:p>
      <w:pPr>
        <w:rPr>
          <w:rFonts w:ascii="Arial" w:hAnsi="Arial" w:cs="Arial"/>
          <w:b/>
          <w:bCs/>
          <w:sz w:val="24"/>
          <w:szCs w:val="28"/>
        </w:rPr>
      </w:pP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10.13.2.2</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co-existence evaluation</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hint="eastAsia" w:ascii="Times New Roman" w:hAnsi="Times New Roman"/>
          <w:sz w:val="20"/>
        </w:rPr>
        <w:t>In RAN plenary #102 meeting, a new SID[1] of A-IoT is approved with following RAN4 lead RF part objectives, and in last meeting, a WF is approved [2]:</w:t>
      </w:r>
    </w:p>
    <w:p>
      <w:pPr>
        <w:numPr>
          <w:ilvl w:val="0"/>
          <w:numId w:val="1"/>
        </w:numPr>
        <w:spacing w:after="180"/>
        <w:rPr>
          <w:rFonts w:ascii="Times New Roman" w:hAnsi="Times New Roman"/>
          <w:sz w:val="20"/>
        </w:rPr>
      </w:pPr>
      <w:r>
        <w:rPr>
          <w:rFonts w:hint="eastAsia" w:ascii="Times New Roman" w:hAnsi="Times New Roman"/>
          <w:sz w:val="20"/>
        </w:rPr>
        <w:t>Coexistence study of Ambient IoT and NR/LTE.</w:t>
      </w:r>
    </w:p>
    <w:p>
      <w:pPr>
        <w:numPr>
          <w:ilvl w:val="0"/>
          <w:numId w:val="1"/>
        </w:numPr>
        <w:spacing w:after="180"/>
        <w:rPr>
          <w:rFonts w:ascii="Times New Roman" w:hAnsi="Times New Roman"/>
          <w:sz w:val="20"/>
        </w:rPr>
      </w:pPr>
      <w:r>
        <w:rPr>
          <w:rFonts w:hint="eastAsia" w:ascii="Times New Roman" w:hAnsi="Times New Roman"/>
          <w:sz w:val="20"/>
        </w:rPr>
        <w:t>RF requirements study for Ambient IoT:</w:t>
      </w:r>
    </w:p>
    <w:p>
      <w:pPr>
        <w:numPr>
          <w:ilvl w:val="1"/>
          <w:numId w:val="1"/>
        </w:numPr>
        <w:spacing w:after="180"/>
        <w:rPr>
          <w:rFonts w:ascii="Times New Roman" w:hAnsi="Times New Roman"/>
          <w:sz w:val="20"/>
        </w:rPr>
      </w:pPr>
      <w:r>
        <w:rPr>
          <w:rFonts w:hint="eastAsia" w:ascii="Times New Roman" w:hAnsi="Times New Roman"/>
          <w:sz w:val="20"/>
        </w:rPr>
        <w:t>Ambient IoT BS transmission and reception</w:t>
      </w:r>
    </w:p>
    <w:p>
      <w:pPr>
        <w:numPr>
          <w:ilvl w:val="1"/>
          <w:numId w:val="1"/>
        </w:numPr>
        <w:spacing w:after="180"/>
        <w:rPr>
          <w:rFonts w:ascii="Times New Roman" w:hAnsi="Times New Roman"/>
          <w:sz w:val="20"/>
        </w:rPr>
      </w:pPr>
      <w:r>
        <w:rPr>
          <w:rFonts w:hint="eastAsia" w:ascii="Times New Roman" w:hAnsi="Times New Roman"/>
          <w:sz w:val="20"/>
        </w:rPr>
        <w:t>Ambient IoT Device, as per the General Scope, transmission and reception</w:t>
      </w:r>
    </w:p>
    <w:p>
      <w:pPr>
        <w:numPr>
          <w:ilvl w:val="1"/>
          <w:numId w:val="1"/>
        </w:numPr>
        <w:spacing w:after="180"/>
        <w:rPr>
          <w:rFonts w:ascii="Times New Roman" w:hAnsi="Times New Roman"/>
          <w:sz w:val="20"/>
        </w:rPr>
      </w:pPr>
      <w:r>
        <w:rPr>
          <w:rFonts w:hint="eastAsia" w:ascii="Times New Roman" w:hAnsi="Times New Roman"/>
          <w:sz w:val="20"/>
        </w:rPr>
        <w:t>Intermediate node (UE), as per the General Scope, transmission and reception</w:t>
      </w:r>
    </w:p>
    <w:p>
      <w:pPr>
        <w:spacing w:before="156" w:beforeLines="50"/>
        <w:rPr>
          <w:rFonts w:ascii="Times New Roman" w:hAnsi="Times New Roman"/>
          <w:bCs/>
          <w:sz w:val="20"/>
          <w:szCs w:val="20"/>
        </w:rPr>
      </w:pPr>
      <w:r>
        <w:rPr>
          <w:rFonts w:hint="eastAsia" w:ascii="Times New Roman" w:hAnsi="Times New Roman"/>
          <w:bCs/>
          <w:sz w:val="20"/>
          <w:szCs w:val="20"/>
        </w:rPr>
        <w:t>RAN4 totally has 4 meetings to finish all co-existence evaluation. According to the work plan, in this meeting we should complete simulation assumption and in next meeting finish calibration. In last meeting, RAN1 send the LS to RAN4 about simulation assumptions[3]. It</w:t>
      </w:r>
      <w:r>
        <w:rPr>
          <w:rFonts w:ascii="Times New Roman" w:hAnsi="Times New Roman"/>
          <w:bCs/>
          <w:sz w:val="20"/>
          <w:szCs w:val="20"/>
        </w:rPr>
        <w:t>’</w:t>
      </w:r>
      <w:r>
        <w:rPr>
          <w:rFonts w:hint="eastAsia" w:ascii="Times New Roman" w:hAnsi="Times New Roman"/>
          <w:bCs/>
          <w:sz w:val="20"/>
          <w:szCs w:val="20"/>
        </w:rPr>
        <w:t xml:space="preserve">s suggested to use the agreements as baseline. In this contribution, we list the candidate suggestions for simulation assumption and hope we can converge on all of them. </w:t>
      </w:r>
    </w:p>
    <w:p>
      <w:pPr>
        <w:keepNext/>
        <w:keepLines/>
        <w:widowControl/>
        <w:numPr>
          <w:ilvl w:val="0"/>
          <w:numId w:val="2"/>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pPr>
        <w:pStyle w:val="4"/>
        <w:spacing w:before="156" w:after="156"/>
      </w:pPr>
      <w:r>
        <w:rPr>
          <w:rFonts w:hint="eastAsia"/>
        </w:rPr>
        <w:t>2.1 Evaluation methodology</w:t>
      </w:r>
    </w:p>
    <w:p>
      <w:pPr>
        <w:spacing w:after="156" w:afterLines="50"/>
        <w:rPr>
          <w:rFonts w:ascii="Times New Roman" w:hAnsi="Times New Roman"/>
          <w:sz w:val="20"/>
          <w:szCs w:val="20"/>
        </w:rPr>
      </w:pPr>
      <w:r>
        <w:rPr>
          <w:rFonts w:hint="eastAsia" w:ascii="Times New Roman" w:hAnsi="Times New Roman"/>
          <w:sz w:val="20"/>
          <w:szCs w:val="20"/>
        </w:rPr>
        <w:t>FFS issues are listed in following table: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ascii="Times New Roman" w:hAnsi="Times New Roman" w:eastAsiaTheme="minorEastAsia"/>
                <w:b/>
                <w:bCs/>
                <w:sz w:val="20"/>
                <w:szCs w:val="20"/>
                <w:u w:val="single"/>
                <w:lang w:val="en-GB" w:eastAsia="en-GB"/>
              </w:rPr>
            </w:pPr>
            <w:r>
              <w:rPr>
                <w:rFonts w:ascii="Times New Roman" w:hAnsi="Times New Roman" w:eastAsiaTheme="minorEastAsia"/>
                <w:b/>
                <w:bCs/>
                <w:sz w:val="20"/>
                <w:szCs w:val="20"/>
                <w:u w:val="single"/>
                <w:lang w:val="en-GB" w:eastAsia="en-GB"/>
              </w:rPr>
              <w:t>Issue 2-4-1: Evaluation methodology</w:t>
            </w:r>
          </w:p>
          <w:p>
            <w:pPr>
              <w:spacing w:before="120" w:line="280" w:lineRule="atLeast"/>
              <w:rPr>
                <w:rFonts w:ascii="Times New Roman" w:hAnsi="Times New Roman"/>
                <w:b/>
                <w:bCs/>
                <w:sz w:val="20"/>
                <w:szCs w:val="20"/>
                <w:lang w:val="en-GB" w:eastAsia="en-GB"/>
              </w:rPr>
            </w:pPr>
            <w:r>
              <w:rPr>
                <w:rFonts w:ascii="Times New Roman" w:hAnsi="Times New Roman"/>
                <w:b/>
                <w:bCs/>
                <w:sz w:val="20"/>
                <w:szCs w:val="20"/>
                <w:lang w:val="en-GB" w:eastAsia="en-GB"/>
              </w:rPr>
              <w:t xml:space="preserve">Agreement: </w:t>
            </w:r>
          </w:p>
          <w:p>
            <w:pPr>
              <w:pStyle w:val="26"/>
              <w:numPr>
                <w:ilvl w:val="0"/>
                <w:numId w:val="3"/>
              </w:numPr>
              <w:spacing w:before="120" w:line="280" w:lineRule="atLeast"/>
              <w:ind w:firstLineChars="0"/>
              <w:rPr>
                <w:rFonts w:ascii="Times New Roman" w:hAnsi="Times New Roman"/>
                <w:sz w:val="20"/>
                <w:szCs w:val="20"/>
                <w:lang w:val="en-GB" w:eastAsia="en-GB"/>
              </w:rPr>
            </w:pPr>
            <w:r>
              <w:rPr>
                <w:rFonts w:ascii="Times New Roman" w:hAnsi="Times New Roman"/>
                <w:sz w:val="20"/>
                <w:szCs w:val="20"/>
                <w:lang w:val="en-GB" w:eastAsia="en-GB"/>
              </w:rPr>
              <w:t>Use the Monte-Carlo method as baseline for co-existence evaluation, i.e. Section 5.3 in TR38.803</w:t>
            </w:r>
          </w:p>
          <w:p>
            <w:pPr>
              <w:pStyle w:val="26"/>
              <w:numPr>
                <w:ilvl w:val="0"/>
                <w:numId w:val="3"/>
              </w:numPr>
              <w:spacing w:before="120" w:line="280" w:lineRule="atLeast"/>
              <w:ind w:firstLineChars="0"/>
              <w:rPr>
                <w:rFonts w:ascii="Times New Roman" w:hAnsi="Times New Roman"/>
                <w:sz w:val="20"/>
                <w:szCs w:val="20"/>
                <w:lang w:val="en-GB" w:eastAsia="en-GB"/>
              </w:rPr>
            </w:pPr>
            <w:r>
              <w:rPr>
                <w:rFonts w:ascii="Times New Roman" w:hAnsi="Times New Roman"/>
                <w:sz w:val="20"/>
                <w:szCs w:val="20"/>
                <w:lang w:val="en-GB" w:eastAsia="en-GB"/>
              </w:rPr>
              <w:t>Depending on the discussion on deployment scenarios, for some cases, calculation for the worst interference link may be enough.</w:t>
            </w:r>
          </w:p>
          <w:p>
            <w:pPr>
              <w:pStyle w:val="26"/>
              <w:numPr>
                <w:ilvl w:val="0"/>
                <w:numId w:val="3"/>
              </w:numPr>
              <w:spacing w:before="120" w:line="280" w:lineRule="atLeast"/>
              <w:ind w:firstLineChars="0"/>
              <w:rPr>
                <w:rFonts w:ascii="Times New Roman" w:hAnsi="Times New Roman"/>
                <w:sz w:val="20"/>
                <w:szCs w:val="20"/>
                <w:lang w:val="en-GB" w:eastAsia="en-GB"/>
              </w:rPr>
            </w:pPr>
            <w:r>
              <w:rPr>
                <w:rFonts w:ascii="Times New Roman" w:hAnsi="Times New Roman" w:eastAsiaTheme="minorEastAsia"/>
                <w:sz w:val="20"/>
                <w:szCs w:val="20"/>
                <w:lang w:val="en-GB" w:eastAsia="en-GB"/>
              </w:rPr>
              <w:t xml:space="preserve">FFS on whether </w:t>
            </w:r>
            <w:r>
              <w:rPr>
                <w:rFonts w:ascii="Times New Roman" w:hAnsi="Times New Roman"/>
                <w:sz w:val="20"/>
                <w:szCs w:val="20"/>
                <w:lang w:val="en-GB" w:eastAsia="en-GB"/>
              </w:rPr>
              <w:t>RAN4 needs to perform link level simulation</w:t>
            </w:r>
          </w:p>
          <w:p>
            <w:pPr>
              <w:spacing w:before="120" w:line="280" w:lineRule="atLeast"/>
              <w:rPr>
                <w:rFonts w:ascii="Times New Roman" w:hAnsi="Times New Roman"/>
                <w:sz w:val="20"/>
                <w:szCs w:val="20"/>
                <w:lang w:val="en-GB" w:eastAsia="en-GB"/>
              </w:rPr>
            </w:pPr>
          </w:p>
        </w:tc>
      </w:tr>
    </w:tbl>
    <w:p>
      <w:pPr>
        <w:spacing w:after="156" w:afterLines="50"/>
        <w:rPr>
          <w:rFonts w:ascii="Times New Roman" w:hAnsi="Times New Roman"/>
          <w:sz w:val="20"/>
          <w:szCs w:val="20"/>
        </w:rPr>
      </w:pPr>
      <w:r>
        <w:rPr>
          <w:rFonts w:hint="eastAsia" w:ascii="Times New Roman" w:hAnsi="Times New Roman"/>
          <w:sz w:val="20"/>
          <w:szCs w:val="20"/>
        </w:rPr>
        <w:t>In last meeting, some companies propose that for some cases, calculation instead of simulation is enough to reduce workload, e.g. for the interference from existing gNB to A-IoT reader. Usually 900MHz gNB can</w:t>
      </w:r>
      <w:r>
        <w:rPr>
          <w:rFonts w:ascii="Times New Roman" w:hAnsi="Times New Roman"/>
          <w:sz w:val="20"/>
          <w:szCs w:val="20"/>
        </w:rPr>
        <w:t>’</w:t>
      </w:r>
      <w:r>
        <w:rPr>
          <w:rFonts w:hint="eastAsia" w:ascii="Times New Roman" w:hAnsi="Times New Roman"/>
          <w:sz w:val="20"/>
          <w:szCs w:val="20"/>
        </w:rPr>
        <w:t>t support large scale MIMO due to limited antenna space. But even with smaller antenna elements, gNB must support beam-forming with rough beamwidth. So actual interference is variable from existing gNB to reader due to this non omni-directional antenna pattern. Compared with calculation, simulation will show the possibility of interference including the worst and best interference. In additional to, such interference will not significantly increase workload. It</w:t>
      </w:r>
      <w:r>
        <w:rPr>
          <w:rFonts w:ascii="Times New Roman" w:hAnsi="Times New Roman"/>
          <w:sz w:val="20"/>
          <w:szCs w:val="20"/>
        </w:rPr>
        <w:t>’</w:t>
      </w:r>
      <w:r>
        <w:rPr>
          <w:rFonts w:hint="eastAsia" w:ascii="Times New Roman" w:hAnsi="Times New Roman"/>
          <w:sz w:val="20"/>
          <w:szCs w:val="20"/>
        </w:rPr>
        <w:t>s suggested to use monte-carlo method to simulate all co-existence cases.</w:t>
      </w:r>
    </w:p>
    <w:p>
      <w:pPr>
        <w:spacing w:after="156" w:afterLines="50"/>
        <w:rPr>
          <w:rFonts w:ascii="Times New Roman" w:hAnsi="Times New Roman"/>
          <w:sz w:val="20"/>
          <w:szCs w:val="20"/>
        </w:rPr>
      </w:pPr>
      <w:r>
        <w:rPr>
          <w:rFonts w:hint="eastAsia" w:ascii="Times New Roman" w:hAnsi="Times New Roman"/>
          <w:b/>
          <w:bCs/>
          <w:sz w:val="20"/>
          <w:szCs w:val="20"/>
        </w:rPr>
        <w:t>Proposal 1: it</w:t>
      </w:r>
      <w:r>
        <w:rPr>
          <w:rFonts w:ascii="Times New Roman" w:hAnsi="Times New Roman"/>
          <w:b/>
          <w:bCs/>
          <w:sz w:val="20"/>
          <w:szCs w:val="20"/>
        </w:rPr>
        <w:t>’</w:t>
      </w:r>
      <w:r>
        <w:rPr>
          <w:rFonts w:hint="eastAsia" w:ascii="Times New Roman" w:hAnsi="Times New Roman"/>
          <w:b/>
          <w:bCs/>
          <w:sz w:val="20"/>
          <w:szCs w:val="20"/>
        </w:rPr>
        <w:t>s suggested to use monte-carlo simulation method rather than calculation for all co-existence evaluation.</w:t>
      </w:r>
      <w:r>
        <w:rPr>
          <w:rFonts w:hint="eastAsia" w:ascii="Times New Roman" w:hAnsi="Times New Roman"/>
          <w:sz w:val="20"/>
          <w:szCs w:val="20"/>
        </w:rPr>
        <w:t xml:space="preserve"> </w:t>
      </w:r>
    </w:p>
    <w:p>
      <w:pPr>
        <w:spacing w:after="180"/>
        <w:jc w:val="left"/>
        <w:rPr>
          <w:rFonts w:ascii="Times New Roman" w:hAnsi="Times New Roman"/>
          <w:sz w:val="20"/>
          <w:szCs w:val="20"/>
        </w:rPr>
      </w:pPr>
      <w:r>
        <w:rPr>
          <w:rFonts w:hint="eastAsia" w:ascii="Times New Roman" w:hAnsi="Times New Roman"/>
          <w:sz w:val="20"/>
          <w:szCs w:val="20"/>
        </w:rPr>
        <w:t>In co-existence simulation, the unwanted emission level of CW rather than CW signal itself will determine final interference results. In last meeting, RAN1 approved that CW using single tone or multiple tone waveform is high priority and OFDM based CW waveform is low priority. For single tone or multiple single tone, they are individual pulse in frequency domain. Even with certain frequency error/ RF impairment, CW signal</w:t>
      </w:r>
      <w:r>
        <w:rPr>
          <w:rFonts w:ascii="Times New Roman" w:hAnsi="Times New Roman"/>
          <w:sz w:val="20"/>
          <w:szCs w:val="20"/>
        </w:rPr>
        <w:t>’</w:t>
      </w:r>
      <w:r>
        <w:rPr>
          <w:rFonts w:hint="eastAsia" w:ascii="Times New Roman" w:hAnsi="Times New Roman"/>
          <w:sz w:val="20"/>
          <w:szCs w:val="20"/>
        </w:rPr>
        <w:t>s unwanted emission outside the transmission bandwidth e.g. 180KHz would be much perfect. Therefore, it seems there is no need to consider CW interference in simulation.</w:t>
      </w:r>
    </w:p>
    <w:p>
      <w:pPr>
        <w:spacing w:after="180"/>
        <w:jc w:val="left"/>
        <w:rPr>
          <w:rFonts w:ascii="Times New Roman" w:hAnsi="Times New Roman"/>
          <w:b/>
          <w:bCs/>
          <w:sz w:val="20"/>
          <w:szCs w:val="20"/>
        </w:rPr>
      </w:pPr>
      <w:r>
        <w:rPr>
          <w:rFonts w:hint="eastAsia" w:ascii="Times New Roman" w:hAnsi="Times New Roman"/>
          <w:b/>
          <w:bCs/>
          <w:sz w:val="20"/>
          <w:szCs w:val="20"/>
        </w:rPr>
        <w:t>Proposal 2: during co-existence simulation, there is no need to consider CW unwanted interference due to its almost perfect unwanted emission performance outside the transmission bandwidth, i.e. don</w:t>
      </w:r>
      <w:r>
        <w:rPr>
          <w:rFonts w:ascii="Times New Roman" w:hAnsi="Times New Roman"/>
          <w:b/>
          <w:bCs/>
          <w:sz w:val="20"/>
          <w:szCs w:val="20"/>
        </w:rPr>
        <w:t>’</w:t>
      </w:r>
      <w:r>
        <w:rPr>
          <w:rFonts w:hint="eastAsia" w:ascii="Times New Roman" w:hAnsi="Times New Roman"/>
          <w:b/>
          <w:bCs/>
          <w:sz w:val="20"/>
          <w:szCs w:val="20"/>
        </w:rPr>
        <w:t>t need to consider the interference when CW as aggressor.</w:t>
      </w:r>
    </w:p>
    <w:p>
      <w:pPr>
        <w:spacing w:after="156" w:afterLines="50"/>
        <w:rPr>
          <w:rFonts w:ascii="Times New Roman" w:hAnsi="Times New Roman"/>
          <w:sz w:val="20"/>
          <w:szCs w:val="20"/>
        </w:rPr>
      </w:pPr>
      <w:r>
        <w:rPr>
          <w:rFonts w:hint="eastAsia" w:ascii="Times New Roman" w:hAnsi="Times New Roman"/>
          <w:sz w:val="20"/>
          <w:szCs w:val="20"/>
        </w:rPr>
        <w:t>In last meeting, it</w:t>
      </w:r>
      <w:r>
        <w:rPr>
          <w:rFonts w:ascii="Times New Roman" w:hAnsi="Times New Roman"/>
          <w:sz w:val="20"/>
          <w:szCs w:val="20"/>
        </w:rPr>
        <w:t>’</w:t>
      </w:r>
      <w:r>
        <w:rPr>
          <w:rFonts w:hint="eastAsia" w:ascii="Times New Roman" w:hAnsi="Times New Roman"/>
          <w:sz w:val="20"/>
          <w:szCs w:val="20"/>
        </w:rPr>
        <w:t>s approved that RAN4 will prioritize device 1 and 2a, both of which will only support RF-ED architecture according to previous RAN1 agreements. There is no agreement of detailed RF-ED algorithm, but anyway the basic logic is that RF-ED will extract signal envelop including both the wanted signal and interference signal and transform them into low frequency. The BB LPF can</w:t>
      </w:r>
      <w:r>
        <w:rPr>
          <w:rFonts w:ascii="Times New Roman" w:hAnsi="Times New Roman"/>
          <w:sz w:val="20"/>
          <w:szCs w:val="20"/>
        </w:rPr>
        <w:t>’</w:t>
      </w:r>
      <w:r>
        <w:rPr>
          <w:rFonts w:hint="eastAsia" w:ascii="Times New Roman" w:hAnsi="Times New Roman"/>
          <w:sz w:val="20"/>
          <w:szCs w:val="20"/>
        </w:rPr>
        <w:t>t work to filter the in-band interference. From this point of view, it can be regarded there is no in-band selectivity for RF-ED receiver. Consider in-band spectrum deployment mode is prioritized for co-existence evaluation in RAN4, so when device as victim it can</w:t>
      </w:r>
      <w:r>
        <w:rPr>
          <w:rFonts w:ascii="Times New Roman" w:hAnsi="Times New Roman"/>
          <w:sz w:val="20"/>
          <w:szCs w:val="20"/>
        </w:rPr>
        <w:t>’</w:t>
      </w:r>
      <w:r>
        <w:rPr>
          <w:rFonts w:hint="eastAsia" w:ascii="Times New Roman" w:hAnsi="Times New Roman"/>
          <w:sz w:val="20"/>
          <w:szCs w:val="20"/>
        </w:rPr>
        <w:t xml:space="preserve">t select any interference and we can assume its ICS performance as almost 0dB. </w:t>
      </w:r>
    </w:p>
    <w:p>
      <w:pPr>
        <w:spacing w:after="156" w:afterLines="50"/>
        <w:rPr>
          <w:rFonts w:ascii="Times New Roman" w:hAnsi="Times New Roman"/>
          <w:b/>
          <w:bCs/>
          <w:sz w:val="20"/>
          <w:szCs w:val="20"/>
        </w:rPr>
      </w:pPr>
      <w:r>
        <w:rPr>
          <w:rFonts w:hint="eastAsia" w:ascii="Times New Roman" w:hAnsi="Times New Roman"/>
          <w:b/>
          <w:bCs/>
          <w:sz w:val="20"/>
          <w:szCs w:val="20"/>
        </w:rPr>
        <w:t>Observation 1: RF-ED based device can</w:t>
      </w:r>
      <w:r>
        <w:rPr>
          <w:rFonts w:ascii="Times New Roman" w:hAnsi="Times New Roman"/>
          <w:b/>
          <w:bCs/>
          <w:sz w:val="20"/>
          <w:szCs w:val="20"/>
        </w:rPr>
        <w:t>’</w:t>
      </w:r>
      <w:r>
        <w:rPr>
          <w:rFonts w:hint="eastAsia" w:ascii="Times New Roman" w:hAnsi="Times New Roman"/>
          <w:b/>
          <w:bCs/>
          <w:sz w:val="20"/>
          <w:szCs w:val="20"/>
        </w:rPr>
        <w:t>t have any in-band selectivity.</w:t>
      </w:r>
    </w:p>
    <w:p>
      <w:pPr>
        <w:spacing w:after="156" w:afterLines="50"/>
        <w:rPr>
          <w:rFonts w:ascii="Times New Roman" w:hAnsi="Times New Roman"/>
          <w:sz w:val="20"/>
          <w:szCs w:val="20"/>
        </w:rPr>
      </w:pPr>
      <w:r>
        <w:rPr>
          <w:rFonts w:hint="eastAsia" w:ascii="Times New Roman" w:hAnsi="Times New Roman"/>
          <w:sz w:val="20"/>
          <w:szCs w:val="20"/>
        </w:rPr>
        <w:t>The only way to reduce such interference is by increasing reader power and reducing the power difference between R2D signal and interference signal. Therefore, there is no need to use monte-carlo simulation method to evaluate the interference when device as victim. Instead, we can use LLS to simulate under which power difference between reader and interference signal, the device could successfully receive R2D signal. It</w:t>
      </w:r>
      <w:r>
        <w:rPr>
          <w:rFonts w:ascii="Times New Roman" w:hAnsi="Times New Roman"/>
          <w:sz w:val="20"/>
          <w:szCs w:val="20"/>
        </w:rPr>
        <w:t>’</w:t>
      </w:r>
      <w:r>
        <w:rPr>
          <w:rFonts w:hint="eastAsia" w:ascii="Times New Roman" w:hAnsi="Times New Roman"/>
          <w:sz w:val="20"/>
          <w:szCs w:val="20"/>
        </w:rPr>
        <w:t xml:space="preserve">s noted that anyway we need such LLS if we want to evaluate the required power boosting level. </w:t>
      </w:r>
    </w:p>
    <w:p>
      <w:pPr>
        <w:spacing w:after="156" w:afterLines="50"/>
        <w:rPr>
          <w:rFonts w:ascii="Times New Roman" w:hAnsi="Times New Roman"/>
          <w:b/>
          <w:bCs/>
          <w:sz w:val="20"/>
          <w:szCs w:val="20"/>
        </w:rPr>
      </w:pPr>
      <w:r>
        <w:rPr>
          <w:rFonts w:hint="eastAsia" w:ascii="Times New Roman" w:hAnsi="Times New Roman"/>
          <w:b/>
          <w:bCs/>
          <w:sz w:val="20"/>
          <w:szCs w:val="20"/>
        </w:rPr>
        <w:t xml:space="preserve">Proposal 3: there is no need to use monte-carlo simulation method to evaluate the interference when device as victim. Instead we can use LLS to simulate under which power difference between reader and interference signal, the device could successfully receive R2D signal. </w:t>
      </w:r>
    </w:p>
    <w:p>
      <w:pPr>
        <w:pStyle w:val="4"/>
        <w:spacing w:before="156" w:after="156"/>
      </w:pPr>
      <w:r>
        <w:rPr>
          <w:rFonts w:hint="eastAsia"/>
        </w:rPr>
        <w:t>2.2 Key evaluation parameters</w:t>
      </w:r>
    </w:p>
    <w:p>
      <w:pPr>
        <w:spacing w:after="156" w:afterLines="50"/>
        <w:rPr>
          <w:rFonts w:ascii="Times New Roman" w:hAnsi="Times New Roman"/>
          <w:sz w:val="20"/>
          <w:szCs w:val="20"/>
        </w:rPr>
      </w:pPr>
      <w:r>
        <w:rPr>
          <w:rFonts w:hint="eastAsia" w:ascii="Times New Roman" w:hAnsi="Times New Roman"/>
          <w:sz w:val="20"/>
          <w:szCs w:val="20"/>
        </w:rPr>
        <w:t>RAN1 has sent the LS to RAN4 about evaluate parameters, it</w:t>
      </w:r>
      <w:r>
        <w:rPr>
          <w:rFonts w:ascii="Times New Roman" w:hAnsi="Times New Roman"/>
          <w:sz w:val="20"/>
          <w:szCs w:val="20"/>
        </w:rPr>
        <w:t>’</w:t>
      </w:r>
      <w:r>
        <w:rPr>
          <w:rFonts w:hint="eastAsia" w:ascii="Times New Roman" w:hAnsi="Times New Roman"/>
          <w:sz w:val="20"/>
          <w:szCs w:val="20"/>
        </w:rPr>
        <w:t>s suggested to use RAN1 agreement as baseline and further discuss the remaining FFS parameters in this meeting.</w:t>
      </w:r>
    </w:p>
    <w:p>
      <w:pPr>
        <w:spacing w:after="156" w:afterLines="50"/>
        <w:rPr>
          <w:rFonts w:ascii="Times New Roman" w:hAnsi="Times New Roman"/>
          <w:b/>
          <w:bCs/>
          <w:sz w:val="20"/>
          <w:szCs w:val="20"/>
        </w:rPr>
      </w:pPr>
      <w:r>
        <w:rPr>
          <w:rFonts w:hint="eastAsia" w:ascii="Times New Roman" w:hAnsi="Times New Roman"/>
          <w:b/>
          <w:bCs/>
          <w:sz w:val="20"/>
          <w:szCs w:val="20"/>
        </w:rPr>
        <w:t>Proposal 4: it</w:t>
      </w:r>
      <w:r>
        <w:rPr>
          <w:rFonts w:ascii="Times New Roman" w:hAnsi="Times New Roman"/>
          <w:b/>
          <w:bCs/>
          <w:sz w:val="20"/>
          <w:szCs w:val="20"/>
        </w:rPr>
        <w:t>’</w:t>
      </w:r>
      <w:r>
        <w:rPr>
          <w:rFonts w:hint="eastAsia" w:ascii="Times New Roman" w:hAnsi="Times New Roman"/>
          <w:b/>
          <w:bCs/>
          <w:sz w:val="20"/>
          <w:szCs w:val="20"/>
        </w:rPr>
        <w:t>s suggested to use RAN1 agreement as baseline and further discuss the remaining FFS parameters in this meeting.</w:t>
      </w:r>
    </w:p>
    <w:p>
      <w:pPr>
        <w:pStyle w:val="5"/>
      </w:pPr>
      <w:r>
        <w:rPr>
          <w:rFonts w:hint="eastAsia"/>
        </w:rPr>
        <w:t xml:space="preserve">2.2.1 </w:t>
      </w:r>
      <w:r>
        <w:t>Performance metric</w:t>
      </w:r>
    </w:p>
    <w:p>
      <w:pPr>
        <w:spacing w:after="156" w:afterLines="50"/>
        <w:rPr>
          <w:rFonts w:ascii="Times New Roman" w:hAnsi="Times New Roman"/>
          <w:sz w:val="20"/>
          <w:szCs w:val="20"/>
        </w:rPr>
      </w:pPr>
      <w:r>
        <w:rPr>
          <w:rFonts w:hint="eastAsia" w:ascii="Times New Roman" w:hAnsi="Times New Roman"/>
          <w:sz w:val="20"/>
          <w:szCs w:val="20"/>
        </w:rPr>
        <w:t>Last meeting agreement is listed as below for information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ascii="Times New Roman" w:hAnsi="Times New Roman" w:eastAsiaTheme="minorEastAsia"/>
                <w:b/>
                <w:bCs/>
                <w:sz w:val="20"/>
                <w:szCs w:val="20"/>
                <w:u w:val="single"/>
                <w:lang w:val="en-GB" w:eastAsia="en-GB"/>
              </w:rPr>
            </w:pPr>
            <w:r>
              <w:rPr>
                <w:rFonts w:ascii="Times New Roman" w:hAnsi="Times New Roman" w:eastAsiaTheme="minorEastAsia"/>
                <w:b/>
                <w:bCs/>
                <w:sz w:val="20"/>
                <w:szCs w:val="20"/>
                <w:u w:val="single"/>
                <w:lang w:val="en-GB" w:eastAsia="en-GB"/>
              </w:rPr>
              <w:t>Issue 2-4-2: Performance metric for AIOT</w:t>
            </w:r>
          </w:p>
          <w:p>
            <w:pPr>
              <w:spacing w:before="120" w:line="280" w:lineRule="atLeast"/>
              <w:rPr>
                <w:rFonts w:ascii="Times New Roman" w:hAnsi="Times New Roman"/>
                <w:b/>
                <w:bCs/>
                <w:sz w:val="20"/>
                <w:szCs w:val="20"/>
                <w:lang w:val="en-GB" w:eastAsia="en-GB"/>
              </w:rPr>
            </w:pPr>
            <w:r>
              <w:rPr>
                <w:rFonts w:ascii="Times New Roman" w:hAnsi="Times New Roman"/>
                <w:b/>
                <w:bCs/>
                <w:sz w:val="20"/>
                <w:szCs w:val="20"/>
                <w:lang w:val="en-GB" w:eastAsia="en-GB"/>
              </w:rPr>
              <w:t>Agreement:</w:t>
            </w:r>
          </w:p>
          <w:p>
            <w:pPr>
              <w:pStyle w:val="26"/>
              <w:numPr>
                <w:ilvl w:val="0"/>
                <w:numId w:val="4"/>
              </w:numPr>
              <w:spacing w:before="120" w:line="280" w:lineRule="atLeast"/>
              <w:ind w:firstLineChars="0"/>
              <w:rPr>
                <w:rFonts w:ascii="Times New Roman" w:hAnsi="Times New Roman"/>
                <w:sz w:val="20"/>
                <w:szCs w:val="20"/>
                <w:lang w:val="en-GB" w:eastAsia="en-GB"/>
              </w:rPr>
            </w:pPr>
            <w:r>
              <w:rPr>
                <w:rFonts w:ascii="Times New Roman" w:hAnsi="Times New Roman"/>
                <w:sz w:val="20"/>
                <w:szCs w:val="20"/>
                <w:lang w:val="en-GB" w:eastAsia="en-GB"/>
              </w:rPr>
              <w:t>For NR system, use 5% throughput loss as performance metric as legacy.</w:t>
            </w:r>
          </w:p>
          <w:p>
            <w:pPr>
              <w:pStyle w:val="26"/>
              <w:numPr>
                <w:ilvl w:val="0"/>
                <w:numId w:val="4"/>
              </w:numPr>
              <w:spacing w:before="120" w:line="280" w:lineRule="atLeast"/>
              <w:ind w:firstLineChars="0"/>
              <w:rPr>
                <w:rFonts w:ascii="Times New Roman" w:hAnsi="Times New Roman"/>
                <w:sz w:val="20"/>
                <w:szCs w:val="20"/>
                <w:lang w:val="en-GB" w:eastAsia="en-GB"/>
              </w:rPr>
            </w:pPr>
            <w:r>
              <w:rPr>
                <w:rFonts w:ascii="Times New Roman" w:hAnsi="Times New Roman"/>
                <w:sz w:val="20"/>
                <w:szCs w:val="20"/>
                <w:lang w:val="en-GB" w:eastAsia="en-GB"/>
              </w:rPr>
              <w:t>For AIOT system, including reader, device, intermediate UE, further discuss the performance metric:</w:t>
            </w:r>
          </w:p>
          <w:p>
            <w:pPr>
              <w:pStyle w:val="26"/>
              <w:numPr>
                <w:ilvl w:val="1"/>
                <w:numId w:val="5"/>
              </w:numPr>
              <w:spacing w:before="120" w:line="280" w:lineRule="atLeast"/>
              <w:ind w:firstLineChars="0"/>
              <w:rPr>
                <w:rFonts w:ascii="Times New Roman" w:hAnsi="Times New Roman" w:eastAsiaTheme="minorEastAsia"/>
                <w:sz w:val="20"/>
                <w:szCs w:val="20"/>
                <w:lang w:val="en-GB" w:eastAsia="en-GB"/>
              </w:rPr>
            </w:pPr>
            <w:r>
              <w:rPr>
                <w:rFonts w:ascii="Times New Roman" w:hAnsi="Times New Roman" w:eastAsiaTheme="minorEastAsia"/>
                <w:sz w:val="20"/>
                <w:szCs w:val="20"/>
                <w:lang w:val="en-GB" w:eastAsia="en-GB"/>
              </w:rPr>
              <w:t xml:space="preserve">Option 1: [10%] BLER, [Rx power] </w:t>
            </w:r>
          </w:p>
          <w:p>
            <w:pPr>
              <w:pStyle w:val="26"/>
              <w:numPr>
                <w:ilvl w:val="1"/>
                <w:numId w:val="5"/>
              </w:numPr>
              <w:spacing w:before="120" w:line="280" w:lineRule="atLeast"/>
              <w:ind w:firstLineChars="0"/>
              <w:rPr>
                <w:rFonts w:ascii="Times New Roman" w:hAnsi="Times New Roman" w:eastAsiaTheme="minorEastAsia"/>
                <w:sz w:val="20"/>
                <w:szCs w:val="20"/>
                <w:lang w:val="en-GB" w:eastAsia="en-GB"/>
              </w:rPr>
            </w:pPr>
            <w:r>
              <w:rPr>
                <w:rFonts w:ascii="Times New Roman" w:hAnsi="Times New Roman" w:eastAsiaTheme="minorEastAsia"/>
                <w:sz w:val="20"/>
                <w:szCs w:val="20"/>
                <w:lang w:val="en-GB" w:eastAsia="en-GB"/>
              </w:rPr>
              <w:t>Option 2: SINR degradation</w:t>
            </w:r>
          </w:p>
          <w:p>
            <w:pPr>
              <w:pStyle w:val="26"/>
              <w:numPr>
                <w:ilvl w:val="1"/>
                <w:numId w:val="5"/>
              </w:numPr>
              <w:spacing w:before="120" w:line="280" w:lineRule="atLeast"/>
              <w:ind w:firstLineChars="0"/>
              <w:rPr>
                <w:rFonts w:ascii="Times New Roman" w:hAnsi="Times New Roman"/>
                <w:sz w:val="20"/>
                <w:szCs w:val="20"/>
                <w:lang w:val="en-GB" w:eastAsia="en-GB"/>
              </w:rPr>
            </w:pPr>
            <w:r>
              <w:rPr>
                <w:rFonts w:ascii="Times New Roman" w:hAnsi="Times New Roman" w:eastAsiaTheme="minorEastAsia"/>
                <w:sz w:val="20"/>
                <w:szCs w:val="20"/>
                <w:lang w:val="en-GB" w:eastAsia="en-GB"/>
              </w:rPr>
              <w:t>Other options are precluded</w:t>
            </w:r>
          </w:p>
        </w:tc>
      </w:tr>
    </w:tbl>
    <w:p>
      <w:pPr>
        <w:spacing w:after="156" w:afterLines="50"/>
        <w:rPr>
          <w:rFonts w:ascii="Times New Roman" w:hAnsi="Times New Roman"/>
          <w:sz w:val="20"/>
          <w:szCs w:val="20"/>
        </w:rPr>
      </w:pPr>
      <w:r>
        <w:rPr>
          <w:rFonts w:hint="eastAsia" w:ascii="Times New Roman" w:hAnsi="Times New Roman"/>
          <w:sz w:val="20"/>
          <w:szCs w:val="20"/>
        </w:rPr>
        <w:t>In legacy co-existence study, 5% throughput loss is assumed for final performance metric. But for A-IoT, throughput loss performance metric is not applicable anymore. For the performance metric, we have following two alternatives:</w:t>
      </w:r>
    </w:p>
    <w:p>
      <w:pPr>
        <w:numPr>
          <w:ilvl w:val="0"/>
          <w:numId w:val="6"/>
        </w:numPr>
        <w:spacing w:after="156" w:afterLines="50"/>
        <w:rPr>
          <w:rFonts w:ascii="Times New Roman" w:hAnsi="Times New Roman"/>
          <w:sz w:val="20"/>
          <w:szCs w:val="20"/>
        </w:rPr>
      </w:pPr>
      <w:r>
        <w:rPr>
          <w:rFonts w:hint="eastAsia" w:ascii="Times New Roman" w:hAnsi="Times New Roman"/>
          <w:sz w:val="20"/>
          <w:szCs w:val="20"/>
        </w:rPr>
        <w:t>SNR degradation</w:t>
      </w:r>
    </w:p>
    <w:p>
      <w:pPr>
        <w:numPr>
          <w:ilvl w:val="0"/>
          <w:numId w:val="6"/>
        </w:numPr>
        <w:spacing w:after="156" w:afterLines="50"/>
        <w:rPr>
          <w:rFonts w:ascii="Times New Roman" w:hAnsi="Times New Roman"/>
          <w:sz w:val="20"/>
          <w:szCs w:val="20"/>
        </w:rPr>
      </w:pPr>
      <w:r>
        <w:rPr>
          <w:rFonts w:hint="eastAsia" w:ascii="Times New Roman" w:hAnsi="Times New Roman"/>
          <w:sz w:val="20"/>
          <w:szCs w:val="20"/>
        </w:rPr>
        <w:t>BLER</w:t>
      </w:r>
    </w:p>
    <w:p>
      <w:pPr>
        <w:spacing w:after="180"/>
        <w:rPr>
          <w:rFonts w:ascii="Times New Roman" w:hAnsi="Times New Roman"/>
          <w:sz w:val="20"/>
          <w:szCs w:val="20"/>
        </w:rPr>
      </w:pPr>
      <w:r>
        <w:rPr>
          <w:rFonts w:hint="eastAsia" w:ascii="Times New Roman" w:hAnsi="Times New Roman"/>
          <w:sz w:val="20"/>
          <w:szCs w:val="20"/>
        </w:rPr>
        <w:t>If we still reuse legacy system level evaluation methodology, we can only derive baseline SNR value without interference and SNR degradation on top of no interference case. But there is no specific interference criteria to evaluate how much SINR degradation is allowed or not especially for this new A-IoT signal. In previous NB-IoT co-existence evaluation, 1dB SINR degradation is used as interference criteria. To be honest, there is no detailed analysis of the relationship between throughput loss/BLER and 1dB SNR degradation. Instead, 1dB SNR degradation is the experience value and is based on all companies</w:t>
      </w:r>
      <w:r>
        <w:rPr>
          <w:rFonts w:ascii="Times New Roman" w:hAnsi="Times New Roman"/>
          <w:sz w:val="20"/>
          <w:szCs w:val="20"/>
        </w:rPr>
        <w:t>’</w:t>
      </w:r>
      <w:r>
        <w:rPr>
          <w:rFonts w:hint="eastAsia" w:ascii="Times New Roman" w:hAnsi="Times New Roman"/>
          <w:sz w:val="20"/>
          <w:szCs w:val="20"/>
        </w:rPr>
        <w:t xml:space="preserve"> compromise. So, it</w:t>
      </w:r>
      <w:r>
        <w:rPr>
          <w:rFonts w:ascii="Times New Roman" w:hAnsi="Times New Roman"/>
          <w:sz w:val="20"/>
          <w:szCs w:val="20"/>
        </w:rPr>
        <w:t>’</w:t>
      </w:r>
      <w:r>
        <w:rPr>
          <w:rFonts w:hint="eastAsia" w:ascii="Times New Roman" w:hAnsi="Times New Roman"/>
          <w:sz w:val="20"/>
          <w:szCs w:val="20"/>
        </w:rPr>
        <w:t>s not reasonable to reuse this 1dB SNR degradation performance metric especially without detailed analysis.</w:t>
      </w:r>
    </w:p>
    <w:p>
      <w:pPr>
        <w:spacing w:after="180"/>
        <w:rPr>
          <w:rFonts w:ascii="Times New Roman" w:hAnsi="Times New Roman"/>
          <w:b/>
          <w:bCs/>
          <w:sz w:val="20"/>
          <w:szCs w:val="20"/>
        </w:rPr>
      </w:pPr>
      <w:r>
        <w:rPr>
          <w:rFonts w:hint="eastAsia" w:ascii="Times New Roman" w:hAnsi="Times New Roman"/>
          <w:b/>
          <w:bCs/>
          <w:sz w:val="20"/>
          <w:szCs w:val="20"/>
        </w:rPr>
        <w:t>Observation 2: 1dB SNR degradation is just the experiential performance metric for OFDM signal and whether feasible for A-IoT signal needs further check.</w:t>
      </w:r>
    </w:p>
    <w:p>
      <w:pPr>
        <w:spacing w:after="156" w:afterLines="50"/>
        <w:rPr>
          <w:rFonts w:ascii="Times New Roman" w:hAnsi="Times New Roman"/>
          <w:sz w:val="20"/>
          <w:szCs w:val="20"/>
        </w:rPr>
      </w:pPr>
      <w:r>
        <w:rPr>
          <w:rFonts w:hint="eastAsia" w:ascii="Times New Roman" w:hAnsi="Times New Roman"/>
          <w:sz w:val="20"/>
          <w:szCs w:val="20"/>
        </w:rPr>
        <w:t>Compared with SNR degradation, BLER seems more intuitive for final evaluation. At this study stage, it</w:t>
      </w:r>
      <w:r>
        <w:rPr>
          <w:rFonts w:ascii="Times New Roman" w:hAnsi="Times New Roman"/>
          <w:sz w:val="20"/>
          <w:szCs w:val="20"/>
        </w:rPr>
        <w:t>’</w:t>
      </w:r>
      <w:r>
        <w:rPr>
          <w:rFonts w:hint="eastAsia" w:ascii="Times New Roman" w:hAnsi="Times New Roman"/>
          <w:sz w:val="20"/>
          <w:szCs w:val="20"/>
        </w:rPr>
        <w:t>s hard to have one uniformed relationship between SNR and BLER and it may also be time consuming if waiting for RAN1</w:t>
      </w:r>
      <w:r>
        <w:rPr>
          <w:rFonts w:ascii="Times New Roman" w:hAnsi="Times New Roman"/>
          <w:sz w:val="20"/>
          <w:szCs w:val="20"/>
        </w:rPr>
        <w:t>’</w:t>
      </w:r>
      <w:r>
        <w:rPr>
          <w:rFonts w:hint="eastAsia" w:ascii="Times New Roman" w:hAnsi="Times New Roman"/>
          <w:sz w:val="20"/>
          <w:szCs w:val="20"/>
        </w:rPr>
        <w:t>s input. One choice is that in the evaluation, the relationship between SNR and BLER is based on companies</w:t>
      </w:r>
      <w:r>
        <w:rPr>
          <w:rFonts w:ascii="Times New Roman" w:hAnsi="Times New Roman"/>
          <w:sz w:val="20"/>
          <w:szCs w:val="20"/>
        </w:rPr>
        <w:t>’</w:t>
      </w:r>
      <w:r>
        <w:rPr>
          <w:rFonts w:hint="eastAsia" w:ascii="Times New Roman" w:hAnsi="Times New Roman"/>
          <w:sz w:val="20"/>
          <w:szCs w:val="20"/>
        </w:rPr>
        <w:t xml:space="preserve"> input with assumed LLS evaluation parameters to help conclude final co-existence conclusion.</w:t>
      </w:r>
    </w:p>
    <w:p>
      <w:pPr>
        <w:spacing w:after="156" w:afterLines="50"/>
        <w:rPr>
          <w:rFonts w:ascii="Times New Roman" w:hAnsi="Times New Roman"/>
          <w:b/>
          <w:bCs/>
          <w:sz w:val="20"/>
          <w:szCs w:val="20"/>
        </w:rPr>
      </w:pPr>
      <w:r>
        <w:rPr>
          <w:rFonts w:hint="eastAsia" w:ascii="Times New Roman" w:hAnsi="Times New Roman"/>
          <w:b/>
          <w:bCs/>
          <w:sz w:val="20"/>
          <w:szCs w:val="20"/>
        </w:rPr>
        <w:t>Proposal 5: it</w:t>
      </w:r>
      <w:r>
        <w:rPr>
          <w:rFonts w:ascii="Times New Roman" w:hAnsi="Times New Roman"/>
          <w:b/>
          <w:bCs/>
          <w:sz w:val="20"/>
          <w:szCs w:val="20"/>
        </w:rPr>
        <w:t>’</w:t>
      </w:r>
      <w:r>
        <w:rPr>
          <w:rFonts w:hint="eastAsia" w:ascii="Times New Roman" w:hAnsi="Times New Roman"/>
          <w:b/>
          <w:bCs/>
          <w:sz w:val="20"/>
          <w:szCs w:val="20"/>
        </w:rPr>
        <w:t>s suggested to</w:t>
      </w:r>
      <w:r>
        <w:rPr>
          <w:rFonts w:hint="eastAsia" w:ascii="Times New Roman" w:hAnsi="Times New Roman"/>
          <w:b/>
          <w:bCs/>
          <w:sz w:val="20"/>
          <w:szCs w:val="20"/>
          <w:highlight w:val="none"/>
        </w:rPr>
        <w:t xml:space="preserve"> use 10% BLER as perf</w:t>
      </w:r>
      <w:r>
        <w:rPr>
          <w:rFonts w:hint="eastAsia" w:ascii="Times New Roman" w:hAnsi="Times New Roman"/>
          <w:b/>
          <w:bCs/>
          <w:sz w:val="20"/>
          <w:szCs w:val="20"/>
        </w:rPr>
        <w:t>ormance metric for all kinds of devices, reader of topology 1 and 2. Relationship between SINR and BLER are based on companies</w:t>
      </w:r>
      <w:r>
        <w:rPr>
          <w:rFonts w:ascii="Times New Roman" w:hAnsi="Times New Roman"/>
          <w:b/>
          <w:bCs/>
          <w:sz w:val="20"/>
          <w:szCs w:val="20"/>
        </w:rPr>
        <w:t>’</w:t>
      </w:r>
      <w:r>
        <w:rPr>
          <w:rFonts w:hint="eastAsia" w:ascii="Times New Roman" w:hAnsi="Times New Roman"/>
          <w:b/>
          <w:bCs/>
          <w:sz w:val="20"/>
          <w:szCs w:val="20"/>
        </w:rPr>
        <w:t xml:space="preserve"> input.</w:t>
      </w:r>
    </w:p>
    <w:p>
      <w:pPr>
        <w:spacing w:after="156" w:afterLines="50"/>
        <w:rPr>
          <w:rFonts w:ascii="Times New Roman" w:hAnsi="Times New Roman"/>
          <w:b/>
          <w:bCs/>
          <w:sz w:val="20"/>
          <w:szCs w:val="20"/>
        </w:rPr>
      </w:pPr>
      <w:r>
        <w:rPr>
          <w:rFonts w:hint="eastAsia" w:ascii="Times New Roman" w:hAnsi="Times New Roman"/>
          <w:sz w:val="20"/>
          <w:szCs w:val="20"/>
        </w:rPr>
        <w:t>Considering final relationship between SINR and BLER will impact final co-existence results. Different simulation parameters will contribute to different results. in RAN1 last meeting, they have approved several sets of parameters. To reduce workload, RAN1 will not simulate all sets of parameters, so it</w:t>
      </w:r>
      <w:r>
        <w:rPr>
          <w:rFonts w:ascii="Times New Roman" w:hAnsi="Times New Roman"/>
          <w:sz w:val="20"/>
          <w:szCs w:val="20"/>
        </w:rPr>
        <w:t>’</w:t>
      </w:r>
      <w:r>
        <w:rPr>
          <w:rFonts w:hint="eastAsia" w:ascii="Times New Roman" w:hAnsi="Times New Roman"/>
          <w:sz w:val="20"/>
          <w:szCs w:val="20"/>
        </w:rPr>
        <w:t xml:space="preserve">s better to align simulation parameters in RAN4. and show some priority to reduce the workload of LLS. </w:t>
      </w:r>
      <w:r>
        <w:rPr>
          <w:rFonts w:hint="eastAsia" w:ascii="Times New Roman" w:hAnsi="Times New Roman"/>
          <w:b/>
          <w:bCs/>
          <w:sz w:val="20"/>
          <w:szCs w:val="20"/>
        </w:rPr>
        <w:t xml:space="preserve"> </w:t>
      </w:r>
    </w:p>
    <w:p>
      <w:pPr>
        <w:spacing w:after="156" w:afterLines="50"/>
        <w:rPr>
          <w:rFonts w:ascii="Times New Roman" w:hAnsi="Times New Roman"/>
          <w:b/>
          <w:bCs/>
          <w:sz w:val="20"/>
          <w:szCs w:val="20"/>
        </w:rPr>
      </w:pPr>
      <w:r>
        <w:rPr>
          <w:rFonts w:hint="eastAsia" w:ascii="Times New Roman" w:hAnsi="Times New Roman"/>
          <w:b/>
          <w:bCs/>
          <w:sz w:val="20"/>
          <w:szCs w:val="20"/>
        </w:rPr>
        <w:t>Proposal 6: it</w:t>
      </w:r>
      <w:r>
        <w:rPr>
          <w:rFonts w:ascii="Times New Roman" w:hAnsi="Times New Roman"/>
          <w:b/>
          <w:bCs/>
          <w:sz w:val="20"/>
          <w:szCs w:val="20"/>
        </w:rPr>
        <w:t>’</w:t>
      </w:r>
      <w:r>
        <w:rPr>
          <w:rFonts w:hint="eastAsia" w:ascii="Times New Roman" w:hAnsi="Times New Roman"/>
          <w:b/>
          <w:bCs/>
          <w:sz w:val="20"/>
          <w:szCs w:val="20"/>
        </w:rPr>
        <w:t>s suggested to align LLS simulation parameters in RAN4 and show the high priority sets of parameters to reduce the workload of LLS and try best to converge final relationship between SNR and BLER.</w:t>
      </w:r>
    </w:p>
    <w:p>
      <w:pPr>
        <w:spacing w:after="156" w:afterLines="50"/>
        <w:rPr>
          <w:rFonts w:ascii="Times New Roman" w:hAnsi="Times New Roman"/>
          <w:sz w:val="20"/>
          <w:szCs w:val="20"/>
        </w:rPr>
      </w:pPr>
      <w:r>
        <w:rPr>
          <w:rFonts w:hint="eastAsia" w:ascii="Times New Roman" w:hAnsi="Times New Roman"/>
          <w:sz w:val="20"/>
          <w:szCs w:val="20"/>
        </w:rPr>
        <w:t xml:space="preserve">Regarding for the SINR related definition when device as receiver, RAN1 define two sets of terminology, the CNR and SNR. SNR assume the wanted signal transmission bandwidth is the same as noise/interference signal bandwidth. But for A-IoT, due to there is envelop detector, the bandwidth of interference would be larger than transmission bandwidth. CNR is the SINR * A-IoT transmission bandwidth/ED bandwidth. In RAN4 if we use the SNR-BLER relationship, we should align whether we use SNR or CNR. </w:t>
      </w:r>
    </w:p>
    <w:p>
      <w:pPr>
        <w:spacing w:after="156" w:afterLines="50"/>
        <w:rPr>
          <w:rFonts w:ascii="Times New Roman" w:hAnsi="Times New Roman"/>
          <w:b/>
          <w:bCs/>
          <w:sz w:val="20"/>
          <w:szCs w:val="20"/>
        </w:rPr>
      </w:pPr>
      <w:r>
        <w:rPr>
          <w:rFonts w:hint="eastAsia" w:ascii="Times New Roman" w:hAnsi="Times New Roman"/>
          <w:b/>
          <w:bCs/>
          <w:sz w:val="20"/>
          <w:szCs w:val="20"/>
        </w:rPr>
        <w:t xml:space="preserve">Proposal 7: we should align the definition of SNR from co-existence simulation output and the definition of SNR from SNR-BLER relationship, i.e. align the definition of the bandwidth of wanted bandwidth and the bandwidth of noise+interference bandwidth when calculate SINR. </w:t>
      </w:r>
    </w:p>
    <w:p>
      <w:pPr>
        <w:spacing w:after="156" w:afterLines="50"/>
        <w:rPr>
          <w:rFonts w:ascii="Times New Roman" w:hAnsi="Times New Roman"/>
          <w:sz w:val="20"/>
          <w:szCs w:val="20"/>
        </w:rPr>
      </w:pPr>
      <w:r>
        <w:rPr>
          <w:rFonts w:hint="eastAsia" w:ascii="Times New Roman" w:hAnsi="Times New Roman"/>
          <w:sz w:val="20"/>
          <w:szCs w:val="20"/>
        </w:rPr>
        <w:t>Besides, the sensitivity of devices should also be taken into consideration. Only the devices that meet sensitivity threshold should be included into final BLER statistics.</w:t>
      </w:r>
    </w:p>
    <w:p>
      <w:pPr>
        <w:spacing w:after="156" w:afterLines="50"/>
        <w:rPr>
          <w:rFonts w:ascii="Times New Roman" w:hAnsi="Times New Roman"/>
          <w:sz w:val="20"/>
          <w:szCs w:val="20"/>
        </w:rPr>
      </w:pPr>
      <w:r>
        <w:rPr>
          <w:rFonts w:hint="eastAsia" w:ascii="Times New Roman" w:hAnsi="Times New Roman"/>
          <w:b/>
          <w:bCs/>
          <w:sz w:val="20"/>
          <w:szCs w:val="20"/>
        </w:rPr>
        <w:t>Proposal 8: sensitivity of device should be taken into consideration and only the devices that meet sensitivity threshold should be included into final BLER statistics.</w:t>
      </w:r>
    </w:p>
    <w:p>
      <w:pPr>
        <w:spacing w:after="156" w:afterLines="50"/>
        <w:rPr>
          <w:rFonts w:ascii="Times New Roman" w:hAnsi="Times New Roman"/>
          <w:sz w:val="20"/>
          <w:szCs w:val="20"/>
        </w:rPr>
      </w:pPr>
      <w:r>
        <w:rPr>
          <w:rFonts w:hint="eastAsia" w:ascii="Times New Roman" w:hAnsi="Times New Roman"/>
          <w:sz w:val="20"/>
          <w:szCs w:val="20"/>
        </w:rPr>
        <w:t>In legacy co-existence evaluation, we use cell edge 5% and average throughput loss to evaluate interference. If 1% BLER is used as performance metric, we should also consider the assumed outage to evaluate how many victim would meet this 1% BLER requirements. Some example outage probability is listed as below 5%, 10%.</w:t>
      </w:r>
    </w:p>
    <w:p>
      <w:pPr>
        <w:spacing w:after="156" w:afterLines="50"/>
        <w:rPr>
          <w:rFonts w:ascii="Times New Roman" w:hAnsi="Times New Roman"/>
          <w:b/>
          <w:bCs/>
          <w:sz w:val="20"/>
          <w:szCs w:val="20"/>
        </w:rPr>
      </w:pPr>
      <w:r>
        <w:rPr>
          <w:rFonts w:hint="eastAsia" w:ascii="Times New Roman" w:hAnsi="Times New Roman"/>
          <w:b/>
          <w:bCs/>
          <w:sz w:val="20"/>
          <w:szCs w:val="20"/>
        </w:rPr>
        <w:t>Proposal 9: RAN4 need to discuss the outage probability if 1% BLER is used as performance metric. 5% worst victim is suggested as the candidate value.</w:t>
      </w:r>
    </w:p>
    <w:p>
      <w:pPr>
        <w:spacing w:after="156" w:afterLines="50"/>
        <w:rPr>
          <w:rFonts w:ascii="Times New Roman" w:hAnsi="Times New Roman"/>
          <w:sz w:val="20"/>
          <w:szCs w:val="20"/>
        </w:rPr>
      </w:pPr>
      <w:r>
        <w:rPr>
          <w:rFonts w:hint="eastAsia" w:ascii="Times New Roman" w:hAnsi="Times New Roman"/>
          <w:sz w:val="20"/>
          <w:szCs w:val="20"/>
        </w:rPr>
        <w:t>For legacy gNB or UE, it</w:t>
      </w:r>
      <w:r>
        <w:rPr>
          <w:rFonts w:ascii="Times New Roman" w:hAnsi="Times New Roman"/>
          <w:sz w:val="20"/>
          <w:szCs w:val="20"/>
        </w:rPr>
        <w:t>’</w:t>
      </w:r>
      <w:r>
        <w:rPr>
          <w:rFonts w:hint="eastAsia" w:ascii="Times New Roman" w:hAnsi="Times New Roman"/>
          <w:sz w:val="20"/>
          <w:szCs w:val="20"/>
        </w:rPr>
        <w:t>s suggested to still use 5% throughput loss as performance metric.</w:t>
      </w:r>
    </w:p>
    <w:p>
      <w:pPr>
        <w:spacing w:after="156" w:afterLines="50"/>
        <w:rPr>
          <w:rFonts w:ascii="Times New Roman" w:hAnsi="Times New Roman"/>
          <w:b/>
          <w:bCs/>
          <w:sz w:val="20"/>
          <w:szCs w:val="20"/>
        </w:rPr>
      </w:pPr>
      <w:r>
        <w:rPr>
          <w:rFonts w:hint="eastAsia" w:ascii="Times New Roman" w:hAnsi="Times New Roman"/>
          <w:b/>
          <w:bCs/>
          <w:sz w:val="20"/>
          <w:szCs w:val="20"/>
        </w:rPr>
        <w:t>Proposal 10: for legacy gNB and UE, 5% throughput loss is suggested as performance metric.</w:t>
      </w:r>
    </w:p>
    <w:p>
      <w:pPr>
        <w:pStyle w:val="5"/>
      </w:pPr>
      <w:r>
        <w:rPr>
          <w:rFonts w:hint="eastAsia"/>
        </w:rPr>
        <w:t>2.2.2 Adjacent RB Tx leakage and Rx selectivity characteristics</w:t>
      </w:r>
    </w:p>
    <w:p>
      <w:pPr>
        <w:spacing w:after="156" w:afterLines="50"/>
        <w:rPr>
          <w:rFonts w:ascii="Times New Roman" w:hAnsi="Times New Roman"/>
          <w:sz w:val="20"/>
          <w:szCs w:val="20"/>
        </w:rPr>
      </w:pPr>
      <w:r>
        <w:rPr>
          <w:rFonts w:hint="eastAsia" w:ascii="Times New Roman" w:hAnsi="Times New Roman"/>
          <w:sz w:val="20"/>
          <w:szCs w:val="20"/>
        </w:rPr>
        <w:t>Following table list our suggestion for adjacent RB/carrier Tx leakage and Rx suppression characteristics.</w:t>
      </w:r>
    </w:p>
    <w:tbl>
      <w:tblPr>
        <w:tblStyle w:val="1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9"/>
        <w:gridCol w:w="2007"/>
        <w:gridCol w:w="2850"/>
        <w:gridCol w:w="2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restart"/>
            <w:shd w:val="clear" w:color="auto" w:fill="D7D7D7" w:themeFill="background1" w:themeFillShade="D8"/>
          </w:tcPr>
          <w:p>
            <w:pPr>
              <w:spacing w:before="120" w:after="156" w:afterLines="50" w:line="280" w:lineRule="atLeast"/>
              <w:rPr>
                <w:rFonts w:ascii="Times New Roman" w:hAnsi="Times New Roman"/>
                <w:sz w:val="20"/>
                <w:szCs w:val="20"/>
                <w:lang w:val="en-GB" w:eastAsia="en-GB"/>
              </w:rPr>
            </w:pP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p>
        </w:tc>
        <w:tc>
          <w:tcPr>
            <w:tcW w:w="2536" w:type="pct"/>
            <w:gridSpan w:val="2"/>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In-band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continue"/>
            <w:shd w:val="clear" w:color="auto" w:fill="D7D7D7" w:themeFill="background1" w:themeFillShade="D8"/>
          </w:tcPr>
          <w:p>
            <w:pPr>
              <w:spacing w:before="120" w:after="156" w:afterLines="50" w:line="280" w:lineRule="atLeast"/>
              <w:rPr>
                <w:rFonts w:ascii="Times New Roman" w:hAnsi="Times New Roman"/>
                <w:sz w:val="20"/>
                <w:szCs w:val="20"/>
                <w:lang w:val="en-GB" w:eastAsia="en-GB"/>
              </w:rPr>
            </w:pP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p>
        </w:tc>
        <w:tc>
          <w:tcPr>
            <w:tcW w:w="1430"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Tx</w:t>
            </w:r>
          </w:p>
        </w:tc>
        <w:tc>
          <w:tcPr>
            <w:tcW w:w="1106"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restar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Existing UE/Intermediate UE</w:t>
            </w: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For formal simulation</w:t>
            </w:r>
          </w:p>
        </w:tc>
        <w:tc>
          <w:tcPr>
            <w:tcW w:w="1430"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Legacy UE IBE requirement</w:t>
            </w:r>
          </w:p>
        </w:tc>
        <w:tc>
          <w:tcPr>
            <w:tcW w:w="1106"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ICS=ACS value</w:t>
            </w:r>
          </w:p>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According to SBFD analysis, ICS could be equals to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continue"/>
            <w:shd w:val="clear" w:color="auto" w:fill="D7D7D7" w:themeFill="background1" w:themeFillShade="D8"/>
          </w:tcPr>
          <w:p>
            <w:pPr>
              <w:spacing w:before="120" w:after="156" w:afterLines="50" w:line="280" w:lineRule="atLeast"/>
              <w:rPr>
                <w:rFonts w:ascii="Times New Roman" w:hAnsi="Times New Roman"/>
                <w:sz w:val="20"/>
                <w:szCs w:val="20"/>
                <w:lang w:val="en-GB" w:eastAsia="en-GB"/>
              </w:rPr>
            </w:pP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For calibration purpose</w:t>
            </w:r>
          </w:p>
        </w:tc>
        <w:tc>
          <w:tcPr>
            <w:tcW w:w="1430"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Legacy UE IBE</w:t>
            </w:r>
          </w:p>
        </w:tc>
        <w:tc>
          <w:tcPr>
            <w:tcW w:w="1106"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restar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Existing gNB/reader of topology 1</w:t>
            </w: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For formal simulation</w:t>
            </w:r>
          </w:p>
        </w:tc>
        <w:tc>
          <w:tcPr>
            <w:tcW w:w="1430"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Based on companies</w:t>
            </w:r>
            <w:r>
              <w:rPr>
                <w:rFonts w:ascii="Times New Roman" w:hAnsi="Times New Roman"/>
                <w:sz w:val="20"/>
                <w:szCs w:val="20"/>
                <w:lang w:val="en-GB" w:eastAsia="en-GB"/>
              </w:rPr>
              <w:t>’</w:t>
            </w:r>
            <w:r>
              <w:rPr>
                <w:rFonts w:hint="eastAsia" w:ascii="Times New Roman" w:hAnsi="Times New Roman"/>
                <w:sz w:val="20"/>
                <w:szCs w:val="20"/>
                <w:lang w:val="en-GB" w:eastAsia="en-GB"/>
              </w:rPr>
              <w:t xml:space="preserve"> input since there is no such requirements in 38.104</w:t>
            </w:r>
          </w:p>
        </w:tc>
        <w:tc>
          <w:tcPr>
            <w:tcW w:w="1106"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Based on companies</w:t>
            </w:r>
            <w:r>
              <w:rPr>
                <w:rFonts w:ascii="Times New Roman" w:hAnsi="Times New Roman"/>
                <w:sz w:val="20"/>
                <w:szCs w:val="20"/>
                <w:lang w:val="en-GB" w:eastAsia="en-GB"/>
              </w:rPr>
              <w:t>’</w:t>
            </w:r>
            <w:r>
              <w:rPr>
                <w:rFonts w:hint="eastAsia" w:ascii="Times New Roman" w:hAnsi="Times New Roman"/>
                <w:sz w:val="20"/>
                <w:szCs w:val="20"/>
                <w:lang w:val="en-GB" w:eastAsia="en-GB"/>
              </w:rPr>
              <w:t xml:space="preserve"> input in dB scale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continue"/>
            <w:shd w:val="clear" w:color="auto" w:fill="D7D7D7" w:themeFill="background1" w:themeFillShade="D8"/>
          </w:tcPr>
          <w:p>
            <w:pPr>
              <w:spacing w:before="120" w:after="156" w:afterLines="50" w:line="280" w:lineRule="atLeast"/>
              <w:rPr>
                <w:rFonts w:ascii="Times New Roman" w:hAnsi="Times New Roman"/>
                <w:sz w:val="20"/>
                <w:szCs w:val="20"/>
                <w:lang w:val="en-GB" w:eastAsia="en-GB"/>
              </w:rPr>
            </w:pP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For calibration purpose</w:t>
            </w:r>
          </w:p>
        </w:tc>
        <w:tc>
          <w:tcPr>
            <w:tcW w:w="1430" w:type="pct"/>
            <w:vAlign w:val="center"/>
          </w:tcPr>
          <w:p>
            <w:pPr>
              <w:spacing w:before="120" w:after="156" w:afterLines="50" w:line="280" w:lineRule="atLeast"/>
              <w:jc w:val="center"/>
              <w:rPr>
                <w:rFonts w:hint="eastAsia" w:ascii="Times New Roman" w:hAnsi="Times New Roman"/>
                <w:sz w:val="20"/>
                <w:szCs w:val="20"/>
                <w:lang w:val="en-GB" w:eastAsia="en-GB"/>
              </w:rPr>
            </w:pPr>
            <w:r>
              <w:rPr>
                <w:rFonts w:hint="eastAsia" w:ascii="Times New Roman" w:hAnsi="Times New Roman"/>
                <w:sz w:val="20"/>
                <w:szCs w:val="20"/>
                <w:lang w:val="en-GB" w:eastAsia="en-GB"/>
              </w:rPr>
              <w:t>ACLR of legacy gNB</w:t>
            </w:r>
          </w:p>
        </w:tc>
        <w:tc>
          <w:tcPr>
            <w:tcW w:w="1106"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ACS of legacy gNB</w:t>
            </w:r>
          </w:p>
        </w:tc>
      </w:tr>
    </w:tbl>
    <w:p>
      <w:pPr>
        <w:spacing w:after="156" w:afterLines="50"/>
        <w:rPr>
          <w:rFonts w:ascii="Times New Roman" w:hAnsi="Times New Roman"/>
          <w:b/>
          <w:bCs/>
          <w:sz w:val="20"/>
          <w:szCs w:val="20"/>
        </w:rPr>
      </w:pPr>
    </w:p>
    <w:p>
      <w:pPr>
        <w:spacing w:after="156" w:afterLines="50"/>
        <w:rPr>
          <w:rFonts w:ascii="Times New Roman" w:hAnsi="Times New Roman"/>
          <w:b/>
          <w:bCs/>
          <w:sz w:val="20"/>
          <w:szCs w:val="20"/>
        </w:rPr>
      </w:pPr>
      <w:r>
        <w:rPr>
          <w:rFonts w:hint="eastAsia" w:ascii="Times New Roman" w:hAnsi="Times New Roman"/>
          <w:b/>
          <w:bCs/>
          <w:sz w:val="20"/>
          <w:szCs w:val="20"/>
        </w:rPr>
        <w:t>Proposal 11: for existing UE/intermediate UE/ existing gNB/ reader of topology 1, the suggested value for adjacent RB Tx leakage and Rx selectivity is listed in above table. It</w:t>
      </w:r>
      <w:r>
        <w:rPr>
          <w:rFonts w:ascii="Times New Roman" w:hAnsi="Times New Roman"/>
          <w:b/>
          <w:bCs/>
          <w:sz w:val="20"/>
          <w:szCs w:val="20"/>
        </w:rPr>
        <w:t>’</w:t>
      </w:r>
      <w:r>
        <w:rPr>
          <w:rFonts w:hint="eastAsia" w:ascii="Times New Roman" w:hAnsi="Times New Roman"/>
          <w:b/>
          <w:bCs/>
          <w:sz w:val="20"/>
          <w:szCs w:val="20"/>
        </w:rPr>
        <w:t>s noted, to facilitate calibration above table also list the value for calibration purpose if there is no agreements in this meeting.</w:t>
      </w:r>
    </w:p>
    <w:p>
      <w:pPr>
        <w:spacing w:after="156" w:afterLines="50"/>
        <w:rPr>
          <w:rFonts w:ascii="Times New Roman" w:hAnsi="Times New Roman"/>
          <w:sz w:val="20"/>
          <w:szCs w:val="20"/>
        </w:rPr>
      </w:pPr>
      <w:r>
        <w:rPr>
          <w:rFonts w:hint="eastAsia" w:ascii="Times New Roman" w:hAnsi="Times New Roman"/>
          <w:sz w:val="20"/>
          <w:szCs w:val="20"/>
        </w:rPr>
        <w:t xml:space="preserve">For device 1 and 2a, as discussed above the ICS is assumed as 0dB since there is no in-band selectivity. For Tx leakage requirement, it is related to following several factors. </w:t>
      </w:r>
    </w:p>
    <w:p>
      <w:pPr>
        <w:numPr>
          <w:ilvl w:val="0"/>
          <w:numId w:val="7"/>
        </w:numPr>
        <w:spacing w:after="156" w:afterLines="50"/>
        <w:rPr>
          <w:rFonts w:ascii="Times New Roman" w:hAnsi="Times New Roman"/>
          <w:sz w:val="20"/>
          <w:szCs w:val="20"/>
        </w:rPr>
      </w:pPr>
      <w:r>
        <w:rPr>
          <w:rFonts w:hint="eastAsia" w:ascii="Times New Roman" w:hAnsi="Times New Roman"/>
          <w:sz w:val="20"/>
          <w:szCs w:val="20"/>
        </w:rPr>
        <w:t>D2R Data rate</w:t>
      </w:r>
    </w:p>
    <w:p>
      <w:pPr>
        <w:numPr>
          <w:ilvl w:val="0"/>
          <w:numId w:val="7"/>
        </w:numPr>
        <w:spacing w:after="156" w:afterLines="50"/>
        <w:rPr>
          <w:rFonts w:ascii="Times New Roman" w:hAnsi="Times New Roman"/>
          <w:sz w:val="20"/>
          <w:szCs w:val="20"/>
        </w:rPr>
      </w:pPr>
      <w:r>
        <w:rPr>
          <w:rFonts w:hint="eastAsia" w:ascii="Times New Roman" w:hAnsi="Times New Roman"/>
          <w:sz w:val="20"/>
          <w:szCs w:val="20"/>
        </w:rPr>
        <w:t>Coding, i.e. FEC + line coding</w:t>
      </w:r>
    </w:p>
    <w:p>
      <w:pPr>
        <w:numPr>
          <w:ilvl w:val="0"/>
          <w:numId w:val="7"/>
        </w:numPr>
        <w:spacing w:after="156" w:afterLines="50"/>
        <w:rPr>
          <w:rFonts w:ascii="Times New Roman" w:hAnsi="Times New Roman"/>
          <w:sz w:val="20"/>
          <w:szCs w:val="20"/>
        </w:rPr>
      </w:pPr>
      <w:r>
        <w:rPr>
          <w:rFonts w:hint="eastAsia" w:ascii="Times New Roman" w:hAnsi="Times New Roman"/>
          <w:sz w:val="20"/>
          <w:szCs w:val="20"/>
        </w:rPr>
        <w:t>Modulation scheme</w:t>
      </w:r>
    </w:p>
    <w:p>
      <w:pPr>
        <w:numPr>
          <w:ilvl w:val="1"/>
          <w:numId w:val="7"/>
        </w:numPr>
        <w:spacing w:after="156" w:afterLines="50"/>
        <w:rPr>
          <w:rFonts w:ascii="Times New Roman" w:hAnsi="Times New Roman"/>
          <w:sz w:val="20"/>
          <w:szCs w:val="20"/>
        </w:rPr>
      </w:pPr>
      <w:r>
        <w:rPr>
          <w:rFonts w:hint="eastAsia" w:ascii="Times New Roman" w:hAnsi="Times New Roman"/>
          <w:sz w:val="20"/>
          <w:szCs w:val="20"/>
        </w:rPr>
        <w:t>Since there is no agreement in RAN1 about small frequency shit, at starting point it</w:t>
      </w:r>
      <w:r>
        <w:rPr>
          <w:rFonts w:ascii="Times New Roman" w:hAnsi="Times New Roman"/>
          <w:sz w:val="20"/>
          <w:szCs w:val="20"/>
        </w:rPr>
        <w:t>’</w:t>
      </w:r>
      <w:r>
        <w:rPr>
          <w:rFonts w:hint="eastAsia" w:ascii="Times New Roman" w:hAnsi="Times New Roman"/>
          <w:sz w:val="20"/>
          <w:szCs w:val="20"/>
        </w:rPr>
        <w:t>s suggested to only considering chip modulation, e.g. OOK/BPSK</w:t>
      </w:r>
    </w:p>
    <w:p>
      <w:pPr>
        <w:spacing w:after="156" w:afterLines="50"/>
        <w:rPr>
          <w:rFonts w:ascii="Times New Roman" w:hAnsi="Times New Roman"/>
          <w:sz w:val="20"/>
          <w:szCs w:val="20"/>
        </w:rPr>
      </w:pPr>
      <w:r>
        <w:rPr>
          <w:rFonts w:hint="eastAsia" w:ascii="Times New Roman" w:hAnsi="Times New Roman"/>
          <w:sz w:val="20"/>
          <w:szCs w:val="20"/>
        </w:rPr>
        <w:t>Following list our initial simulation for the IBE performance with following parameters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8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spacing w:before="120" w:after="156" w:afterLines="50" w:line="280" w:lineRule="atLeast"/>
              <w:rPr>
                <w:rFonts w:ascii="Times New Roman" w:hAnsi="Times New Roman"/>
                <w:sz w:val="20"/>
                <w:szCs w:val="20"/>
                <w:lang w:val="en-GB" w:eastAsia="en-GB"/>
              </w:rPr>
            </w:pPr>
            <w:r>
              <w:rPr>
                <w:rFonts w:hint="eastAsia" w:ascii="Times New Roman" w:hAnsi="Times New Roman"/>
                <w:sz w:val="20"/>
                <w:szCs w:val="20"/>
                <w:lang w:val="en-GB" w:eastAsia="en-GB"/>
              </w:rPr>
              <w:t>parameter</w:t>
            </w:r>
          </w:p>
        </w:tc>
        <w:tc>
          <w:tcPr>
            <w:tcW w:w="8510" w:type="dxa"/>
          </w:tcPr>
          <w:p>
            <w:pPr>
              <w:spacing w:before="120" w:after="156" w:afterLines="50" w:line="280" w:lineRule="atLeast"/>
              <w:rPr>
                <w:rFonts w:ascii="Times New Roman" w:hAnsi="Times New Roman"/>
                <w:sz w:val="20"/>
                <w:szCs w:val="20"/>
                <w:lang w:val="en-GB" w:eastAsia="en-GB"/>
              </w:rPr>
            </w:pPr>
            <w:r>
              <w:rPr>
                <w:rFonts w:hint="eastAsia" w:ascii="Times New Roman" w:hAnsi="Times New Roman"/>
                <w:sz w:val="20"/>
                <w:szCs w:val="20"/>
                <w:lang w:val="en-GB" w:eastAsia="en-GB"/>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spacing w:before="120" w:after="156" w:afterLines="50" w:line="280" w:lineRule="atLeast"/>
              <w:rPr>
                <w:rFonts w:hint="default" w:ascii="Times New Roman" w:hAnsi="Times New Roman" w:eastAsia="宋体"/>
                <w:sz w:val="20"/>
                <w:szCs w:val="20"/>
                <w:lang w:val="en-US" w:eastAsia="zh-CN"/>
              </w:rPr>
            </w:pPr>
            <w:r>
              <w:rPr>
                <w:rFonts w:hint="eastAsia" w:ascii="Times New Roman" w:hAnsi="Times New Roman"/>
                <w:sz w:val="20"/>
                <w:szCs w:val="20"/>
                <w:lang w:val="en-GB" w:eastAsia="en-GB"/>
              </w:rPr>
              <w:t>Data rate</w:t>
            </w:r>
          </w:p>
        </w:tc>
        <w:tc>
          <w:tcPr>
            <w:tcW w:w="8510" w:type="dxa"/>
          </w:tcPr>
          <w:p>
            <w:pPr>
              <w:spacing w:before="120" w:after="156" w:afterLines="50" w:line="280" w:lineRule="atLeast"/>
              <w:rPr>
                <w:rFonts w:hint="eastAsia" w:ascii="Times New Roman" w:hAnsi="Times New Roman"/>
                <w:sz w:val="20"/>
                <w:szCs w:val="20"/>
                <w:lang w:val="en-GB" w:eastAsia="en-GB"/>
              </w:rPr>
            </w:pPr>
            <w:r>
              <w:rPr>
                <w:rFonts w:hint="eastAsia" w:ascii="Times New Roman" w:hAnsi="Times New Roman"/>
                <w:sz w:val="20"/>
                <w:szCs w:val="20"/>
                <w:lang w:val="en-GB" w:eastAsia="en-GB"/>
              </w:rPr>
              <w:t>We consider 0.1kbps, 5kbps.</w:t>
            </w:r>
          </w:p>
          <w:p>
            <w:pPr>
              <w:spacing w:before="120" w:after="156" w:afterLines="50" w:line="280" w:lineRule="atLeast"/>
              <w:rPr>
                <w:rFonts w:ascii="Times New Roman" w:hAnsi="Times New Roman"/>
                <w:sz w:val="20"/>
                <w:szCs w:val="20"/>
                <w:lang w:val="en-GB" w:eastAsia="en-GB"/>
              </w:rPr>
            </w:pPr>
            <w:r>
              <w:rPr>
                <w:rFonts w:hint="eastAsia" w:ascii="Times New Roman" w:hAnsi="Times New Roman"/>
                <w:sz w:val="20"/>
                <w:szCs w:val="20"/>
                <w:lang w:val="en-GB" w:eastAsia="en-GB"/>
              </w:rPr>
              <w:t>5kbps is the worst case, it</w:t>
            </w:r>
            <w:r>
              <w:rPr>
                <w:rFonts w:ascii="Times New Roman" w:hAnsi="Times New Roman"/>
                <w:sz w:val="20"/>
                <w:szCs w:val="20"/>
                <w:lang w:val="en-GB" w:eastAsia="en-GB"/>
              </w:rPr>
              <w:t>’</w:t>
            </w:r>
            <w:r>
              <w:rPr>
                <w:rFonts w:hint="eastAsia" w:ascii="Times New Roman" w:hAnsi="Times New Roman"/>
                <w:sz w:val="20"/>
                <w:szCs w:val="20"/>
                <w:lang w:val="en-GB" w:eastAsia="en-GB"/>
              </w:rPr>
              <w:t>s suggested to use 5kbps as starting point</w:t>
            </w:r>
          </w:p>
          <w:p>
            <w:pPr>
              <w:spacing w:before="120" w:after="156" w:afterLines="50" w:line="280" w:lineRule="atLeast"/>
              <w:rPr>
                <w:rFonts w:ascii="Times New Roman" w:hAnsi="Times New Roman"/>
                <w:sz w:val="20"/>
                <w:szCs w:val="20"/>
                <w:lang w:val="en-GB" w:eastAsia="en-GB"/>
              </w:rPr>
            </w:pPr>
            <w:r>
              <w:rPr>
                <w:rFonts w:hint="eastAsia" w:ascii="Times New Roman" w:hAnsi="Times New Roman"/>
                <w:sz w:val="20"/>
                <w:szCs w:val="20"/>
                <w:lang w:val="en-GB" w:eastAsia="en-GB"/>
              </w:rPr>
              <w:t>Note: For coverage analysis, 0.1kbps is assumed in RAN1. and according to the TR, 5kbps is assumed as the max data rate. Now there is no agreements about D2R data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spacing w:before="120" w:after="156" w:afterLines="50" w:line="280" w:lineRule="atLeast"/>
              <w:rPr>
                <w:rFonts w:ascii="Times New Roman" w:hAnsi="Times New Roman"/>
                <w:sz w:val="20"/>
                <w:szCs w:val="20"/>
                <w:lang w:val="en-GB" w:eastAsia="en-GB"/>
              </w:rPr>
            </w:pPr>
            <w:r>
              <w:rPr>
                <w:rFonts w:hint="eastAsia" w:ascii="Times New Roman" w:hAnsi="Times New Roman"/>
                <w:sz w:val="20"/>
                <w:szCs w:val="20"/>
                <w:lang w:val="en-GB" w:eastAsia="en-GB"/>
              </w:rPr>
              <w:t>coding</w:t>
            </w:r>
          </w:p>
        </w:tc>
        <w:tc>
          <w:tcPr>
            <w:tcW w:w="8510" w:type="dxa"/>
          </w:tcPr>
          <w:p>
            <w:pPr>
              <w:spacing w:before="120" w:after="156" w:afterLines="50" w:line="280" w:lineRule="atLeast"/>
              <w:rPr>
                <w:rFonts w:ascii="Times New Roman" w:hAnsi="Times New Roman"/>
                <w:sz w:val="20"/>
                <w:szCs w:val="20"/>
                <w:lang w:val="en-GB" w:eastAsia="en-GB"/>
              </w:rPr>
            </w:pPr>
            <w:r>
              <w:rPr>
                <w:rFonts w:hint="eastAsia" w:ascii="Times New Roman" w:hAnsi="Times New Roman"/>
                <w:sz w:val="20"/>
                <w:szCs w:val="20"/>
                <w:lang w:val="en-GB" w:eastAsia="en-GB"/>
              </w:rPr>
              <w:t>The FEC impact for final spectrum performance is tiny. We can only focus on line coding. Compared with miller code, Manchester code has wider spectrum characteristics, it</w:t>
            </w:r>
            <w:r>
              <w:rPr>
                <w:rFonts w:ascii="Times New Roman" w:hAnsi="Times New Roman"/>
                <w:sz w:val="20"/>
                <w:szCs w:val="20"/>
                <w:lang w:val="en-GB" w:eastAsia="en-GB"/>
              </w:rPr>
              <w:t>’</w:t>
            </w:r>
            <w:r>
              <w:rPr>
                <w:rFonts w:hint="eastAsia" w:ascii="Times New Roman" w:hAnsi="Times New Roman"/>
                <w:sz w:val="20"/>
                <w:szCs w:val="20"/>
                <w:lang w:val="en-GB" w:eastAsia="en-GB"/>
              </w:rPr>
              <w:t>s suggested to use Manchester code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spacing w:before="120" w:after="156" w:afterLines="50" w:line="280" w:lineRule="atLeast"/>
              <w:rPr>
                <w:rFonts w:ascii="Times New Roman" w:hAnsi="Times New Roman"/>
                <w:sz w:val="20"/>
                <w:szCs w:val="20"/>
                <w:lang w:val="en-GB" w:eastAsia="en-GB"/>
              </w:rPr>
            </w:pPr>
            <w:r>
              <w:rPr>
                <w:rFonts w:hint="eastAsia" w:ascii="Times New Roman" w:hAnsi="Times New Roman"/>
                <w:sz w:val="20"/>
                <w:szCs w:val="20"/>
                <w:lang w:val="en-GB" w:eastAsia="en-GB"/>
              </w:rPr>
              <w:t>Modulation scheme</w:t>
            </w:r>
          </w:p>
        </w:tc>
        <w:tc>
          <w:tcPr>
            <w:tcW w:w="8510" w:type="dxa"/>
          </w:tcPr>
          <w:p>
            <w:pPr>
              <w:spacing w:before="120" w:after="156" w:afterLines="50" w:line="280" w:lineRule="atLeast"/>
              <w:rPr>
                <w:rFonts w:ascii="Times New Roman" w:hAnsi="Times New Roman"/>
                <w:sz w:val="20"/>
                <w:szCs w:val="20"/>
                <w:lang w:val="en-GB" w:eastAsia="en-GB"/>
              </w:rPr>
            </w:pPr>
            <w:r>
              <w:rPr>
                <w:rFonts w:hint="eastAsia" w:ascii="Times New Roman" w:hAnsi="Times New Roman"/>
                <w:sz w:val="20"/>
                <w:szCs w:val="20"/>
                <w:lang w:val="en-GB" w:eastAsia="en-GB"/>
              </w:rPr>
              <w:t>The spectrum characteristics of OOK modulation will much concentrate on center but BPSK will have wider spectrum bandwidth, we can use BPSK as starting point.</w:t>
            </w:r>
          </w:p>
        </w:tc>
      </w:tr>
    </w:tbl>
    <w:p>
      <w:pPr>
        <w:spacing w:after="156" w:afterLines="50"/>
        <w:rPr>
          <w:rFonts w:ascii="Times New Roman" w:hAnsi="Times New Roman"/>
          <w:sz w:val="20"/>
          <w:szCs w:val="20"/>
        </w:rPr>
      </w:pPr>
      <w:r>
        <w:rPr>
          <w:rFonts w:hint="eastAsia" w:ascii="Times New Roman" w:hAnsi="Times New Roman"/>
          <w:sz w:val="20"/>
          <w:szCs w:val="20"/>
        </w:rPr>
        <w:t xml:space="preserve">Following fig show the spectrum characteristics based on above parameters. </w:t>
      </w:r>
    </w:p>
    <w:p>
      <w:pPr>
        <w:spacing w:after="156" w:afterLines="50"/>
        <w:rPr>
          <w:rFonts w:ascii="Times New Roman" w:hAnsi="Times New Roman"/>
          <w:sz w:val="20"/>
          <w:szCs w:val="20"/>
        </w:rPr>
      </w:pPr>
      <w:r>
        <w:rPr>
          <w:rFonts w:ascii="Times New Roman" w:hAnsi="Times New Roman"/>
          <w:sz w:val="20"/>
          <w:szCs w:val="20"/>
        </w:rPr>
        <w:drawing>
          <wp:inline distT="0" distB="0" distL="114300" distR="114300">
            <wp:extent cx="6181090" cy="3096895"/>
            <wp:effectExtent l="0" t="0" r="3810" b="1905"/>
            <wp:docPr id="1" name="图片 1" descr="微信图片_2024051115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40511152020"/>
                    <pic:cNvPicPr>
                      <a:picLocks noChangeAspect="1"/>
                    </pic:cNvPicPr>
                  </pic:nvPicPr>
                  <pic:blipFill>
                    <a:blip r:embed="rId5"/>
                    <a:stretch>
                      <a:fillRect/>
                    </a:stretch>
                  </pic:blipFill>
                  <pic:spPr>
                    <a:xfrm>
                      <a:off x="0" y="0"/>
                      <a:ext cx="6181090" cy="3096895"/>
                    </a:xfrm>
                    <a:prstGeom prst="rect">
                      <a:avLst/>
                    </a:prstGeom>
                  </pic:spPr>
                </pic:pic>
              </a:graphicData>
            </a:graphic>
          </wp:inline>
        </w:drawing>
      </w:r>
    </w:p>
    <w:p>
      <w:pPr>
        <w:spacing w:after="156" w:afterLines="50"/>
        <w:rPr>
          <w:rFonts w:ascii="Times New Roman" w:hAnsi="Times New Roman"/>
          <w:sz w:val="20"/>
          <w:szCs w:val="20"/>
        </w:rPr>
      </w:pPr>
      <w:r>
        <w:rPr>
          <w:rFonts w:hint="eastAsia" w:ascii="Times New Roman" w:hAnsi="Times New Roman"/>
          <w:sz w:val="20"/>
          <w:szCs w:val="20"/>
        </w:rPr>
        <w:t>When assuming D2R transmit at the frequency center, The Tx leakage is 25dBc at the 90kHz offset from center, 35dBc at the 270kHz offset from center, i.e. 1 guard RB away from center PRB, and 41dBc at the 450kHz offset from center, i.e. 2 guard RB away from center PRB. It</w:t>
      </w:r>
      <w:r>
        <w:rPr>
          <w:rFonts w:ascii="Times New Roman" w:hAnsi="Times New Roman"/>
          <w:sz w:val="20"/>
          <w:szCs w:val="20"/>
        </w:rPr>
        <w:t>’</w:t>
      </w:r>
      <w:r>
        <w:rPr>
          <w:rFonts w:hint="eastAsia" w:ascii="Times New Roman" w:hAnsi="Times New Roman"/>
          <w:sz w:val="20"/>
          <w:szCs w:val="20"/>
        </w:rPr>
        <w:t>s suggested to use above Tx leakage for device 1 and 2a as starting point.</w:t>
      </w:r>
    </w:p>
    <w:p>
      <w:pPr>
        <w:spacing w:after="156" w:afterLines="50"/>
        <w:rPr>
          <w:rFonts w:ascii="Times New Roman" w:hAnsi="Times New Roman"/>
          <w:b/>
          <w:bCs/>
          <w:sz w:val="20"/>
          <w:szCs w:val="20"/>
        </w:rPr>
      </w:pPr>
      <w:r>
        <w:rPr>
          <w:rFonts w:hint="eastAsia" w:ascii="Times New Roman" w:hAnsi="Times New Roman"/>
          <w:b/>
          <w:bCs/>
          <w:sz w:val="20"/>
          <w:szCs w:val="20"/>
        </w:rPr>
        <w:t>Proposal 12: for device 1 and 2a, it</w:t>
      </w:r>
      <w:r>
        <w:rPr>
          <w:rFonts w:ascii="Times New Roman" w:hAnsi="Times New Roman"/>
          <w:b/>
          <w:bCs/>
          <w:sz w:val="20"/>
          <w:szCs w:val="20"/>
        </w:rPr>
        <w:t>’</w:t>
      </w:r>
      <w:r>
        <w:rPr>
          <w:rFonts w:hint="eastAsia" w:ascii="Times New Roman" w:hAnsi="Times New Roman"/>
          <w:b/>
          <w:bCs/>
          <w:sz w:val="20"/>
          <w:szCs w:val="20"/>
        </w:rPr>
        <w:t>s suggested to use following value for IBE as starting point with assuming 5kbps D2R date rate, Manchester code, BPSK modulation scheme. Following assume</w:t>
      </w:r>
      <w:r>
        <w:rPr>
          <w:rFonts w:hint="eastAsia" w:ascii="Times New Roman" w:hAnsi="Times New Roman"/>
          <w:b/>
          <w:bCs/>
          <w:sz w:val="20"/>
          <w:szCs w:val="20"/>
          <w:lang w:val="en-US" w:eastAsia="zh-CN"/>
        </w:rPr>
        <w:t>s that</w:t>
      </w:r>
      <w:r>
        <w:rPr>
          <w:rFonts w:hint="eastAsia" w:ascii="Times New Roman" w:hAnsi="Times New Roman"/>
          <w:b/>
          <w:bCs/>
          <w:sz w:val="20"/>
          <w:szCs w:val="20"/>
        </w:rPr>
        <w:t xml:space="preserve"> Tx signal is at frequency center</w:t>
      </w:r>
    </w:p>
    <w:p>
      <w:pPr>
        <w:numPr>
          <w:ilvl w:val="0"/>
          <w:numId w:val="7"/>
        </w:numPr>
        <w:spacing w:after="156" w:afterLines="50"/>
        <w:rPr>
          <w:rFonts w:ascii="Times New Roman" w:hAnsi="Times New Roman"/>
          <w:b/>
          <w:bCs/>
          <w:sz w:val="20"/>
          <w:szCs w:val="20"/>
        </w:rPr>
      </w:pPr>
      <w:r>
        <w:rPr>
          <w:rFonts w:hint="eastAsia" w:ascii="Times New Roman" w:hAnsi="Times New Roman"/>
          <w:b/>
          <w:bCs/>
          <w:sz w:val="20"/>
          <w:szCs w:val="20"/>
        </w:rPr>
        <w:t>25dBc at the edge of center 1PRB, i.e. 90kHz offset from frequency center</w:t>
      </w:r>
    </w:p>
    <w:p>
      <w:pPr>
        <w:numPr>
          <w:ilvl w:val="0"/>
          <w:numId w:val="7"/>
        </w:numPr>
        <w:spacing w:after="156" w:afterLines="50"/>
        <w:rPr>
          <w:rFonts w:ascii="Times New Roman" w:hAnsi="Times New Roman"/>
          <w:b/>
          <w:bCs/>
          <w:sz w:val="20"/>
          <w:szCs w:val="20"/>
        </w:rPr>
      </w:pPr>
      <w:r>
        <w:rPr>
          <w:rFonts w:hint="eastAsia" w:ascii="Times New Roman" w:hAnsi="Times New Roman"/>
          <w:b/>
          <w:bCs/>
          <w:sz w:val="20"/>
          <w:szCs w:val="20"/>
        </w:rPr>
        <w:t>35dBc with 1 guard RB away from center PRB, i.e. 270kHz offset from frequency center</w:t>
      </w:r>
    </w:p>
    <w:p>
      <w:pPr>
        <w:numPr>
          <w:ilvl w:val="0"/>
          <w:numId w:val="7"/>
        </w:numPr>
        <w:spacing w:after="156" w:afterLines="50"/>
        <w:rPr>
          <w:rFonts w:ascii="Times New Roman" w:hAnsi="Times New Roman"/>
          <w:b/>
          <w:bCs/>
          <w:sz w:val="20"/>
          <w:szCs w:val="20"/>
        </w:rPr>
      </w:pPr>
      <w:r>
        <w:rPr>
          <w:rFonts w:hint="eastAsia" w:ascii="Times New Roman" w:hAnsi="Times New Roman"/>
          <w:b/>
          <w:bCs/>
          <w:sz w:val="20"/>
          <w:szCs w:val="20"/>
        </w:rPr>
        <w:t>41dBc with 2 guard RB away from center PRB, i.e. 450kHz offset from frequency center</w:t>
      </w:r>
    </w:p>
    <w:p>
      <w:pPr>
        <w:pStyle w:val="5"/>
      </w:pPr>
      <w:r>
        <w:rPr>
          <w:rFonts w:hint="eastAsia"/>
        </w:rPr>
        <w:t>2.2.3 CW-interference cancellation capability for CW inside topology</w:t>
      </w:r>
    </w:p>
    <w:p>
      <w:pPr>
        <w:spacing w:after="156" w:afterLines="50"/>
        <w:rPr>
          <w:rFonts w:ascii="Times New Roman" w:hAnsi="Times New Roman"/>
          <w:sz w:val="20"/>
          <w:szCs w:val="20"/>
        </w:rPr>
      </w:pPr>
      <w:r>
        <w:rPr>
          <w:rFonts w:hint="eastAsia" w:ascii="Times New Roman" w:hAnsi="Times New Roman"/>
          <w:sz w:val="20"/>
          <w:szCs w:val="20"/>
        </w:rPr>
        <w:t>Following list RAN1 agreements fo CW self-interference handling.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spacing w:before="120" w:line="280" w:lineRule="atLeast"/>
              <w:rPr>
                <w:rFonts w:ascii="Times New Roman" w:hAnsi="Times New Roman"/>
                <w:iCs/>
                <w:sz w:val="20"/>
                <w:szCs w:val="20"/>
                <w:lang w:val="en-GB" w:eastAsia="en-GB"/>
              </w:rPr>
            </w:pPr>
            <w:r>
              <w:rPr>
                <w:rFonts w:ascii="Times New Roman" w:hAnsi="Times New Roman"/>
                <w:iCs/>
                <w:sz w:val="20"/>
                <w:szCs w:val="20"/>
                <w:highlight w:val="green"/>
                <w:lang w:val="en-GB" w:eastAsia="en-GB"/>
              </w:rPr>
              <w:t>Agreement</w:t>
            </w:r>
          </w:p>
          <w:p>
            <w:pPr>
              <w:spacing w:before="120" w:line="280" w:lineRule="atLeast"/>
              <w:rPr>
                <w:rFonts w:ascii="Times New Roman" w:hAnsi="Times New Roman"/>
                <w:sz w:val="20"/>
                <w:szCs w:val="20"/>
                <w:lang w:val="en-GB" w:eastAsia="en-GB"/>
              </w:rPr>
            </w:pPr>
            <w:r>
              <w:rPr>
                <w:rFonts w:ascii="Times New Roman" w:hAnsi="Times New Roman"/>
                <w:sz w:val="20"/>
                <w:szCs w:val="20"/>
                <w:lang w:val="en-GB" w:eastAsia="en-GB"/>
              </w:rPr>
              <w:t xml:space="preserve">For coverage evaluation, subject to further discussion on which scenarios to evaluate, </w:t>
            </w:r>
          </w:p>
          <w:p>
            <w:pPr>
              <w:pStyle w:val="26"/>
              <w:numPr>
                <w:ilvl w:val="0"/>
                <w:numId w:val="8"/>
              </w:numPr>
              <w:spacing w:before="120" w:line="280" w:lineRule="atLeast"/>
              <w:ind w:firstLine="400"/>
              <w:rPr>
                <w:rFonts w:ascii="Times New Roman" w:hAnsi="Times New Roman"/>
                <w:sz w:val="20"/>
                <w:szCs w:val="20"/>
                <w:lang w:val="en-GB" w:eastAsia="en-GB"/>
              </w:rPr>
            </w:pPr>
            <w:r>
              <w:rPr>
                <w:rFonts w:ascii="Times New Roman" w:hAnsi="Times New Roman"/>
                <w:sz w:val="20"/>
                <w:szCs w:val="20"/>
                <w:lang w:val="en-GB" w:eastAsia="en-GB"/>
              </w:rPr>
              <w:t>In the case of CW inside topology with ’A2’ scenarios</w:t>
            </w:r>
          </w:p>
          <w:p>
            <w:pPr>
              <w:pStyle w:val="26"/>
              <w:numPr>
                <w:ilvl w:val="1"/>
                <w:numId w:val="8"/>
              </w:numPr>
              <w:spacing w:before="120" w:line="280" w:lineRule="atLeast"/>
              <w:ind w:firstLine="400"/>
              <w:rPr>
                <w:rFonts w:ascii="Times New Roman" w:hAnsi="Times New Roman"/>
                <w:sz w:val="20"/>
                <w:szCs w:val="20"/>
                <w:lang w:val="en-GB" w:eastAsia="en-GB"/>
              </w:rPr>
            </w:pPr>
            <w:r>
              <w:rPr>
                <w:rFonts w:ascii="Times New Roman" w:hAnsi="Times New Roman"/>
                <w:sz w:val="20"/>
                <w:szCs w:val="20"/>
                <w:lang w:val="en-GB" w:eastAsia="en-GB"/>
              </w:rPr>
              <w:t>The digital baseband processing of CW self-interference handling is not modelled in link level simulation (LLS). It is included in the link budget analysis by reporting the CW cancellation capability value.</w:t>
            </w:r>
          </w:p>
          <w:p>
            <w:pPr>
              <w:pStyle w:val="26"/>
              <w:numPr>
                <w:ilvl w:val="0"/>
                <w:numId w:val="8"/>
              </w:numPr>
              <w:spacing w:before="120" w:line="280" w:lineRule="atLeast"/>
              <w:ind w:firstLine="400"/>
              <w:rPr>
                <w:rFonts w:ascii="Times New Roman" w:hAnsi="Times New Roman"/>
                <w:sz w:val="20"/>
                <w:szCs w:val="20"/>
                <w:lang w:val="en-GB" w:eastAsia="en-GB"/>
              </w:rPr>
            </w:pPr>
            <w:r>
              <w:rPr>
                <w:rFonts w:ascii="Times New Roman" w:hAnsi="Times New Roman"/>
                <w:sz w:val="20"/>
                <w:szCs w:val="20"/>
                <w:lang w:val="en-GB" w:eastAsia="en-GB"/>
              </w:rPr>
              <w:t>FFS: In the case of CW outside topology with ‘B’ scenarios or CW inside topology with ’A1’ scenarios</w:t>
            </w:r>
          </w:p>
        </w:tc>
      </w:tr>
    </w:tbl>
    <w:p>
      <w:pPr>
        <w:spacing w:after="156" w:afterLines="50"/>
        <w:rPr>
          <w:rFonts w:ascii="Times New Roman" w:hAnsi="Times New Roman"/>
          <w:sz w:val="20"/>
          <w:szCs w:val="20"/>
        </w:rPr>
      </w:pPr>
    </w:p>
    <w:p>
      <w:pPr>
        <w:spacing w:after="156" w:afterLines="50"/>
        <w:rPr>
          <w:rFonts w:ascii="Times New Roman" w:hAnsi="Times New Roman"/>
          <w:sz w:val="20"/>
          <w:szCs w:val="20"/>
        </w:rPr>
      </w:pPr>
      <w:r>
        <w:rPr>
          <w:rFonts w:hint="eastAsia" w:ascii="Times New Roman" w:hAnsi="Times New Roman"/>
          <w:sz w:val="20"/>
          <w:szCs w:val="20"/>
        </w:rPr>
        <w:t>We suggest to use following simple methodology to evaluate remaining CW interference at reader side for both CW inside and outside topology.</w:t>
      </w:r>
    </w:p>
    <w:p>
      <w:pPr>
        <w:numPr>
          <w:ilvl w:val="0"/>
          <w:numId w:val="9"/>
        </w:numPr>
        <w:spacing w:after="156" w:afterLines="50"/>
        <w:rPr>
          <w:rFonts w:ascii="Times New Roman" w:hAnsi="Times New Roman"/>
          <w:sz w:val="20"/>
          <w:szCs w:val="20"/>
        </w:rPr>
      </w:pPr>
      <w:r>
        <w:rPr>
          <w:rFonts w:ascii="Times New Roman" w:hAnsi="Times New Roman"/>
          <w:sz w:val="20"/>
          <w:szCs w:val="20"/>
        </w:rPr>
        <w:t>Meth</w:t>
      </w:r>
      <w:r>
        <w:rPr>
          <w:rFonts w:hint="eastAsia" w:ascii="Times New Roman" w:hAnsi="Times New Roman"/>
          <w:sz w:val="20"/>
          <w:szCs w:val="20"/>
        </w:rPr>
        <w:t>o</w:t>
      </w:r>
      <w:r>
        <w:rPr>
          <w:rFonts w:ascii="Times New Roman" w:hAnsi="Times New Roman"/>
          <w:sz w:val="20"/>
          <w:szCs w:val="20"/>
        </w:rPr>
        <w:t>dology: residual self-interference= Tx power - self-interference cancellation capability</w:t>
      </w:r>
    </w:p>
    <w:p>
      <w:pPr>
        <w:numPr>
          <w:ilvl w:val="0"/>
          <w:numId w:val="9"/>
        </w:numPr>
        <w:spacing w:after="156" w:afterLines="50"/>
        <w:rPr>
          <w:rFonts w:ascii="Times New Roman" w:hAnsi="Times New Roman"/>
          <w:b/>
          <w:bCs/>
          <w:sz w:val="20"/>
          <w:szCs w:val="20"/>
        </w:rPr>
      </w:pPr>
      <w:r>
        <w:rPr>
          <w:rFonts w:ascii="Times New Roman" w:hAnsi="Times New Roman"/>
          <w:sz w:val="20"/>
          <w:szCs w:val="20"/>
        </w:rPr>
        <w:t>self-interference cancellation capability = spatial isolation + RF cancellation + digital cancellation if applicable</w:t>
      </w:r>
    </w:p>
    <w:p>
      <w:pPr>
        <w:spacing w:after="156" w:afterLines="50"/>
        <w:rPr>
          <w:rFonts w:ascii="Times New Roman" w:hAnsi="Times New Roman"/>
          <w:b/>
          <w:bCs/>
          <w:sz w:val="20"/>
          <w:szCs w:val="20"/>
        </w:rPr>
      </w:pPr>
      <w:r>
        <w:rPr>
          <w:rFonts w:hint="eastAsia" w:ascii="Times New Roman" w:hAnsi="Times New Roman"/>
          <w:b/>
          <w:bCs/>
          <w:sz w:val="20"/>
          <w:szCs w:val="20"/>
        </w:rPr>
        <w:t>Proposal 13: following CW interference cancellation evaluation methodology is suggested. Besides, RAN4 needs to further discuss whether it is still necessary to evaluate -A2 evaluation case if CW interference cancellation capability is already much high, i.e. remaining CW interference is much lower than noise floor.</w:t>
      </w:r>
    </w:p>
    <w:p>
      <w:pPr>
        <w:numPr>
          <w:ilvl w:val="0"/>
          <w:numId w:val="9"/>
        </w:numPr>
        <w:spacing w:after="156" w:afterLines="50"/>
        <w:rPr>
          <w:rFonts w:ascii="Times New Roman" w:hAnsi="Times New Roman"/>
          <w:b/>
          <w:bCs/>
          <w:sz w:val="20"/>
          <w:szCs w:val="20"/>
        </w:rPr>
      </w:pPr>
      <w:r>
        <w:rPr>
          <w:rFonts w:ascii="Times New Roman" w:hAnsi="Times New Roman"/>
          <w:b/>
          <w:bCs/>
          <w:sz w:val="20"/>
          <w:szCs w:val="20"/>
        </w:rPr>
        <w:t>Meth</w:t>
      </w:r>
      <w:r>
        <w:rPr>
          <w:rFonts w:hint="eastAsia" w:ascii="Times New Roman" w:hAnsi="Times New Roman"/>
          <w:b/>
          <w:bCs/>
          <w:sz w:val="20"/>
          <w:szCs w:val="20"/>
        </w:rPr>
        <w:t>o</w:t>
      </w:r>
      <w:r>
        <w:rPr>
          <w:rFonts w:ascii="Times New Roman" w:hAnsi="Times New Roman"/>
          <w:b/>
          <w:bCs/>
          <w:sz w:val="20"/>
          <w:szCs w:val="20"/>
        </w:rPr>
        <w:t>dology: residual self-interference= Tx power - self-interference cancellation capability</w:t>
      </w:r>
    </w:p>
    <w:p>
      <w:pPr>
        <w:numPr>
          <w:ilvl w:val="0"/>
          <w:numId w:val="9"/>
        </w:numPr>
        <w:spacing w:after="156" w:afterLines="50"/>
        <w:rPr>
          <w:rFonts w:ascii="Times New Roman" w:hAnsi="Times New Roman"/>
          <w:b/>
          <w:bCs/>
          <w:sz w:val="20"/>
          <w:szCs w:val="20"/>
        </w:rPr>
      </w:pPr>
      <w:r>
        <w:rPr>
          <w:rFonts w:ascii="Times New Roman" w:hAnsi="Times New Roman"/>
          <w:b/>
          <w:bCs/>
          <w:sz w:val="20"/>
          <w:szCs w:val="20"/>
        </w:rPr>
        <w:t>self-interference cancellation capability = spatial isolation + RF cancellation + digital cancellation if applicable</w:t>
      </w:r>
    </w:p>
    <w:p>
      <w:pPr>
        <w:tabs>
          <w:tab w:val="left" w:pos="720"/>
        </w:tabs>
        <w:spacing w:after="156" w:afterLines="50"/>
        <w:rPr>
          <w:rFonts w:ascii="Times New Roman" w:hAnsi="Times New Roman"/>
          <w:sz w:val="20"/>
          <w:szCs w:val="20"/>
        </w:rPr>
      </w:pPr>
      <w:r>
        <w:rPr>
          <w:rFonts w:hint="eastAsia" w:ascii="Times New Roman" w:hAnsi="Times New Roman"/>
          <w:sz w:val="20"/>
          <w:szCs w:val="20"/>
        </w:rPr>
        <w:t>For topology 1, if we assume 10cm isolation distance between CW and receiver Rx, at last 20dB isolation is achievable. For RFIC, simple circulator/coupler could at least achieve 40dBc. For digital IC, high pass filter would help to filter DC CW signal and at least 80dBc is achievable. Then for gNB like reader 1, 140dBc self-interference is achievable for inside topology.</w:t>
      </w:r>
    </w:p>
    <w:p>
      <w:pPr>
        <w:tabs>
          <w:tab w:val="left" w:pos="720"/>
        </w:tabs>
        <w:spacing w:after="156" w:afterLines="50"/>
        <w:rPr>
          <w:rFonts w:ascii="Times New Roman" w:hAnsi="Times New Roman"/>
          <w:sz w:val="20"/>
          <w:szCs w:val="20"/>
        </w:rPr>
      </w:pPr>
      <w:r>
        <w:rPr>
          <w:rFonts w:hint="eastAsia" w:ascii="Times New Roman" w:hAnsi="Times New Roman"/>
          <w:sz w:val="20"/>
          <w:szCs w:val="20"/>
        </w:rPr>
        <w:t>For topology 2, there is no spatial isolation between CW and Rx antenna. But the UE could achieve comparable self-interference cancellation with gNB considering the RFIC and digital IC is not much complex. So it</w:t>
      </w:r>
      <w:r>
        <w:rPr>
          <w:rFonts w:ascii="Times New Roman" w:hAnsi="Times New Roman"/>
          <w:sz w:val="20"/>
          <w:szCs w:val="20"/>
        </w:rPr>
        <w:t>’</w:t>
      </w:r>
      <w:r>
        <w:rPr>
          <w:rFonts w:hint="eastAsia" w:ascii="Times New Roman" w:hAnsi="Times New Roman"/>
          <w:sz w:val="20"/>
          <w:szCs w:val="20"/>
        </w:rPr>
        <w:t>s assumed 120dBc self-interference cancellation is achievable for reader of topology 2.</w:t>
      </w: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Observation 3: 140dBc self-interference cancellation is achievable for topology 1 and 120dBc self-interference cancellation is achievable for topology 2.</w:t>
      </w:r>
    </w:p>
    <w:p>
      <w:pPr>
        <w:pStyle w:val="5"/>
      </w:pPr>
      <w:r>
        <w:rPr>
          <w:rFonts w:hint="eastAsia"/>
        </w:rPr>
        <w:t>2.2.4 general parameters</w:t>
      </w:r>
    </w:p>
    <w:p>
      <w:pPr>
        <w:tabs>
          <w:tab w:val="left" w:pos="720"/>
        </w:tabs>
        <w:spacing w:after="156" w:afterLines="50"/>
        <w:rPr>
          <w:rFonts w:ascii="Times New Roman" w:hAnsi="Times New Roman"/>
          <w:sz w:val="20"/>
          <w:szCs w:val="20"/>
        </w:rPr>
      </w:pPr>
      <w:r>
        <w:rPr>
          <w:rFonts w:hint="eastAsia" w:ascii="Times New Roman" w:hAnsi="Times New Roman"/>
          <w:sz w:val="20"/>
          <w:szCs w:val="20"/>
        </w:rPr>
        <w:t>It</w:t>
      </w:r>
      <w:r>
        <w:rPr>
          <w:rFonts w:ascii="Times New Roman" w:hAnsi="Times New Roman"/>
          <w:sz w:val="20"/>
          <w:szCs w:val="20"/>
        </w:rPr>
        <w:t>’</w:t>
      </w:r>
      <w:r>
        <w:rPr>
          <w:rFonts w:hint="eastAsia" w:ascii="Times New Roman" w:hAnsi="Times New Roman"/>
          <w:sz w:val="20"/>
          <w:szCs w:val="20"/>
        </w:rPr>
        <w:t>s suggested to use the parameters in above table.</w:t>
      </w:r>
    </w:p>
    <w:tbl>
      <w:tblPr>
        <w:tblStyle w:val="45"/>
        <w:tblW w:w="6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2"/>
        <w:gridCol w:w="3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2832" w:type="dxa"/>
          </w:tcPr>
          <w:p>
            <w:pPr>
              <w:overflowPunct w:val="0"/>
              <w:autoSpaceDE w:val="0"/>
              <w:autoSpaceDN w:val="0"/>
              <w:adjustRightInd w:val="0"/>
              <w:textAlignment w:val="baseline"/>
              <w:rPr>
                <w:rFonts w:ascii="Times New Roman" w:hAnsi="Times New Roman" w:eastAsia="Yu Mincho"/>
                <w:b/>
                <w:bCs/>
                <w:sz w:val="20"/>
                <w:szCs w:val="20"/>
              </w:rPr>
            </w:pPr>
            <w:r>
              <w:rPr>
                <w:rFonts w:ascii="Times New Roman" w:hAnsi="Times New Roman" w:eastAsia="Yu Mincho"/>
                <w:b/>
                <w:bCs/>
                <w:sz w:val="20"/>
                <w:szCs w:val="20"/>
              </w:rPr>
              <w:t>General Parameter</w:t>
            </w:r>
          </w:p>
        </w:tc>
        <w:tc>
          <w:tcPr>
            <w:tcW w:w="3689" w:type="dxa"/>
          </w:tcPr>
          <w:p>
            <w:pPr>
              <w:overflowPunct w:val="0"/>
              <w:autoSpaceDE w:val="0"/>
              <w:autoSpaceDN w:val="0"/>
              <w:adjustRightInd w:val="0"/>
              <w:textAlignment w:val="baseline"/>
              <w:rPr>
                <w:rFonts w:ascii="Times New Roman" w:hAnsi="Times New Roman" w:eastAsia="Yu Mincho"/>
                <w:b/>
                <w:bCs/>
                <w:sz w:val="20"/>
                <w:szCs w:val="20"/>
              </w:rPr>
            </w:pPr>
            <w:r>
              <w:rPr>
                <w:rFonts w:ascii="Times New Roman" w:hAnsi="Times New Roman" w:eastAsia="Yu Mincho"/>
                <w:b/>
                <w:bCs/>
                <w:sz w:val="20"/>
                <w:szCs w:val="20"/>
              </w:rPr>
              <w:t>D1T1&amp;D2T2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Carrier frequency</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900 MHz</w:t>
            </w:r>
            <w:r>
              <w:rPr>
                <w:rFonts w:hint="eastAsia" w:ascii="Times New Roman" w:hAnsi="Times New Roman" w:eastAsia="Yu Mincho"/>
                <w:sz w:val="20"/>
                <w:szCs w:val="20"/>
              </w:rPr>
              <w:t xml:space="preserve">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Channel BW for NR</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10MHz</w:t>
            </w:r>
            <w:r>
              <w:rPr>
                <w:rFonts w:ascii="Times New Roman" w:hAnsi="Times New Roman" w:eastAsiaTheme="minorEastAsia"/>
                <w:sz w:val="20"/>
                <w:szCs w:val="20"/>
              </w:rPr>
              <w:t xml:space="preserve"> </w:t>
            </w:r>
            <w:r>
              <w:rPr>
                <w:rFonts w:ascii="Times New Roman" w:hAnsi="Times New Roman" w:eastAsia="Yu Mincho"/>
                <w:sz w:val="20"/>
                <w:szCs w:val="20"/>
              </w:rPr>
              <w:t>with 15KHz SCS</w:t>
            </w:r>
            <w:r>
              <w:rPr>
                <w:rFonts w:hint="eastAsia" w:ascii="Times New Roman" w:hAnsi="Times New Roman" w:eastAsia="Yu Mincho"/>
                <w:sz w:val="20"/>
                <w:szCs w:val="20"/>
              </w:rPr>
              <w:t xml:space="preserve"> (M)</w:t>
            </w:r>
          </w:p>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Theme="minorEastAsia"/>
                <w:sz w:val="20"/>
                <w:szCs w:val="20"/>
              </w:rPr>
              <w:t>20MHz</w:t>
            </w:r>
            <w:r>
              <w:rPr>
                <w:rFonts w:ascii="Times New Roman" w:hAnsi="Times New Roman" w:eastAsia="Yu Mincho"/>
                <w:sz w:val="20"/>
                <w:szCs w:val="20"/>
              </w:rPr>
              <w:t xml:space="preserve"> with 15KHz SCS</w:t>
            </w:r>
            <w:r>
              <w:rPr>
                <w:rFonts w:hint="eastAsia" w:ascii="Times New Roman" w:hAnsi="Times New Roman" w:eastAsia="Yu Mincho"/>
                <w:sz w:val="20"/>
                <w:szCs w:val="20"/>
              </w:rPr>
              <w:t xml:space="preserve"> (O)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Channel BW for AIOT</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DL: 180kHz with 15KHz SCS</w:t>
            </w:r>
          </w:p>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Yu Mincho"/>
                <w:sz w:val="20"/>
                <w:szCs w:val="20"/>
              </w:rPr>
              <w:t>UL: 15KHz</w:t>
            </w:r>
            <w:r>
              <w:rPr>
                <w:rFonts w:ascii="Times New Roman" w:hAnsi="Times New Roman" w:eastAsiaTheme="minorEastAsia"/>
                <w:sz w:val="20"/>
                <w:szCs w:val="20"/>
              </w:rPr>
              <w:t xml:space="preserve"> or 180KHz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Waveform</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DL: OFDM based waveform</w:t>
            </w:r>
          </w:p>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UL: single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A-IoT DL power control</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A-IoT UL power control</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Traffic model</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Full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Frequency reuse</w:t>
            </w:r>
          </w:p>
        </w:tc>
        <w:tc>
          <w:tcPr>
            <w:tcW w:w="3689"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Yu Mincho"/>
                <w:sz w:val="20"/>
                <w:szCs w:val="20"/>
              </w:rPr>
              <w:t>1</w:t>
            </w:r>
          </w:p>
        </w:tc>
      </w:tr>
    </w:tbl>
    <w:p>
      <w:pPr>
        <w:tabs>
          <w:tab w:val="left" w:pos="720"/>
        </w:tabs>
        <w:spacing w:after="156" w:afterLines="50"/>
        <w:rPr>
          <w:rFonts w:ascii="Times New Roman" w:hAnsi="Times New Roman"/>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14: it</w:t>
      </w:r>
      <w:r>
        <w:rPr>
          <w:rFonts w:ascii="Times New Roman" w:hAnsi="Times New Roman"/>
          <w:b/>
          <w:bCs/>
          <w:sz w:val="20"/>
          <w:szCs w:val="20"/>
        </w:rPr>
        <w:t>’</w:t>
      </w:r>
      <w:r>
        <w:rPr>
          <w:rFonts w:hint="eastAsia" w:ascii="Times New Roman" w:hAnsi="Times New Roman"/>
          <w:b/>
          <w:bCs/>
          <w:sz w:val="20"/>
          <w:szCs w:val="20"/>
        </w:rPr>
        <w:t>s suggested to use the parameter in above table.</w:t>
      </w:r>
    </w:p>
    <w:p>
      <w:pPr>
        <w:pStyle w:val="5"/>
      </w:pPr>
      <w:r>
        <w:rPr>
          <w:rFonts w:hint="eastAsia"/>
        </w:rPr>
        <w:t>2.2.5 layout parameters</w:t>
      </w:r>
    </w:p>
    <w:tbl>
      <w:tblPr>
        <w:tblStyle w:val="17"/>
        <w:tblW w:w="48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7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D9D9D9"/>
            <w:vAlign w:val="center"/>
          </w:tcPr>
          <w:p>
            <w:pPr>
              <w:pStyle w:val="15"/>
              <w:snapToGrid w:val="0"/>
              <w:spacing w:beforeAutospacing="0" w:afterAutospacing="0"/>
              <w:jc w:val="both"/>
              <w:rPr>
                <w:rFonts w:ascii="Times New Roman" w:hAnsi="Times New Roman" w:cs="Times New Roman"/>
                <w:sz w:val="20"/>
                <w:szCs w:val="20"/>
              </w:rPr>
            </w:pPr>
            <w:r>
              <w:rPr>
                <w:rFonts w:ascii="Times New Roman" w:hAnsi="Times New Roman" w:eastAsia="等线" w:cs="Times New Roman"/>
                <w:b/>
                <w:sz w:val="20"/>
                <w:szCs w:val="20"/>
                <w:lang w:bidi="ar"/>
              </w:rPr>
              <w:t>Parameter</w:t>
            </w:r>
          </w:p>
        </w:tc>
        <w:tc>
          <w:tcPr>
            <w:tcW w:w="4117" w:type="pct"/>
            <w:tcBorders>
              <w:top w:val="single" w:color="auto" w:sz="4" w:space="0"/>
              <w:left w:val="single" w:color="auto" w:sz="4" w:space="0"/>
              <w:bottom w:val="single" w:color="auto" w:sz="4" w:space="0"/>
              <w:right w:val="single" w:color="auto" w:sz="4" w:space="0"/>
            </w:tcBorders>
            <w:shd w:val="clear" w:color="auto" w:fill="D9D9D9"/>
            <w:vAlign w:val="center"/>
          </w:tcPr>
          <w:p>
            <w:pPr>
              <w:pStyle w:val="15"/>
              <w:snapToGrid w:val="0"/>
              <w:spacing w:beforeAutospacing="0" w:afterAutospacing="0"/>
              <w:jc w:val="both"/>
              <w:rPr>
                <w:rFonts w:ascii="Times New Roman" w:hAnsi="Times New Roman" w:eastAsia="等线" w:cs="Times New Roman"/>
                <w:b/>
                <w:sz w:val="20"/>
                <w:szCs w:val="20"/>
                <w:lang w:bidi="ar"/>
              </w:rPr>
            </w:pPr>
            <w:r>
              <w:rPr>
                <w:rFonts w:ascii="Times New Roman" w:hAnsi="Times New Roman" w:eastAsia="等线" w:cs="Times New Roman"/>
                <w:b/>
                <w:sz w:val="20"/>
                <w:szCs w:val="20"/>
                <w:lang w:bidi="ar"/>
              </w:rPr>
              <w:t>Assumptions for D1T1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rPr>
            </w:pPr>
            <w:r>
              <w:rPr>
                <w:rFonts w:ascii="Times New Roman" w:hAnsi="Times New Roman"/>
                <w:sz w:val="20"/>
                <w:szCs w:val="20"/>
                <w:lang w:bidi="ar"/>
              </w:rPr>
              <w:t>Scenario</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ascii="Times New Roman" w:hAnsi="Times New Roman"/>
                <w:sz w:val="20"/>
                <w:szCs w:val="20"/>
                <w:lang w:bidi="ar"/>
              </w:rPr>
              <w:t>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hint="eastAsia" w:ascii="Times New Roman" w:hAnsi="Times New Roman"/>
                <w:sz w:val="20"/>
                <w:szCs w:val="20"/>
                <w:lang w:bidi="ar"/>
              </w:rPr>
              <w:t>Pathloss model</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hint="eastAsia" w:ascii="Times New Roman" w:hAnsi="Times New Roman"/>
                <w:sz w:val="20"/>
                <w:szCs w:val="20"/>
                <w:lang w:bidi="ar"/>
              </w:rPr>
              <w:t>Both LOS and NLOS modeling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hint="eastAsia" w:ascii="Times New Roman" w:hAnsi="Times New Roman"/>
                <w:sz w:val="20"/>
                <w:szCs w:val="20"/>
                <w:lang w:bidi="ar"/>
              </w:rPr>
              <w:t>O2I penetration loss</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hint="eastAsia" w:ascii="Times New Roman" w:hAnsi="Times New Roman"/>
                <w:sz w:val="20"/>
                <w:szCs w:val="20"/>
                <w:lang w:bidi="ar"/>
              </w:rPr>
              <w:t>High penetration loss as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rPr>
            </w:pPr>
            <w:r>
              <w:rPr>
                <w:rFonts w:ascii="Times New Roman" w:hAnsi="Times New Roman"/>
                <w:sz w:val="20"/>
                <w:szCs w:val="20"/>
                <w:lang w:bidi="ar"/>
              </w:rPr>
              <w:t>Hall size</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eastAsia="等线"/>
                <w:sz w:val="20"/>
                <w:szCs w:val="20"/>
                <w:lang w:bidi="ar"/>
              </w:rPr>
            </w:pPr>
            <w:r>
              <w:rPr>
                <w:rFonts w:ascii="Times New Roman" w:hAnsi="Times New Roman" w:eastAsia="等线"/>
                <w:sz w:val="20"/>
                <w:szCs w:val="20"/>
                <w:lang w:bidi="ar"/>
              </w:rPr>
              <w:t>120x60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rPr>
            </w:pPr>
            <w:r>
              <w:rPr>
                <w:rFonts w:ascii="Times New Roman" w:hAnsi="Times New Roman"/>
                <w:sz w:val="20"/>
                <w:szCs w:val="20"/>
                <w:lang w:bidi="ar"/>
              </w:rPr>
              <w:t>Room height</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ascii="Times New Roman" w:hAnsi="Times New Roman"/>
                <w:sz w:val="20"/>
                <w:szCs w:val="20"/>
                <w:lang w:bidi="ar"/>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ascii="Times New Roman" w:hAnsi="Times New Roman"/>
                <w:sz w:val="20"/>
                <w:szCs w:val="20"/>
                <w:lang w:bidi="ar"/>
              </w:rPr>
              <w:t>Sectorization</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ascii="Times New Roman" w:hAnsi="Times New Roman"/>
                <w:sz w:val="20"/>
                <w:szCs w:val="20"/>
                <w:lang w:bidi="ar"/>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rPr>
            </w:pPr>
            <w:r>
              <w:rPr>
                <w:rFonts w:ascii="Times New Roman" w:hAnsi="Times New Roman"/>
                <w:sz w:val="20"/>
                <w:szCs w:val="20"/>
                <w:lang w:bidi="ar"/>
              </w:rPr>
              <w:t>AIOT reader deployment</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spacing w:line="250" w:lineRule="auto"/>
              <w:rPr>
                <w:rFonts w:ascii="Times New Roman" w:hAnsi="Times New Roman" w:eastAsia="等线"/>
                <w:sz w:val="20"/>
                <w:szCs w:val="20"/>
                <w:lang w:bidi="ar"/>
              </w:rPr>
            </w:pPr>
            <w:r>
              <w:rPr>
                <w:rFonts w:ascii="Times New Roman" w:hAnsi="Times New Roman" w:eastAsia="等线"/>
                <w:sz w:val="20"/>
                <w:szCs w:val="20"/>
                <w:lang w:bidi="ar"/>
              </w:rPr>
              <w:t>18 BSs on a square lattice with spacing D, located D/2 from the walls.</w:t>
            </w:r>
          </w:p>
          <w:p>
            <w:pPr>
              <w:snapToGrid w:val="0"/>
              <w:spacing w:line="250" w:lineRule="auto"/>
              <w:rPr>
                <w:rFonts w:ascii="Times New Roman" w:hAnsi="Times New Roman" w:eastAsia="等线"/>
                <w:sz w:val="20"/>
                <w:szCs w:val="20"/>
                <w:lang w:bidi="ar"/>
              </w:rPr>
            </w:pPr>
            <w:r>
              <w:rPr>
                <w:rFonts w:ascii="Times New Roman" w:hAnsi="Times New Roman" w:eastAsia="等线"/>
                <w:sz w:val="20"/>
                <w:szCs w:val="20"/>
                <w:lang w:bidi="ar"/>
              </w:rPr>
              <w:t>-L=120m x W=60m; D=20m</w:t>
            </w:r>
          </w:p>
          <w:p>
            <w:pPr>
              <w:snapToGrid w:val="0"/>
              <w:spacing w:line="250" w:lineRule="auto"/>
              <w:rPr>
                <w:rFonts w:ascii="Times New Roman" w:hAnsi="Times New Roman" w:eastAsia="等线"/>
                <w:sz w:val="20"/>
                <w:szCs w:val="20"/>
                <w:lang w:bidi="ar"/>
              </w:rPr>
            </w:pPr>
            <w:r>
              <w:rPr>
                <w:rFonts w:ascii="Times New Roman" w:hAnsi="Times New Roman" w:eastAsia="等线"/>
                <w:sz w:val="20"/>
                <w:szCs w:val="20"/>
                <w:lang w:bidi="ar"/>
              </w:rPr>
              <w:t>-BS height = 8 m</w:t>
            </w:r>
          </w:p>
          <w:p>
            <w:pPr>
              <w:snapToGrid w:val="0"/>
              <w:spacing w:line="250" w:lineRule="auto"/>
              <w:rPr>
                <w:rFonts w:ascii="Times New Roman" w:hAnsi="Times New Roman"/>
                <w:b/>
                <w:bCs/>
                <w:color w:val="000000"/>
                <w:sz w:val="20"/>
                <w:szCs w:val="20"/>
              </w:rPr>
            </w:pPr>
            <w:r>
              <w:rPr>
                <w:rFonts w:ascii="Times New Roman" w:hAnsi="Times New Roman" w:eastAsia="等线"/>
                <w:sz w:val="20"/>
                <w:szCs w:val="20"/>
                <w:lang w:bidi="ar"/>
              </w:rPr>
              <w:t xml:space="preserve"> </w:t>
            </w:r>
            <w:r>
              <w:rPr>
                <w:rFonts w:ascii="Times New Roman" w:hAnsi="Times New Roman" w:eastAsia="等线"/>
                <w:sz w:val="20"/>
                <w:szCs w:val="20"/>
                <w:lang w:bidi="ar"/>
              </w:rPr>
              <w:drawing>
                <wp:inline distT="0" distB="0" distL="0" distR="0">
                  <wp:extent cx="1450975" cy="782320"/>
                  <wp:effectExtent l="0" t="0" r="9525" b="5080"/>
                  <wp:docPr id="707808275" name="图片 19" descr="背景图案&#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808275" name="图片 19" descr="背景图案&#10;&#10;描述已自动生成"/>
                          <pic:cNvPicPr>
                            <a:picLocks noChangeAspect="1"/>
                          </pic:cNvPicPr>
                        </pic:nvPicPr>
                        <pic:blipFill>
                          <a:blip r:embed="rId6"/>
                          <a:stretch>
                            <a:fillRect/>
                          </a:stretch>
                        </pic:blipFill>
                        <pic:spPr>
                          <a:xfrm>
                            <a:off x="0" y="0"/>
                            <a:ext cx="1450975" cy="78232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lang w:bidi="ar"/>
              </w:rPr>
            </w:pPr>
            <w:r>
              <w:rPr>
                <w:rFonts w:ascii="Times New Roman" w:hAnsi="Times New Roman"/>
                <w:sz w:val="20"/>
                <w:szCs w:val="20"/>
                <w:lang w:bidi="ar"/>
              </w:rPr>
              <w:t xml:space="preserve">NR BS deployment </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spacing w:line="250" w:lineRule="auto"/>
              <w:rPr>
                <w:rFonts w:ascii="Times New Roman" w:hAnsi="Times New Roman" w:eastAsia="等线"/>
                <w:sz w:val="20"/>
                <w:szCs w:val="20"/>
                <w:lang w:bidi="ar"/>
              </w:rPr>
            </w:pPr>
            <w:r>
              <w:rPr>
                <w:rFonts w:ascii="Times New Roman" w:hAnsi="Times New Roman"/>
                <w:color w:val="000000"/>
                <w:sz w:val="20"/>
                <w:szCs w:val="20"/>
              </w:rPr>
              <w:t xml:space="preserve">When NR BS are outdoors: Hexagonal grid, 19 macro sites, 3 sectors per site with wrap around, </w:t>
            </w:r>
            <w:r>
              <w:rPr>
                <w:rFonts w:ascii="Times New Roman" w:hAnsi="Times New Roman" w:eastAsia="等线"/>
                <w:sz w:val="20"/>
                <w:szCs w:val="20"/>
                <w:lang w:bidi="ar"/>
              </w:rPr>
              <w:t>1 AIOT indoor scenario per sector</w:t>
            </w:r>
          </w:p>
          <w:p>
            <w:pPr>
              <w:pStyle w:val="15"/>
              <w:spacing w:before="0" w:beforeAutospacing="0" w:after="0" w:afterAutospacing="0" w:line="360" w:lineRule="auto"/>
              <w:rPr>
                <w:rFonts w:ascii="Times New Roman" w:hAnsi="Times New Roman" w:cs="Times New Roman"/>
                <w:color w:val="000000"/>
                <w:sz w:val="20"/>
                <w:szCs w:val="20"/>
              </w:rPr>
            </w:pPr>
            <w:r>
              <w:rPr>
                <w:rFonts w:ascii="Times New Roman" w:hAnsi="Times New Roman" w:cs="Times New Roman"/>
                <w:sz w:val="20"/>
                <w:szCs w:val="20"/>
              </w:rPr>
              <w:drawing>
                <wp:inline distT="0" distB="0" distL="0" distR="0">
                  <wp:extent cx="1950085" cy="1504950"/>
                  <wp:effectExtent l="0" t="0" r="5715" b="6350"/>
                  <wp:docPr id="155974526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745264" name="图片 1" descr="图示&#10;&#10;描述已自动生成"/>
                          <pic:cNvPicPr>
                            <a:picLocks noChangeAspect="1" noChangeArrowheads="1"/>
                          </pic:cNvPicPr>
                        </pic:nvPicPr>
                        <pic:blipFill>
                          <a:blip r:embed="rId7" cstate="print">
                            <a:duotone>
                              <a:schemeClr val="accent3">
                                <a:shade val="45000"/>
                                <a:satMod val="135000"/>
                              </a:schemeClr>
                              <a:prstClr val="white"/>
                            </a:duotone>
                            <a:extLst>
                              <a:ext uri="{BEBA8EAE-BF5A-486C-A8C5-ECC9F3942E4B}">
                                <a14:imgProps xmlns:a14="http://schemas.microsoft.com/office/drawing/2010/main">
                                  <a14:imgLayer r:embed="rId8">
                                    <a14:imgEffect>
                                      <a14:brightnessContrast bright="-20000" contrast="40000"/>
                                    </a14:imgEffect>
                                    <a14:imgEffect>
                                      <a14:saturation sat="0"/>
                                    </a14:imgEffect>
                                    <a14:imgEffect>
                                      <a14:sharpenSoften amount="50000"/>
                                    </a14:imgEffect>
                                  </a14:imgLayer>
                                </a14:imgProps>
                              </a:ext>
                              <a:ext uri="{28A0092B-C50C-407E-A947-70E740481C1C}">
                                <a14:useLocalDpi xmlns:a14="http://schemas.microsoft.com/office/drawing/2010/main" val="0"/>
                              </a:ext>
                            </a:extLst>
                          </a:blip>
                          <a:srcRect l="3724" t="2441" r="2014" b="9021"/>
                          <a:stretch>
                            <a:fillRect/>
                          </a:stretch>
                        </pic:blipFill>
                        <pic:spPr>
                          <a:xfrm>
                            <a:off x="0" y="0"/>
                            <a:ext cx="1965256" cy="1516650"/>
                          </a:xfrm>
                          <a:prstGeom prst="rect">
                            <a:avLst/>
                          </a:prstGeom>
                          <a:noFill/>
                          <a:ln>
                            <a:noFill/>
                          </a:ln>
                        </pic:spPr>
                      </pic:pic>
                    </a:graphicData>
                  </a:graphic>
                </wp:inline>
              </w:drawing>
            </w:r>
          </w:p>
          <w:p>
            <w:pPr>
              <w:pStyle w:val="15"/>
              <w:spacing w:before="0" w:beforeAutospacing="0" w:after="0" w:afterAutospacing="0" w:line="360" w:lineRule="auto"/>
              <w:rPr>
                <w:rFonts w:ascii="Times New Roman" w:hAnsi="Times New Roman" w:cs="Times New Roman"/>
                <w:color w:val="000000"/>
                <w:sz w:val="20"/>
                <w:szCs w:val="20"/>
              </w:rPr>
            </w:pPr>
            <w:r>
              <w:rPr>
                <w:rFonts w:ascii="Times New Roman" w:hAnsi="Times New Roman" w:cs="Times New Roman"/>
                <w:color w:val="000000"/>
                <w:sz w:val="20"/>
                <w:szCs w:val="20"/>
              </w:rPr>
              <w:t>When NR BS are indoors: reuse AIOT reader deployment</w:t>
            </w:r>
          </w:p>
          <w:p>
            <w:pPr>
              <w:pStyle w:val="15"/>
              <w:spacing w:before="0" w:beforeAutospacing="0" w:after="0" w:afterAutospacing="0" w:line="36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The minimum distance between macro NR BS and indoor reader is 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lang w:bidi="ar"/>
              </w:rPr>
            </w:pPr>
            <w:r>
              <w:rPr>
                <w:rFonts w:ascii="Times New Roman" w:hAnsi="Times New Roman"/>
                <w:sz w:val="20"/>
                <w:szCs w:val="20"/>
              </w:rPr>
              <w:t>NR BS Inter-site distance</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pStyle w:val="15"/>
              <w:spacing w:before="0" w:beforeAutospacing="0" w:after="0" w:afterAutospacing="0" w:line="360" w:lineRule="auto"/>
              <w:rPr>
                <w:rFonts w:ascii="Times New Roman" w:hAnsi="Times New Roman" w:cs="Times New Roman"/>
                <w:color w:val="000000"/>
                <w:sz w:val="20"/>
                <w:szCs w:val="20"/>
              </w:rPr>
            </w:pPr>
            <w:r>
              <w:rPr>
                <w:rFonts w:ascii="Times New Roman" w:hAnsi="Times New Roman" w:cs="Times New Roman"/>
                <w:color w:val="000000"/>
                <w:sz w:val="20"/>
                <w:szCs w:val="20"/>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eastAsia="Arial Unicode MS"/>
                <w:color w:val="000000"/>
                <w:sz w:val="20"/>
                <w:szCs w:val="20"/>
              </w:rPr>
            </w:pPr>
            <w:r>
              <w:rPr>
                <w:rFonts w:ascii="Times New Roman" w:hAnsi="Times New Roman" w:eastAsia="Arial Unicode MS"/>
                <w:color w:val="000000"/>
                <w:sz w:val="20"/>
                <w:szCs w:val="20"/>
              </w:rPr>
              <w:t>Minimum NR BS – NR UE distance (2D)</w:t>
            </w:r>
          </w:p>
        </w:tc>
        <w:tc>
          <w:tcPr>
            <w:tcW w:w="41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5"/>
              <w:spacing w:before="0" w:beforeAutospacing="0" w:after="0" w:afterAutospacing="0" w:line="360" w:lineRule="auto"/>
              <w:rPr>
                <w:rFonts w:ascii="Times New Roman" w:hAnsi="Times New Roman" w:cs="Times New Roman"/>
                <w:color w:val="000000"/>
                <w:sz w:val="20"/>
                <w:szCs w:val="20"/>
              </w:rPr>
            </w:pPr>
            <w:r>
              <w:rPr>
                <w:rFonts w:ascii="Times New Roman" w:hAnsi="Times New Roman" w:cs="Times New Roman"/>
                <w:color w:val="000000"/>
                <w:sz w:val="20"/>
                <w:szCs w:val="20"/>
              </w:rPr>
              <w:t>35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lang w:bidi="ar"/>
              </w:rPr>
            </w:pPr>
            <w:r>
              <w:rPr>
                <w:rFonts w:ascii="Times New Roman" w:hAnsi="Times New Roman"/>
                <w:sz w:val="20"/>
                <w:szCs w:val="20"/>
                <w:lang w:bidi="ar"/>
              </w:rPr>
              <w:t>NR UE (D1T1) dropping</w:t>
            </w:r>
          </w:p>
        </w:tc>
        <w:tc>
          <w:tcPr>
            <w:tcW w:w="411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after="160" w:line="249" w:lineRule="auto"/>
              <w:rPr>
                <w:rFonts w:ascii="Times New Roman" w:hAnsi="Times New Roman" w:eastAsia="等线"/>
                <w:sz w:val="20"/>
                <w:szCs w:val="20"/>
                <w:lang w:bidi="ar"/>
              </w:rPr>
            </w:pPr>
            <w:r>
              <w:rPr>
                <w:rFonts w:hint="eastAsia" w:ascii="Times New Roman" w:hAnsi="Times New Roman" w:eastAsia="等线"/>
                <w:sz w:val="20"/>
                <w:szCs w:val="20"/>
                <w:lang w:bidi="ar"/>
              </w:rPr>
              <w:t>Uniformly distributed outdoor, or,</w:t>
            </w:r>
          </w:p>
          <w:p>
            <w:pPr>
              <w:snapToGrid w:val="0"/>
              <w:spacing w:after="160" w:line="249" w:lineRule="auto"/>
              <w:rPr>
                <w:rFonts w:ascii="Times New Roman" w:hAnsi="Times New Roman" w:eastAsia="等线"/>
                <w:sz w:val="20"/>
                <w:szCs w:val="20"/>
                <w:lang w:bidi="ar"/>
              </w:rPr>
            </w:pPr>
            <w:r>
              <w:rPr>
                <w:rFonts w:hint="eastAsia" w:ascii="Times New Roman" w:hAnsi="Times New Roman" w:eastAsia="等线"/>
                <w:sz w:val="20"/>
                <w:szCs w:val="20"/>
                <w:lang w:bidi="ar"/>
              </w:rPr>
              <w:t>Uniformly distributed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rPr>
            </w:pPr>
            <w:r>
              <w:rPr>
                <w:rFonts w:ascii="Times New Roman" w:hAnsi="Times New Roman"/>
                <w:sz w:val="20"/>
                <w:szCs w:val="20"/>
                <w:lang w:bidi="ar"/>
              </w:rPr>
              <w:t xml:space="preserve">Device distribution </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156" w:beforeLines="50"/>
              <w:rPr>
                <w:rFonts w:ascii="Times New Roman" w:hAnsi="Times New Roman"/>
                <w:sz w:val="20"/>
                <w:szCs w:val="20"/>
                <w:lang w:bidi="ar"/>
              </w:rPr>
            </w:pPr>
            <w:r>
              <w:rPr>
                <w:rFonts w:ascii="Times New Roman" w:hAnsi="Times New Roman"/>
                <w:sz w:val="20"/>
                <w:szCs w:val="20"/>
                <w:lang w:bidi="ar"/>
              </w:rPr>
              <w:t>Device Height= 1.5 m</w:t>
            </w:r>
          </w:p>
          <w:p>
            <w:pPr>
              <w:adjustRightInd w:val="0"/>
              <w:snapToGrid w:val="0"/>
              <w:spacing w:before="156" w:beforeLines="50"/>
              <w:rPr>
                <w:rFonts w:hint="default" w:ascii="Times New Roman" w:hAnsi="Times New Roman" w:eastAsia="宋体"/>
                <w:sz w:val="20"/>
                <w:szCs w:val="20"/>
                <w:lang w:val="en-US" w:eastAsia="zh-CN" w:bidi="ar"/>
              </w:rPr>
            </w:pPr>
            <w:r>
              <w:rPr>
                <w:rFonts w:ascii="Times New Roman" w:hAnsi="Times New Roman"/>
                <w:sz w:val="20"/>
                <w:szCs w:val="20"/>
                <w:lang w:bidi="ar"/>
              </w:rPr>
              <w:t>AIoT devices drop uniformly distributed over the horizontal area</w:t>
            </w:r>
            <w:r>
              <w:rPr>
                <w:rFonts w:hint="eastAsia" w:ascii="Times New Roman" w:hAnsi="Times New Roman"/>
                <w:sz w:val="20"/>
                <w:szCs w:val="20"/>
                <w:lang w:val="en-US" w:eastAsia="zh-CN" w:bidi="ar"/>
              </w:rPr>
              <w:t xml:space="preserve"> with minimum [2m] distance between reader and device</w:t>
            </w:r>
          </w:p>
          <w:p>
            <w:pPr>
              <w:adjustRightInd w:val="0"/>
              <w:snapToGrid w:val="0"/>
              <w:spacing w:before="156" w:beforeLines="50"/>
              <w:rPr>
                <w:rFonts w:ascii="Times New Roman" w:hAnsi="Times New Roman"/>
                <w:sz w:val="20"/>
                <w:szCs w:val="20"/>
                <w:lang w:bidi="ar"/>
              </w:rPr>
            </w:pPr>
            <w:r>
              <w:rPr>
                <w:rFonts w:ascii="Times New Roman" w:hAnsi="Times New Roman"/>
                <w:sz w:val="20"/>
                <w:szCs w:val="20"/>
                <w:lang w:bidi="ar"/>
              </w:rPr>
              <w:t>Number of A-IoTs</w:t>
            </w:r>
            <w:r>
              <w:rPr>
                <w:rFonts w:hint="eastAsia" w:ascii="Times New Roman" w:hAnsi="Times New Roman"/>
                <w:sz w:val="20"/>
                <w:szCs w:val="20"/>
                <w:lang w:bidi="ar"/>
              </w:rPr>
              <w:t xml:space="preserve"> devices</w:t>
            </w:r>
            <w:r>
              <w:rPr>
                <w:rFonts w:ascii="Times New Roman" w:hAnsi="Times New Roman"/>
                <w:sz w:val="20"/>
                <w:szCs w:val="20"/>
                <w:lang w:bidi="ar"/>
              </w:rPr>
              <w:t xml:space="preserve"> = Total area × activated density (1.5 A-IOT devices/m²)</w:t>
            </w:r>
          </w:p>
          <w:p>
            <w:pPr>
              <w:adjustRightInd w:val="0"/>
              <w:snapToGrid w:val="0"/>
              <w:spacing w:before="156" w:beforeLines="50"/>
              <w:rPr>
                <w:rFonts w:ascii="Times New Roman" w:hAnsi="Times New Roman"/>
                <w:sz w:val="20"/>
                <w:szCs w:val="20"/>
                <w:lang w:bidi="ar"/>
              </w:rPr>
            </w:pPr>
            <w:r>
              <w:rPr>
                <w:rFonts w:hint="eastAsia" w:ascii="Times New Roman" w:hAnsi="Times New Roman"/>
                <w:sz w:val="20"/>
                <w:szCs w:val="20"/>
                <w:lang w:bidi="ar"/>
              </w:rPr>
              <w:t>one reader serve one device at one drop</w:t>
            </w:r>
          </w:p>
        </w:tc>
      </w:tr>
    </w:tbl>
    <w:p>
      <w:pPr>
        <w:tabs>
          <w:tab w:val="left" w:pos="720"/>
        </w:tabs>
        <w:spacing w:after="156" w:afterLines="50"/>
        <w:rPr>
          <w:rFonts w:ascii="Times New Roman" w:hAnsi="Times New Roman"/>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15: it</w:t>
      </w:r>
      <w:r>
        <w:rPr>
          <w:rFonts w:ascii="Times New Roman" w:hAnsi="Times New Roman"/>
          <w:b/>
          <w:bCs/>
          <w:sz w:val="20"/>
          <w:szCs w:val="20"/>
        </w:rPr>
        <w:t>’</w:t>
      </w:r>
      <w:r>
        <w:rPr>
          <w:rFonts w:hint="eastAsia" w:ascii="Times New Roman" w:hAnsi="Times New Roman"/>
          <w:b/>
          <w:bCs/>
          <w:sz w:val="20"/>
          <w:szCs w:val="20"/>
        </w:rPr>
        <w:t>s suggested to use the parameters in above table for D1T1 layout. Compared with RAN1 agreements, we have following additional assumption</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Penetration loss modeling</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the minimum distance between macro NR BS and indoor reader</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lang w:val="en-US" w:eastAsia="zh-CN"/>
        </w:rPr>
        <w:t>Minimum distance between reader and device</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NR UE dropping</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lang w:bidi="ar"/>
        </w:rPr>
        <w:t>Devices distribution</w:t>
      </w:r>
    </w:p>
    <w:p>
      <w:pPr>
        <w:tabs>
          <w:tab w:val="left" w:pos="720"/>
        </w:tabs>
        <w:spacing w:after="156" w:afterLines="50"/>
        <w:rPr>
          <w:rFonts w:ascii="Times New Roman" w:hAnsi="Times New Roman"/>
          <w:sz w:val="20"/>
          <w:szCs w:val="20"/>
        </w:rPr>
      </w:pPr>
      <w:r>
        <w:rPr>
          <w:rFonts w:hint="eastAsia" w:ascii="Times New Roman" w:hAnsi="Times New Roman"/>
          <w:sz w:val="20"/>
          <w:szCs w:val="20"/>
        </w:rPr>
        <w:t>RAN1 agreements for D2T2 layout is listed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ascii="Times New Roman" w:hAnsi="Times New Roman"/>
                <w:sz w:val="20"/>
                <w:szCs w:val="20"/>
                <w:lang w:val="en-GB" w:eastAsia="en-GB"/>
              </w:rPr>
            </w:pPr>
            <w:r>
              <w:rPr>
                <w:rFonts w:ascii="Times New Roman" w:hAnsi="Times New Roman"/>
                <w:sz w:val="20"/>
                <w:szCs w:val="20"/>
                <w:lang w:val="en-GB" w:eastAsia="en-GB"/>
              </w:rPr>
              <w:t>For D2T2,</w:t>
            </w:r>
          </w:p>
          <w:p>
            <w:pPr>
              <w:pStyle w:val="26"/>
              <w:numPr>
                <w:ilvl w:val="0"/>
                <w:numId w:val="8"/>
              </w:numPr>
              <w:spacing w:before="120" w:line="280" w:lineRule="atLeast"/>
              <w:ind w:firstLine="400"/>
              <w:rPr>
                <w:rFonts w:ascii="Times New Roman" w:hAnsi="Times New Roman"/>
                <w:sz w:val="20"/>
                <w:szCs w:val="20"/>
                <w:lang w:val="en-GB" w:eastAsia="en-GB"/>
              </w:rPr>
            </w:pPr>
            <w:r>
              <w:rPr>
                <w:rFonts w:ascii="Times New Roman" w:hAnsi="Times New Roman"/>
                <w:sz w:val="20"/>
                <w:szCs w:val="20"/>
                <w:lang w:val="en-GB" w:eastAsia="en-GB"/>
              </w:rPr>
              <w:t>InF-DL and InH-Office model defined in TR38.901is used as pathloss model in coverage evaluation,</w:t>
            </w:r>
          </w:p>
          <w:p>
            <w:pPr>
              <w:pStyle w:val="26"/>
              <w:numPr>
                <w:ilvl w:val="1"/>
                <w:numId w:val="8"/>
              </w:numPr>
              <w:spacing w:before="120" w:line="280" w:lineRule="atLeast"/>
              <w:ind w:firstLine="400"/>
              <w:rPr>
                <w:rFonts w:ascii="Times New Roman" w:hAnsi="Times New Roman"/>
                <w:sz w:val="20"/>
                <w:szCs w:val="20"/>
                <w:lang w:val="en-GB" w:eastAsia="en-GB"/>
              </w:rPr>
            </w:pPr>
            <w:r>
              <w:rPr>
                <w:rFonts w:ascii="Times New Roman" w:hAnsi="Times New Roman"/>
                <w:sz w:val="20"/>
                <w:szCs w:val="20"/>
                <w:lang w:val="en-GB" w:eastAsia="en-GB"/>
              </w:rPr>
              <w:t>NLOS for D2R and R2D links if InF-DL is used</w:t>
            </w:r>
          </w:p>
          <w:p>
            <w:pPr>
              <w:pStyle w:val="26"/>
              <w:numPr>
                <w:ilvl w:val="1"/>
                <w:numId w:val="8"/>
              </w:numPr>
              <w:spacing w:before="120" w:line="280" w:lineRule="atLeast"/>
              <w:ind w:firstLine="400"/>
              <w:rPr>
                <w:rFonts w:ascii="Times New Roman" w:hAnsi="Times New Roman"/>
                <w:b/>
                <w:bCs/>
                <w:sz w:val="20"/>
                <w:szCs w:val="20"/>
                <w:lang w:val="en-GB" w:eastAsia="en-GB"/>
              </w:rPr>
            </w:pPr>
            <w:r>
              <w:rPr>
                <w:rFonts w:ascii="Times New Roman" w:hAnsi="Times New Roman"/>
                <w:sz w:val="20"/>
                <w:szCs w:val="20"/>
                <w:lang w:val="en-GB" w:eastAsia="en-GB"/>
              </w:rPr>
              <w:t>LOS for D2R and R2D links if InH-Office is used</w:t>
            </w:r>
          </w:p>
        </w:tc>
      </w:tr>
    </w:tbl>
    <w:p>
      <w:pPr>
        <w:tabs>
          <w:tab w:val="left" w:pos="720"/>
        </w:tabs>
        <w:spacing w:after="156" w:afterLines="50"/>
        <w:rPr>
          <w:rFonts w:ascii="Times New Roman" w:hAnsi="Times New Roman"/>
          <w:sz w:val="20"/>
          <w:szCs w:val="20"/>
        </w:rPr>
      </w:pPr>
      <w:r>
        <w:rPr>
          <w:rFonts w:hint="eastAsia" w:ascii="Times New Roman" w:hAnsi="Times New Roman"/>
          <w:sz w:val="20"/>
          <w:szCs w:val="20"/>
        </w:rPr>
        <w:t>In RAN4 co-existence simulation, to simplify final statistics, it</w:t>
      </w:r>
      <w:r>
        <w:rPr>
          <w:rFonts w:ascii="Times New Roman" w:hAnsi="Times New Roman"/>
          <w:sz w:val="20"/>
          <w:szCs w:val="20"/>
        </w:rPr>
        <w:t>’</w:t>
      </w:r>
      <w:r>
        <w:rPr>
          <w:rFonts w:hint="eastAsia" w:ascii="Times New Roman" w:hAnsi="Times New Roman"/>
          <w:sz w:val="20"/>
          <w:szCs w:val="20"/>
        </w:rPr>
        <w:t>s better to use one individual scenario for both LOS and NLOS modeling. But in RAN1 coverage evaluation, it</w:t>
      </w:r>
      <w:r>
        <w:rPr>
          <w:rFonts w:ascii="Times New Roman" w:hAnsi="Times New Roman"/>
          <w:sz w:val="20"/>
          <w:szCs w:val="20"/>
        </w:rPr>
        <w:t>’</w:t>
      </w:r>
      <w:r>
        <w:rPr>
          <w:rFonts w:hint="eastAsia" w:ascii="Times New Roman" w:hAnsi="Times New Roman"/>
          <w:sz w:val="20"/>
          <w:szCs w:val="20"/>
        </w:rPr>
        <w:t>s much flexible to use different scenario for LOS or NLOS. In RAN4, It</w:t>
      </w:r>
      <w:r>
        <w:rPr>
          <w:rFonts w:ascii="Times New Roman" w:hAnsi="Times New Roman"/>
          <w:sz w:val="20"/>
          <w:szCs w:val="20"/>
        </w:rPr>
        <w:t>’</w:t>
      </w:r>
      <w:r>
        <w:rPr>
          <w:rFonts w:hint="eastAsia" w:ascii="Times New Roman" w:hAnsi="Times New Roman"/>
          <w:sz w:val="20"/>
          <w:szCs w:val="20"/>
        </w:rPr>
        <w:t>s suggested to choose one scenario for baseline and the other scenario as optional. Our suggestion is that InH-office as baseline and InF-DL as optional.</w:t>
      </w:r>
    </w:p>
    <w:tbl>
      <w:tblPr>
        <w:tblStyle w:val="17"/>
        <w:tblW w:w="36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7"/>
        <w:gridCol w:w="2750"/>
        <w:gridCol w:w="2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D9D9D9"/>
            <w:vAlign w:val="center"/>
          </w:tcPr>
          <w:p>
            <w:pPr>
              <w:pStyle w:val="15"/>
              <w:snapToGrid w:val="0"/>
              <w:spacing w:beforeAutospacing="0" w:afterAutospacing="0"/>
              <w:jc w:val="both"/>
              <w:rPr>
                <w:rFonts w:ascii="Times New Roman" w:hAnsi="Times New Roman" w:cs="Times New Roman"/>
                <w:sz w:val="20"/>
                <w:szCs w:val="20"/>
              </w:rPr>
            </w:pPr>
            <w:r>
              <w:rPr>
                <w:rFonts w:ascii="Times New Roman" w:hAnsi="Times New Roman" w:eastAsia="等线" w:cs="Times New Roman"/>
                <w:b/>
                <w:sz w:val="20"/>
                <w:szCs w:val="20"/>
                <w:lang w:bidi="ar"/>
              </w:rPr>
              <w:t>Parameter</w:t>
            </w:r>
          </w:p>
        </w:tc>
        <w:tc>
          <w:tcPr>
            <w:tcW w:w="3816" w:type="pct"/>
            <w:gridSpan w:val="2"/>
            <w:tcBorders>
              <w:top w:val="single" w:color="auto" w:sz="4" w:space="0"/>
              <w:left w:val="single" w:color="auto" w:sz="4" w:space="0"/>
              <w:bottom w:val="single" w:color="auto" w:sz="4" w:space="0"/>
              <w:right w:val="single" w:color="auto" w:sz="4" w:space="0"/>
            </w:tcBorders>
            <w:shd w:val="clear" w:color="auto" w:fill="D9D9D9"/>
          </w:tcPr>
          <w:p>
            <w:pPr>
              <w:pStyle w:val="15"/>
              <w:snapToGrid w:val="0"/>
              <w:spacing w:beforeAutospacing="0" w:afterAutospacing="0"/>
              <w:jc w:val="both"/>
              <w:rPr>
                <w:rFonts w:ascii="Times New Roman" w:hAnsi="Times New Roman" w:eastAsia="等线" w:cs="Times New Roman"/>
                <w:b/>
                <w:sz w:val="20"/>
                <w:szCs w:val="20"/>
                <w:lang w:bidi="ar"/>
              </w:rPr>
            </w:pPr>
            <w:r>
              <w:rPr>
                <w:rFonts w:ascii="Times New Roman" w:hAnsi="Times New Roman" w:eastAsia="等线" w:cs="Times New Roman"/>
                <w:b/>
                <w:sz w:val="20"/>
                <w:szCs w:val="20"/>
                <w:lang w:bidi="ar"/>
              </w:rPr>
              <w:t>Assumptions for D2T2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rPr>
            </w:pPr>
            <w:r>
              <w:rPr>
                <w:rFonts w:ascii="Times New Roman" w:hAnsi="Times New Roman"/>
                <w:sz w:val="20"/>
                <w:szCs w:val="20"/>
                <w:lang w:bidi="ar"/>
              </w:rPr>
              <w:t>Scenario</w:t>
            </w:r>
          </w:p>
        </w:tc>
        <w:tc>
          <w:tcPr>
            <w:tcW w:w="190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ascii="Times New Roman" w:hAnsi="Times New Roman"/>
                <w:sz w:val="20"/>
                <w:szCs w:val="20"/>
                <w:lang w:bidi="ar"/>
              </w:rPr>
              <w:t>InH-office</w:t>
            </w:r>
            <w:r>
              <w:rPr>
                <w:rFonts w:hint="eastAsia" w:ascii="Times New Roman" w:hAnsi="Times New Roman"/>
                <w:sz w:val="20"/>
                <w:szCs w:val="20"/>
                <w:lang w:bidi="ar"/>
              </w:rPr>
              <w:t xml:space="preserve"> (baseline)</w:t>
            </w:r>
          </w:p>
        </w:tc>
        <w:tc>
          <w:tcPr>
            <w:tcW w:w="1908" w:type="pct"/>
            <w:tcBorders>
              <w:top w:val="single" w:color="auto" w:sz="4" w:space="0"/>
              <w:left w:val="single" w:color="auto" w:sz="4" w:space="0"/>
              <w:bottom w:val="single" w:color="auto" w:sz="4" w:space="0"/>
              <w:right w:val="single" w:color="auto" w:sz="4" w:space="0"/>
            </w:tcBorders>
          </w:tcPr>
          <w:p>
            <w:pPr>
              <w:snapToGrid w:val="0"/>
              <w:rPr>
                <w:rFonts w:ascii="Times New Roman" w:hAnsi="Times New Roman"/>
                <w:sz w:val="20"/>
                <w:szCs w:val="20"/>
                <w:lang w:bidi="ar"/>
              </w:rPr>
            </w:pPr>
            <w:r>
              <w:rPr>
                <w:rFonts w:ascii="Times New Roman" w:hAnsi="Times New Roman"/>
                <w:sz w:val="20"/>
                <w:szCs w:val="20"/>
                <w:lang w:bidi="ar"/>
              </w:rPr>
              <w:t>InF-DL</w:t>
            </w:r>
            <w:r>
              <w:rPr>
                <w:rFonts w:hint="eastAsia" w:ascii="Times New Roman" w:hAnsi="Times New Roman"/>
                <w:sz w:val="20"/>
                <w:szCs w:val="20"/>
                <w:lang w:bidi="ar"/>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rPr>
            </w:pPr>
            <w:r>
              <w:rPr>
                <w:rFonts w:ascii="Times New Roman" w:hAnsi="Times New Roman"/>
                <w:sz w:val="20"/>
                <w:szCs w:val="20"/>
                <w:lang w:bidi="ar"/>
              </w:rPr>
              <w:t>Hall size</w:t>
            </w:r>
          </w:p>
        </w:tc>
        <w:tc>
          <w:tcPr>
            <w:tcW w:w="190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eastAsia="等线"/>
                <w:sz w:val="20"/>
                <w:szCs w:val="20"/>
                <w:lang w:bidi="ar"/>
              </w:rPr>
            </w:pPr>
            <w:r>
              <w:rPr>
                <w:rFonts w:ascii="Times New Roman" w:hAnsi="Times New Roman" w:eastAsia="等线"/>
                <w:sz w:val="20"/>
                <w:szCs w:val="20"/>
                <w:lang w:bidi="ar"/>
              </w:rPr>
              <w:t>120 x50 m</w:t>
            </w:r>
          </w:p>
        </w:tc>
        <w:tc>
          <w:tcPr>
            <w:tcW w:w="1908" w:type="pct"/>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等线"/>
                <w:sz w:val="20"/>
                <w:szCs w:val="20"/>
                <w:lang w:bidi="ar"/>
              </w:rPr>
            </w:pPr>
            <w:r>
              <w:rPr>
                <w:rFonts w:ascii="Times New Roman" w:hAnsi="Times New Roman" w:eastAsia="等线"/>
                <w:sz w:val="20"/>
                <w:szCs w:val="20"/>
                <w:lang w:bidi="ar"/>
              </w:rPr>
              <w:t>300x150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rPr>
            </w:pPr>
            <w:r>
              <w:rPr>
                <w:rFonts w:ascii="Times New Roman" w:hAnsi="Times New Roman"/>
                <w:sz w:val="20"/>
                <w:szCs w:val="20"/>
                <w:lang w:bidi="ar"/>
              </w:rPr>
              <w:t>Room height</w:t>
            </w:r>
          </w:p>
        </w:tc>
        <w:tc>
          <w:tcPr>
            <w:tcW w:w="190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ascii="Times New Roman" w:hAnsi="Times New Roman"/>
                <w:sz w:val="20"/>
                <w:szCs w:val="20"/>
                <w:lang w:bidi="ar"/>
              </w:rPr>
              <w:t>3m</w:t>
            </w:r>
          </w:p>
        </w:tc>
        <w:tc>
          <w:tcPr>
            <w:tcW w:w="1908" w:type="pct"/>
            <w:tcBorders>
              <w:top w:val="single" w:color="auto" w:sz="4" w:space="0"/>
              <w:left w:val="single" w:color="auto" w:sz="4" w:space="0"/>
              <w:bottom w:val="single" w:color="auto" w:sz="4" w:space="0"/>
              <w:right w:val="single" w:color="auto" w:sz="4" w:space="0"/>
            </w:tcBorders>
          </w:tcPr>
          <w:p>
            <w:pPr>
              <w:snapToGrid w:val="0"/>
              <w:rPr>
                <w:rFonts w:ascii="Times New Roman" w:hAnsi="Times New Roman"/>
                <w:sz w:val="20"/>
                <w:szCs w:val="20"/>
                <w:lang w:bidi="ar"/>
              </w:rPr>
            </w:pPr>
            <w:r>
              <w:rPr>
                <w:rFonts w:ascii="Times New Roman" w:hAnsi="Times New Roman"/>
                <w:sz w:val="20"/>
                <w:szCs w:val="20"/>
                <w:lang w:bidi="ar"/>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lang w:bidi="ar"/>
              </w:rPr>
            </w:pPr>
            <w:r>
              <w:rPr>
                <w:rFonts w:ascii="Times New Roman" w:hAnsi="Times New Roman"/>
                <w:sz w:val="20"/>
                <w:szCs w:val="20"/>
                <w:lang w:bidi="ar"/>
              </w:rPr>
              <w:t>Intermediate UE(D2T2) dropping</w:t>
            </w:r>
          </w:p>
        </w:tc>
        <w:tc>
          <w:tcPr>
            <w:tcW w:w="190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rPr>
            </w:pPr>
            <w:r>
              <w:rPr>
                <w:rFonts w:ascii="Times New Roman" w:hAnsi="Times New Roman"/>
                <w:sz w:val="20"/>
                <w:szCs w:val="20"/>
              </w:rPr>
              <w:t xml:space="preserve">12 </w:t>
            </w:r>
            <w:r>
              <w:rPr>
                <w:rFonts w:hint="eastAsia" w:ascii="Times New Roman" w:hAnsi="Times New Roman"/>
                <w:sz w:val="20"/>
                <w:szCs w:val="20"/>
              </w:rPr>
              <w:t xml:space="preserve">intermediate </w:t>
            </w:r>
            <w:r>
              <w:rPr>
                <w:rFonts w:ascii="Times New Roman" w:hAnsi="Times New Roman"/>
                <w:sz w:val="20"/>
                <w:szCs w:val="20"/>
              </w:rPr>
              <w:t>UEs are distributed uniformly</w:t>
            </w:r>
          </w:p>
          <w:p>
            <w:pPr>
              <w:pStyle w:val="26"/>
              <w:numPr>
                <w:ilvl w:val="0"/>
                <w:numId w:val="11"/>
              </w:numPr>
              <w:snapToGrid w:val="0"/>
              <w:ind w:firstLineChars="0"/>
              <w:rPr>
                <w:rFonts w:ascii="Times New Roman" w:hAnsi="Times New Roman" w:eastAsia="等线"/>
                <w:sz w:val="20"/>
                <w:szCs w:val="20"/>
                <w:lang w:bidi="ar"/>
              </w:rPr>
            </w:pPr>
            <w:r>
              <w:rPr>
                <w:rFonts w:ascii="Times New Roman" w:hAnsi="Times New Roman" w:eastAsia="等线"/>
                <w:sz w:val="20"/>
                <w:szCs w:val="20"/>
                <w:lang w:bidi="ar"/>
              </w:rPr>
              <w:t xml:space="preserve">L=120m x W=50m; D=20m </w:t>
            </w:r>
          </w:p>
          <w:p>
            <w:pPr>
              <w:pStyle w:val="26"/>
              <w:numPr>
                <w:ilvl w:val="0"/>
                <w:numId w:val="11"/>
              </w:numPr>
              <w:snapToGrid w:val="0"/>
              <w:ind w:firstLineChars="0"/>
              <w:rPr>
                <w:rFonts w:ascii="Times New Roman" w:hAnsi="Times New Roman" w:eastAsia="等线"/>
                <w:sz w:val="20"/>
                <w:szCs w:val="20"/>
                <w:lang w:bidi="ar"/>
              </w:rPr>
            </w:pPr>
            <w:r>
              <w:rPr>
                <w:rFonts w:ascii="Times New Roman" w:hAnsi="Times New Roman" w:eastAsia="等线"/>
                <w:sz w:val="20"/>
                <w:szCs w:val="20"/>
                <w:lang w:bidi="ar"/>
              </w:rPr>
              <w:t xml:space="preserve">UE height = 1.5m </w:t>
            </w:r>
          </w:p>
          <w:p>
            <w:pPr>
              <w:snapToGrid w:val="0"/>
              <w:rPr>
                <w:rFonts w:ascii="Times New Roman" w:hAnsi="Times New Roman" w:eastAsia="等线"/>
                <w:sz w:val="20"/>
                <w:szCs w:val="20"/>
                <w:lang w:bidi="ar"/>
              </w:rPr>
            </w:pPr>
            <w:r>
              <w:rPr>
                <w:rFonts w:ascii="Times New Roman" w:hAnsi="Times New Roman"/>
                <w:sz w:val="20"/>
                <w:szCs w:val="20"/>
              </w:rPr>
              <w:drawing>
                <wp:inline distT="0" distB="0" distL="0" distR="0">
                  <wp:extent cx="1316990" cy="777875"/>
                  <wp:effectExtent l="0" t="0" r="3810" b="9525"/>
                  <wp:docPr id="1920189179" name="Picture 4"/>
                  <wp:cNvGraphicFramePr/>
                  <a:graphic xmlns:a="http://schemas.openxmlformats.org/drawingml/2006/main">
                    <a:graphicData uri="http://schemas.openxmlformats.org/drawingml/2006/picture">
                      <pic:pic xmlns:pic="http://schemas.openxmlformats.org/drawingml/2006/picture">
                        <pic:nvPicPr>
                          <pic:cNvPr id="1920189179" name="Picture 4"/>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5171" cy="788650"/>
                          </a:xfrm>
                          <a:prstGeom prst="rect">
                            <a:avLst/>
                          </a:prstGeom>
                          <a:noFill/>
                          <a:ln>
                            <a:noFill/>
                          </a:ln>
                        </pic:spPr>
                      </pic:pic>
                    </a:graphicData>
                  </a:graphic>
                </wp:inline>
              </w:drawing>
            </w:r>
          </w:p>
          <w:p>
            <w:pPr>
              <w:snapToGrid w:val="0"/>
              <w:rPr>
                <w:rFonts w:ascii="Times New Roman" w:hAnsi="Times New Roman"/>
                <w:sz w:val="20"/>
                <w:szCs w:val="20"/>
                <w:lang w:bidi="ar"/>
              </w:rPr>
            </w:pPr>
          </w:p>
        </w:tc>
        <w:tc>
          <w:tcPr>
            <w:tcW w:w="1908" w:type="pct"/>
            <w:tcBorders>
              <w:top w:val="single" w:color="auto" w:sz="4" w:space="0"/>
              <w:left w:val="single" w:color="auto" w:sz="4" w:space="0"/>
              <w:bottom w:val="single" w:color="auto" w:sz="4" w:space="0"/>
              <w:right w:val="single" w:color="auto" w:sz="4" w:space="0"/>
            </w:tcBorders>
          </w:tcPr>
          <w:p>
            <w:pPr>
              <w:snapToGrid w:val="0"/>
              <w:rPr>
                <w:rFonts w:ascii="Times New Roman" w:hAnsi="Times New Roman"/>
                <w:sz w:val="20"/>
                <w:szCs w:val="20"/>
              </w:rPr>
            </w:pPr>
            <w:r>
              <w:rPr>
                <w:rFonts w:ascii="Times New Roman" w:hAnsi="Times New Roman"/>
                <w:sz w:val="20"/>
                <w:szCs w:val="20"/>
              </w:rPr>
              <w:t xml:space="preserve">18 </w:t>
            </w:r>
            <w:r>
              <w:rPr>
                <w:rFonts w:hint="eastAsia" w:ascii="Times New Roman" w:hAnsi="Times New Roman"/>
                <w:sz w:val="20"/>
                <w:szCs w:val="20"/>
              </w:rPr>
              <w:t xml:space="preserve">intermediate </w:t>
            </w:r>
            <w:r>
              <w:rPr>
                <w:rFonts w:ascii="Times New Roman" w:hAnsi="Times New Roman"/>
                <w:sz w:val="20"/>
                <w:szCs w:val="20"/>
              </w:rPr>
              <w:t>UEs are distributed uniformly</w:t>
            </w:r>
          </w:p>
          <w:p>
            <w:pPr>
              <w:pStyle w:val="15"/>
              <w:numPr>
                <w:ilvl w:val="0"/>
                <w:numId w:val="11"/>
              </w:numPr>
              <w:snapToGrid w:val="0"/>
              <w:spacing w:before="0" w:beforeAutospacing="0" w:after="0" w:afterAutospacing="0"/>
              <w:ind w:left="442" w:hanging="442"/>
              <w:jc w:val="both"/>
              <w:rPr>
                <w:rFonts w:ascii="Times New Roman" w:hAnsi="Times New Roman" w:eastAsia="等线" w:cs="Times New Roman"/>
                <w:sz w:val="20"/>
                <w:szCs w:val="20"/>
                <w:lang w:bidi="ar"/>
              </w:rPr>
            </w:pPr>
            <w:r>
              <w:rPr>
                <w:rFonts w:ascii="Times New Roman" w:hAnsi="Times New Roman" w:eastAsia="等线" w:cs="Times New Roman"/>
                <w:sz w:val="20"/>
                <w:szCs w:val="20"/>
                <w:lang w:bidi="ar"/>
              </w:rPr>
              <w:t>L=300m x W=150m; D=50m</w:t>
            </w:r>
          </w:p>
          <w:p>
            <w:pPr>
              <w:pStyle w:val="15"/>
              <w:numPr>
                <w:ilvl w:val="0"/>
                <w:numId w:val="11"/>
              </w:numPr>
              <w:snapToGrid w:val="0"/>
              <w:spacing w:before="0" w:beforeAutospacing="0" w:after="0" w:afterAutospacing="0"/>
              <w:ind w:left="442" w:hanging="442"/>
              <w:jc w:val="both"/>
              <w:rPr>
                <w:rFonts w:ascii="Times New Roman" w:hAnsi="Times New Roman" w:eastAsia="等线" w:cs="Times New Roman"/>
                <w:sz w:val="20"/>
                <w:szCs w:val="20"/>
                <w:lang w:bidi="ar"/>
              </w:rPr>
            </w:pPr>
            <w:r>
              <w:rPr>
                <w:rFonts w:ascii="Times New Roman" w:hAnsi="Times New Roman" w:eastAsia="等线" w:cs="Times New Roman"/>
                <w:sz w:val="20"/>
                <w:szCs w:val="20"/>
                <w:lang w:bidi="ar"/>
              </w:rPr>
              <w:t xml:space="preserve">UE height = 1.5 m </w:t>
            </w:r>
          </w:p>
          <w:p>
            <w:pPr>
              <w:snapToGrid w:val="0"/>
              <w:rPr>
                <w:rFonts w:ascii="Times New Roman" w:hAnsi="Times New Roman"/>
                <w:sz w:val="20"/>
                <w:szCs w:val="20"/>
                <w:lang w:bidi="ar"/>
              </w:rPr>
            </w:pPr>
            <w:r>
              <w:rPr>
                <w:rFonts w:ascii="Times New Roman" w:hAnsi="Times New Roman"/>
                <w:sz w:val="20"/>
                <w:szCs w:val="20"/>
                <w:lang w:bidi="ar"/>
              </w:rPr>
              <w:drawing>
                <wp:inline distT="0" distB="0" distL="0" distR="0">
                  <wp:extent cx="1450975" cy="782320"/>
                  <wp:effectExtent l="0" t="0" r="9525" b="5080"/>
                  <wp:docPr id="19820621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6214" name="图片 19"/>
                          <pic:cNvPicPr>
                            <a:picLocks noChangeAspect="1"/>
                          </pic:cNvPicPr>
                        </pic:nvPicPr>
                        <pic:blipFill>
                          <a:blip r:embed="rId6"/>
                          <a:stretch>
                            <a:fillRect/>
                          </a:stretch>
                        </pic:blipFill>
                        <pic:spPr>
                          <a:xfrm>
                            <a:off x="0" y="0"/>
                            <a:ext cx="1450975" cy="78232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hint="eastAsia" w:ascii="Times New Roman" w:hAnsi="Times New Roman"/>
                <w:sz w:val="20"/>
                <w:szCs w:val="20"/>
                <w:lang w:bidi="ar"/>
              </w:rPr>
              <w:t>O2I penetration loss</w:t>
            </w:r>
          </w:p>
        </w:tc>
        <w:tc>
          <w:tcPr>
            <w:tcW w:w="3816" w:type="pct"/>
            <w:gridSpan w:val="2"/>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hint="eastAsia" w:ascii="Times New Roman" w:hAnsi="Times New Roman"/>
                <w:sz w:val="20"/>
                <w:szCs w:val="20"/>
                <w:lang w:bidi="ar"/>
              </w:rPr>
              <w:t>High penetration loss as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rPr>
            </w:pPr>
            <w:r>
              <w:rPr>
                <w:rFonts w:ascii="Times New Roman" w:hAnsi="Times New Roman"/>
                <w:sz w:val="20"/>
                <w:szCs w:val="20"/>
                <w:lang w:bidi="ar"/>
              </w:rPr>
              <w:t>NR BS deployment</w:t>
            </w:r>
          </w:p>
        </w:tc>
        <w:tc>
          <w:tcPr>
            <w:tcW w:w="38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50" w:lineRule="auto"/>
              <w:rPr>
                <w:rFonts w:ascii="Times New Roman" w:hAnsi="Times New Roman" w:eastAsia="等线"/>
                <w:sz w:val="20"/>
                <w:szCs w:val="20"/>
                <w:lang w:bidi="ar"/>
              </w:rPr>
            </w:pPr>
            <w:r>
              <w:rPr>
                <w:rFonts w:ascii="Times New Roman" w:hAnsi="Times New Roman" w:eastAsia="等线"/>
                <w:sz w:val="20"/>
                <w:szCs w:val="20"/>
                <w:lang w:bidi="ar"/>
              </w:rPr>
              <w:t>hexagonal grid, 7 macro sites, 3 sectors per site with wrap around, 1 AIOT indoor scenario per sector</w:t>
            </w:r>
          </w:p>
          <w:p>
            <w:pPr>
              <w:jc w:val="center"/>
              <w:rPr>
                <w:rFonts w:ascii="Times New Roman" w:hAnsi="Times New Roman"/>
                <w:sz w:val="20"/>
                <w:szCs w:val="20"/>
              </w:rPr>
            </w:pPr>
            <w:r>
              <w:rPr>
                <w:rFonts w:ascii="Times New Roman" w:hAnsi="Times New Roman"/>
                <w:sz w:val="20"/>
                <w:szCs w:val="20"/>
              </w:rPr>
              <w:drawing>
                <wp:inline distT="0" distB="0" distL="0" distR="0">
                  <wp:extent cx="1950085" cy="1504950"/>
                  <wp:effectExtent l="0" t="0" r="5715" b="6350"/>
                  <wp:docPr id="208629034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90343" name="图片 1" descr="图示&#10;&#10;描述已自动生成"/>
                          <pic:cNvPicPr>
                            <a:picLocks noChangeAspect="1" noChangeArrowheads="1"/>
                          </pic:cNvPicPr>
                        </pic:nvPicPr>
                        <pic:blipFill>
                          <a:blip r:embed="rId7" cstate="print">
                            <a:duotone>
                              <a:schemeClr val="accent3">
                                <a:shade val="45000"/>
                                <a:satMod val="135000"/>
                              </a:schemeClr>
                              <a:prstClr val="white"/>
                            </a:duotone>
                            <a:extLst>
                              <a:ext uri="{BEBA8EAE-BF5A-486C-A8C5-ECC9F3942E4B}">
                                <a14:imgProps xmlns:a14="http://schemas.microsoft.com/office/drawing/2010/main">
                                  <a14:imgLayer r:embed="rId8">
                                    <a14:imgEffect>
                                      <a14:brightnessContrast bright="-20000" contrast="40000"/>
                                    </a14:imgEffect>
                                    <a14:imgEffect>
                                      <a14:saturation sat="0"/>
                                    </a14:imgEffect>
                                    <a14:imgEffect>
                                      <a14:sharpenSoften amount="50000"/>
                                    </a14:imgEffect>
                                  </a14:imgLayer>
                                </a14:imgProps>
                              </a:ext>
                              <a:ext uri="{28A0092B-C50C-407E-A947-70E740481C1C}">
                                <a14:useLocalDpi xmlns:a14="http://schemas.microsoft.com/office/drawing/2010/main" val="0"/>
                              </a:ext>
                            </a:extLst>
                          </a:blip>
                          <a:srcRect l="3724" t="2441" r="2014" b="9021"/>
                          <a:stretch>
                            <a:fillRect/>
                          </a:stretch>
                        </pic:blipFill>
                        <pic:spPr>
                          <a:xfrm>
                            <a:off x="0" y="0"/>
                            <a:ext cx="1965256" cy="1516650"/>
                          </a:xfrm>
                          <a:prstGeom prst="rect">
                            <a:avLst/>
                          </a:prstGeom>
                          <a:noFill/>
                          <a:ln>
                            <a:noFill/>
                          </a:ln>
                        </pic:spPr>
                      </pic:pic>
                    </a:graphicData>
                  </a:graphic>
                </wp:inline>
              </w:drawing>
            </w:r>
          </w:p>
          <w:p>
            <w:pPr>
              <w:jc w:val="center"/>
              <w:rPr>
                <w:rFonts w:hint="eastAsia" w:ascii="Times New Roman" w:hAnsi="Times New Roman"/>
                <w:color w:val="000000"/>
                <w:sz w:val="20"/>
                <w:szCs w:val="20"/>
              </w:rPr>
            </w:pPr>
            <w:r>
              <w:rPr>
                <w:rFonts w:hint="eastAsia" w:ascii="Times New Roman" w:hAnsi="Times New Roman"/>
                <w:color w:val="000000"/>
                <w:sz w:val="20"/>
                <w:szCs w:val="20"/>
              </w:rPr>
              <w:t>The minimum distance between macro NR BS and indoor reader is 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lang w:bidi="ar"/>
              </w:rPr>
            </w:pPr>
            <w:r>
              <w:rPr>
                <w:rFonts w:ascii="Times New Roman" w:hAnsi="Times New Roman"/>
                <w:sz w:val="20"/>
                <w:szCs w:val="20"/>
                <w:lang w:bidi="ar"/>
              </w:rPr>
              <w:t>Intermediate UE height</w:t>
            </w:r>
          </w:p>
        </w:tc>
        <w:tc>
          <w:tcPr>
            <w:tcW w:w="38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50" w:lineRule="auto"/>
              <w:rPr>
                <w:rFonts w:ascii="Times New Roman" w:hAnsi="Times New Roman" w:eastAsia="等线"/>
                <w:sz w:val="20"/>
                <w:szCs w:val="20"/>
                <w:lang w:bidi="ar"/>
              </w:rPr>
            </w:pPr>
            <w:r>
              <w:rPr>
                <w:rFonts w:ascii="Times New Roman" w:hAnsi="Times New Roman" w:eastAsia="等线"/>
                <w:sz w:val="20"/>
                <w:szCs w:val="20"/>
                <w:lang w:bidi="ar"/>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lang w:bidi="ar"/>
              </w:rPr>
            </w:pPr>
            <w:r>
              <w:rPr>
                <w:rFonts w:ascii="Times New Roman" w:hAnsi="Times New Roman"/>
                <w:sz w:val="20"/>
                <w:szCs w:val="20"/>
                <w:lang w:bidi="ar"/>
              </w:rPr>
              <w:t>NR UE  dropping</w:t>
            </w:r>
          </w:p>
        </w:tc>
        <w:tc>
          <w:tcPr>
            <w:tcW w:w="3816" w:type="pct"/>
            <w:gridSpan w:val="2"/>
            <w:tcBorders>
              <w:top w:val="single" w:color="auto" w:sz="4" w:space="0"/>
              <w:left w:val="single" w:color="auto" w:sz="4" w:space="0"/>
              <w:bottom w:val="single" w:color="auto" w:sz="4" w:space="0"/>
              <w:right w:val="single" w:color="auto" w:sz="4" w:space="0"/>
            </w:tcBorders>
            <w:vAlign w:val="center"/>
          </w:tcPr>
          <w:p>
            <w:pPr>
              <w:snapToGrid w:val="0"/>
              <w:spacing w:after="160" w:line="249" w:lineRule="auto"/>
              <w:rPr>
                <w:rFonts w:ascii="Times New Roman" w:hAnsi="Times New Roman" w:eastAsia="等线"/>
                <w:sz w:val="20"/>
                <w:szCs w:val="20"/>
                <w:lang w:bidi="ar"/>
              </w:rPr>
            </w:pPr>
            <w:r>
              <w:rPr>
                <w:rFonts w:hint="eastAsia" w:ascii="Times New Roman" w:hAnsi="Times New Roman" w:eastAsia="等线"/>
                <w:sz w:val="20"/>
                <w:szCs w:val="20"/>
                <w:lang w:bidi="ar"/>
              </w:rPr>
              <w:t>Uniformly distributed outdoor, or,</w:t>
            </w:r>
          </w:p>
          <w:p>
            <w:pPr>
              <w:snapToGrid w:val="0"/>
              <w:rPr>
                <w:rFonts w:ascii="Times New Roman" w:hAnsi="Times New Roman"/>
                <w:sz w:val="20"/>
                <w:szCs w:val="20"/>
                <w:lang w:bidi="ar"/>
              </w:rPr>
            </w:pPr>
            <w:r>
              <w:rPr>
                <w:rFonts w:hint="eastAsia" w:ascii="Times New Roman" w:hAnsi="Times New Roman" w:eastAsia="等线"/>
                <w:sz w:val="20"/>
                <w:szCs w:val="20"/>
                <w:lang w:bidi="ar"/>
              </w:rPr>
              <w:t>Uniformly distributed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rPr>
            </w:pPr>
            <w:r>
              <w:rPr>
                <w:rFonts w:ascii="Times New Roman" w:hAnsi="Times New Roman"/>
                <w:sz w:val="20"/>
                <w:szCs w:val="20"/>
                <w:lang w:bidi="ar"/>
              </w:rPr>
              <w:t xml:space="preserve">Device distribution </w:t>
            </w:r>
          </w:p>
        </w:tc>
        <w:tc>
          <w:tcPr>
            <w:tcW w:w="3816" w:type="pct"/>
            <w:gridSpan w:val="2"/>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156" w:beforeLines="50"/>
              <w:rPr>
                <w:rFonts w:ascii="Times New Roman" w:hAnsi="Times New Roman"/>
                <w:sz w:val="20"/>
                <w:szCs w:val="20"/>
                <w:lang w:bidi="ar"/>
              </w:rPr>
            </w:pPr>
            <w:r>
              <w:rPr>
                <w:rFonts w:ascii="Times New Roman" w:hAnsi="Times New Roman"/>
                <w:sz w:val="20"/>
                <w:szCs w:val="20"/>
                <w:lang w:bidi="ar"/>
              </w:rPr>
              <w:t>Device Height= 1.5 m</w:t>
            </w:r>
          </w:p>
          <w:p>
            <w:pPr>
              <w:adjustRightInd w:val="0"/>
              <w:snapToGrid w:val="0"/>
              <w:spacing w:before="156" w:beforeLines="50"/>
              <w:rPr>
                <w:rFonts w:hint="default" w:ascii="Times New Roman" w:hAnsi="Times New Roman" w:eastAsia="宋体"/>
                <w:sz w:val="20"/>
                <w:szCs w:val="20"/>
                <w:lang w:val="en-US" w:eastAsia="zh-CN" w:bidi="ar"/>
              </w:rPr>
            </w:pPr>
            <w:r>
              <w:rPr>
                <w:rFonts w:ascii="Times New Roman" w:hAnsi="Times New Roman"/>
                <w:sz w:val="20"/>
                <w:szCs w:val="20"/>
                <w:lang w:bidi="ar"/>
              </w:rPr>
              <w:t>AIoT devices drop uniformly distributed over the horizontal area</w:t>
            </w:r>
            <w:r>
              <w:rPr>
                <w:rFonts w:hint="eastAsia" w:ascii="Times New Roman" w:hAnsi="Times New Roman"/>
                <w:sz w:val="20"/>
                <w:szCs w:val="20"/>
                <w:lang w:val="en-US" w:eastAsia="zh-CN" w:bidi="ar"/>
              </w:rPr>
              <w:t xml:space="preserve"> with minimum [2m] distance between reader and device</w:t>
            </w:r>
          </w:p>
          <w:p>
            <w:pPr>
              <w:adjustRightInd w:val="0"/>
              <w:snapToGrid w:val="0"/>
              <w:spacing w:before="156" w:beforeLines="50"/>
              <w:rPr>
                <w:rFonts w:ascii="Times New Roman" w:hAnsi="Times New Roman"/>
                <w:sz w:val="20"/>
                <w:szCs w:val="20"/>
                <w:lang w:bidi="ar"/>
              </w:rPr>
            </w:pPr>
            <w:r>
              <w:rPr>
                <w:rFonts w:ascii="Times New Roman" w:hAnsi="Times New Roman"/>
                <w:sz w:val="20"/>
                <w:szCs w:val="20"/>
                <w:lang w:bidi="ar"/>
              </w:rPr>
              <w:t>Number of A-IoTs</w:t>
            </w:r>
            <w:r>
              <w:rPr>
                <w:rFonts w:hint="eastAsia" w:ascii="Times New Roman" w:hAnsi="Times New Roman"/>
                <w:sz w:val="20"/>
                <w:szCs w:val="20"/>
                <w:lang w:bidi="ar"/>
              </w:rPr>
              <w:t xml:space="preserve"> devices</w:t>
            </w:r>
            <w:r>
              <w:rPr>
                <w:rFonts w:ascii="Times New Roman" w:hAnsi="Times New Roman"/>
                <w:sz w:val="20"/>
                <w:szCs w:val="20"/>
                <w:lang w:bidi="ar"/>
              </w:rPr>
              <w:t xml:space="preserve"> = Total area × activated density (1.5 A-IOT devices/m²)</w:t>
            </w:r>
          </w:p>
          <w:p>
            <w:pPr>
              <w:adjustRightInd w:val="0"/>
              <w:snapToGrid w:val="0"/>
              <w:spacing w:before="156" w:beforeLines="50"/>
              <w:rPr>
                <w:rFonts w:hint="eastAsia" w:ascii="Times New Roman" w:hAnsi="Times New Roman"/>
                <w:sz w:val="20"/>
                <w:szCs w:val="20"/>
                <w:lang w:bidi="ar"/>
              </w:rPr>
            </w:pPr>
            <w:r>
              <w:rPr>
                <w:rFonts w:hint="eastAsia" w:ascii="Times New Roman" w:hAnsi="Times New Roman"/>
                <w:sz w:val="20"/>
                <w:szCs w:val="20"/>
                <w:lang w:bidi="ar"/>
              </w:rPr>
              <w:t>one reader serve one device at one drop</w:t>
            </w:r>
          </w:p>
        </w:tc>
      </w:tr>
    </w:tbl>
    <w:p>
      <w:pPr>
        <w:tabs>
          <w:tab w:val="left" w:pos="720"/>
        </w:tabs>
        <w:spacing w:after="156" w:afterLines="50"/>
        <w:rPr>
          <w:rFonts w:ascii="Times New Roman" w:hAnsi="Times New Roman"/>
          <w:b/>
          <w:bCs/>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16: it</w:t>
      </w:r>
      <w:r>
        <w:rPr>
          <w:rFonts w:ascii="Times New Roman" w:hAnsi="Times New Roman"/>
          <w:b/>
          <w:bCs/>
          <w:sz w:val="20"/>
          <w:szCs w:val="20"/>
        </w:rPr>
        <w:t>’</w:t>
      </w:r>
      <w:r>
        <w:rPr>
          <w:rFonts w:hint="eastAsia" w:ascii="Times New Roman" w:hAnsi="Times New Roman"/>
          <w:b/>
          <w:bCs/>
          <w:sz w:val="20"/>
          <w:szCs w:val="20"/>
        </w:rPr>
        <w:t>s suggested to use the parameters in above table for D2T2 layout. Compared with RAN1, we have following update.</w:t>
      </w:r>
    </w:p>
    <w:p>
      <w:pPr>
        <w:numPr>
          <w:ilvl w:val="0"/>
          <w:numId w:val="12"/>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InH-office as baseline and InF-DL as optional</w:t>
      </w:r>
    </w:p>
    <w:p>
      <w:pPr>
        <w:numPr>
          <w:ilvl w:val="0"/>
          <w:numId w:val="12"/>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Intermediate UE dropping</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Penetration loss modeling</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the minimum distance between macro NR BS and indoor reader</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lang w:val="en-US" w:eastAsia="zh-CN"/>
        </w:rPr>
        <w:t>The minimum distance between reader and device</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NR UE dropping</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lang w:bidi="ar"/>
        </w:rPr>
        <w:t>Devices distribution</w:t>
      </w:r>
    </w:p>
    <w:p>
      <w:pPr>
        <w:pStyle w:val="5"/>
      </w:pPr>
      <w:r>
        <w:rPr>
          <w:rFonts w:hint="eastAsia"/>
        </w:rPr>
        <w:t>2.2.6 gNB/UE/device parameters</w:t>
      </w:r>
    </w:p>
    <w:p>
      <w:pPr>
        <w:numPr>
          <w:ilvl w:val="0"/>
          <w:numId w:val="13"/>
        </w:numPr>
        <w:rPr>
          <w:rFonts w:ascii="Times New Roman" w:hAnsi="Times New Roman"/>
          <w:sz w:val="20"/>
          <w:szCs w:val="20"/>
        </w:rPr>
      </w:pPr>
      <w:r>
        <w:rPr>
          <w:rFonts w:ascii="Times New Roman" w:hAnsi="Times New Roman"/>
          <w:sz w:val="20"/>
          <w:szCs w:val="20"/>
        </w:rPr>
        <w:t>AIOT micro-BS parameters for D1T1</w:t>
      </w:r>
    </w:p>
    <w:tbl>
      <w:tblPr>
        <w:tblStyle w:val="45"/>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7"/>
        <w:gridCol w:w="3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957" w:type="dxa"/>
          </w:tcPr>
          <w:p>
            <w:pPr>
              <w:rPr>
                <w:rFonts w:ascii="Times New Roman" w:hAnsi="Times New Roman"/>
                <w:b/>
                <w:bCs/>
                <w:sz w:val="20"/>
                <w:szCs w:val="20"/>
              </w:rPr>
            </w:pPr>
            <w:r>
              <w:rPr>
                <w:rFonts w:ascii="Times New Roman" w:hAnsi="Times New Roman"/>
                <w:b/>
                <w:bCs/>
                <w:sz w:val="20"/>
                <w:szCs w:val="20"/>
              </w:rPr>
              <w:t>A-IoT micro BS parameters</w:t>
            </w:r>
          </w:p>
        </w:tc>
        <w:tc>
          <w:tcPr>
            <w:tcW w:w="3123" w:type="dxa"/>
          </w:tcPr>
          <w:p>
            <w:pPr>
              <w:rPr>
                <w:rFonts w:ascii="Times New Roman" w:hAnsi="Times New Roman"/>
                <w:b/>
                <w:bCs/>
                <w:sz w:val="20"/>
                <w:szCs w:val="20"/>
              </w:rPr>
            </w:pPr>
            <w:r>
              <w:rPr>
                <w:rFonts w:ascii="Times New Roman" w:hAnsi="Times New Roman" w:eastAsia="Yu Mincho"/>
                <w:b/>
                <w:bCs/>
                <w:sz w:val="20"/>
                <w:szCs w:val="20"/>
              </w:rPr>
              <w:t>Recommended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4957" w:type="dxa"/>
          </w:tcPr>
          <w:p>
            <w:pPr>
              <w:rPr>
                <w:rFonts w:ascii="Times New Roman" w:hAnsi="Times New Roman"/>
                <w:sz w:val="20"/>
                <w:szCs w:val="20"/>
              </w:rPr>
            </w:pPr>
            <w:r>
              <w:rPr>
                <w:rFonts w:ascii="Times New Roman" w:hAnsi="Times New Roman"/>
                <w:sz w:val="20"/>
                <w:szCs w:val="20"/>
              </w:rPr>
              <w:t>A-IoT micro-BS total Tx power</w:t>
            </w:r>
          </w:p>
        </w:tc>
        <w:tc>
          <w:tcPr>
            <w:tcW w:w="312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sz w:val="20"/>
                <w:szCs w:val="20"/>
              </w:rPr>
              <w:t>33dBm</w:t>
            </w:r>
            <w:r>
              <w:rPr>
                <w:rFonts w:ascii="Times New Roman" w:hAnsi="Times New Roman" w:eastAsia="Yu Mincho"/>
                <w:sz w:val="20"/>
                <w:szCs w:val="20"/>
              </w:rPr>
              <w:t xml:space="preserve"> baseline</w:t>
            </w:r>
          </w:p>
          <w:p>
            <w:pPr>
              <w:rPr>
                <w:rFonts w:ascii="Times New Roman" w:hAnsi="Times New Roman"/>
                <w:sz w:val="20"/>
                <w:szCs w:val="20"/>
              </w:rPr>
            </w:pPr>
            <w:r>
              <w:rPr>
                <w:rFonts w:ascii="Times New Roman" w:hAnsi="Times New Roman"/>
                <w:sz w:val="20"/>
                <w:szCs w:val="20"/>
              </w:rPr>
              <w:t>38 dBm</w:t>
            </w:r>
            <w:r>
              <w:rPr>
                <w:rFonts w:ascii="Times New Roman" w:hAnsi="Times New Roman" w:eastAsia="Yu Mincho"/>
                <w:sz w:val="20"/>
                <w:szCs w:val="20"/>
              </w:rPr>
              <w:t xml:space="preserve">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4957" w:type="dxa"/>
          </w:tcPr>
          <w:p>
            <w:pPr>
              <w:rPr>
                <w:rFonts w:ascii="Times New Roman" w:hAnsi="Times New Roman"/>
                <w:sz w:val="20"/>
                <w:szCs w:val="20"/>
              </w:rPr>
            </w:pPr>
            <w:r>
              <w:rPr>
                <w:rFonts w:hint="eastAsia" w:ascii="Times New Roman" w:hAnsi="Times New Roman"/>
                <w:sz w:val="20"/>
                <w:szCs w:val="20"/>
              </w:rPr>
              <w:t>Transmission bandwidth</w:t>
            </w:r>
          </w:p>
        </w:tc>
        <w:tc>
          <w:tcPr>
            <w:tcW w:w="3123" w:type="dxa"/>
          </w:tcPr>
          <w:p>
            <w:pPr>
              <w:rPr>
                <w:rFonts w:ascii="Times New Roman" w:hAnsi="Times New Roman"/>
                <w:sz w:val="20"/>
                <w:szCs w:val="20"/>
              </w:rPr>
            </w:pPr>
            <w:r>
              <w:rPr>
                <w:rFonts w:hint="eastAsia" w:ascii="Times New Roman" w:hAnsi="Times New Roman"/>
                <w:sz w:val="20"/>
                <w:szCs w:val="20"/>
              </w:rPr>
              <w:t>180kHz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4957" w:type="dxa"/>
          </w:tcPr>
          <w:p>
            <w:pPr>
              <w:rPr>
                <w:rFonts w:ascii="Times New Roman" w:hAnsi="Times New Roman"/>
                <w:sz w:val="20"/>
                <w:szCs w:val="20"/>
              </w:rPr>
            </w:pPr>
            <w:r>
              <w:rPr>
                <w:rFonts w:ascii="Times New Roman" w:hAnsi="Times New Roman"/>
                <w:sz w:val="20"/>
                <w:szCs w:val="20"/>
              </w:rPr>
              <w:t>A-IoT micro-BS receiver Noise Figure（dB）</w:t>
            </w:r>
          </w:p>
        </w:tc>
        <w:tc>
          <w:tcPr>
            <w:tcW w:w="3123" w:type="dxa"/>
          </w:tcPr>
          <w:p>
            <w:pPr>
              <w:rPr>
                <w:rFonts w:ascii="Times New Roman" w:hAnsi="Times New Roman"/>
                <w:sz w:val="20"/>
                <w:szCs w:val="20"/>
              </w:rPr>
            </w:pPr>
            <w:r>
              <w:rPr>
                <w:rFonts w:ascii="Times New Roman" w:hAnsi="Times New Roman"/>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4957" w:type="dxa"/>
          </w:tcPr>
          <w:p>
            <w:pPr>
              <w:rPr>
                <w:rFonts w:ascii="Times New Roman" w:hAnsi="Times New Roman"/>
                <w:sz w:val="20"/>
                <w:szCs w:val="20"/>
              </w:rPr>
            </w:pPr>
            <w:r>
              <w:rPr>
                <w:rFonts w:ascii="Times New Roman" w:hAnsi="Times New Roman"/>
                <w:sz w:val="20"/>
                <w:szCs w:val="20"/>
              </w:rPr>
              <w:t>A-IoT micro-BS antenna gain including feeder loss (dBi)</w:t>
            </w:r>
          </w:p>
        </w:tc>
        <w:tc>
          <w:tcPr>
            <w:tcW w:w="3123" w:type="dxa"/>
          </w:tcPr>
          <w:p>
            <w:pPr>
              <w:overflowPunct/>
              <w:autoSpaceDE/>
              <w:autoSpaceDN/>
              <w:adjustRightInd/>
              <w:textAlignment w:val="auto"/>
              <w:rPr>
                <w:rFonts w:ascii="Times New Roman" w:hAnsi="Times New Roman" w:eastAsia="Yu Mincho"/>
                <w:sz w:val="20"/>
                <w:szCs w:val="20"/>
              </w:rPr>
            </w:pPr>
            <w:r>
              <w:rPr>
                <w:rFonts w:hint="eastAsia" w:ascii="Times New Roman" w:hAnsi="Times New Roman"/>
                <w:sz w:val="20"/>
                <w:szCs w:val="20"/>
              </w:rPr>
              <w:t>6dBi and 2dBi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957"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Antenna configuration</w:t>
            </w:r>
          </w:p>
        </w:tc>
        <w:tc>
          <w:tcPr>
            <w:tcW w:w="312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2 antenna elements</w:t>
            </w:r>
            <w:r>
              <w:rPr>
                <w:rFonts w:hint="eastAsia" w:ascii="Times New Roman" w:hAnsi="Times New Roman" w:eastAsia="Yu Mincho"/>
                <w:sz w:val="20"/>
                <w:szCs w:val="20"/>
              </w:rPr>
              <w:t xml:space="preserve"> as baseline</w:t>
            </w:r>
            <w:r>
              <w:rPr>
                <w:rFonts w:ascii="Times New Roman" w:hAnsi="Times New Roman" w:eastAsia="Yu Mincho"/>
                <w:sz w:val="20"/>
                <w:szCs w:val="20"/>
              </w:rPr>
              <w:t>, with (M,N,P,Mg,Ng) = (1,1,2,1,1)</w:t>
            </w:r>
            <w:r>
              <w:rPr>
                <w:rFonts w:hint="eastAsia" w:ascii="Times New Roman" w:hAnsi="Times New Roman" w:eastAsia="Yu Mincho"/>
                <w:sz w:val="20"/>
                <w:szCs w:val="20"/>
              </w:rPr>
              <w:t xml:space="preserve">, </w:t>
            </w:r>
          </w:p>
          <w:p>
            <w:pPr>
              <w:overflowPunct w:val="0"/>
              <w:autoSpaceDE w:val="0"/>
              <w:autoSpaceDN w:val="0"/>
              <w:adjustRightInd w:val="0"/>
              <w:textAlignment w:val="baseline"/>
              <w:rPr>
                <w:rFonts w:ascii="Times New Roman" w:hAnsi="Times New Roman" w:eastAsia="Yu Mincho"/>
                <w:sz w:val="20"/>
                <w:szCs w:val="20"/>
              </w:rPr>
            </w:pPr>
            <w:r>
              <w:rPr>
                <w:rFonts w:hint="eastAsia" w:ascii="Times New Roman" w:hAnsi="Times New Roman" w:eastAsia="Yu Mincho"/>
                <w:sz w:val="20"/>
                <w:szCs w:val="20"/>
              </w:rPr>
              <w:t>FFS: antenna pattern</w:t>
            </w:r>
          </w:p>
        </w:tc>
      </w:tr>
    </w:tbl>
    <w:p>
      <w:pPr>
        <w:spacing w:after="156" w:afterLines="50"/>
        <w:rPr>
          <w:rFonts w:ascii="Times New Roman" w:hAnsi="Times New Roman"/>
          <w:b/>
          <w:bCs/>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17: it</w:t>
      </w:r>
      <w:r>
        <w:rPr>
          <w:rFonts w:ascii="Times New Roman" w:hAnsi="Times New Roman"/>
          <w:b/>
          <w:bCs/>
          <w:sz w:val="20"/>
          <w:szCs w:val="20"/>
        </w:rPr>
        <w:t>’</w:t>
      </w:r>
      <w:r>
        <w:rPr>
          <w:rFonts w:hint="eastAsia" w:ascii="Times New Roman" w:hAnsi="Times New Roman"/>
          <w:b/>
          <w:bCs/>
          <w:sz w:val="20"/>
          <w:szCs w:val="20"/>
        </w:rPr>
        <w:t xml:space="preserve">s suggested to use value in above table for AIoT micro-BS.  </w:t>
      </w:r>
    </w:p>
    <w:p>
      <w:pPr>
        <w:spacing w:after="156" w:afterLines="50"/>
        <w:rPr>
          <w:rFonts w:ascii="Times New Roman" w:hAnsi="Times New Roman"/>
          <w:sz w:val="20"/>
          <w:szCs w:val="20"/>
        </w:rPr>
      </w:pPr>
    </w:p>
    <w:p>
      <w:pPr>
        <w:numPr>
          <w:ilvl w:val="0"/>
          <w:numId w:val="13"/>
        </w:numPr>
        <w:rPr>
          <w:rFonts w:ascii="Times New Roman" w:hAnsi="Times New Roman"/>
          <w:sz w:val="20"/>
          <w:szCs w:val="20"/>
        </w:rPr>
      </w:pPr>
      <w:r>
        <w:rPr>
          <w:rFonts w:hint="eastAsia" w:ascii="Times New Roman" w:hAnsi="Times New Roman"/>
          <w:sz w:val="20"/>
          <w:szCs w:val="20"/>
        </w:rPr>
        <w:t>Intermediate UE</w:t>
      </w:r>
      <w:r>
        <w:rPr>
          <w:rFonts w:ascii="Times New Roman" w:hAnsi="Times New Roman"/>
          <w:sz w:val="20"/>
          <w:szCs w:val="20"/>
        </w:rPr>
        <w:t xml:space="preserve"> parameters for D</w:t>
      </w:r>
      <w:r>
        <w:rPr>
          <w:rFonts w:hint="eastAsia" w:ascii="Times New Roman" w:hAnsi="Times New Roman"/>
          <w:sz w:val="20"/>
          <w:szCs w:val="20"/>
        </w:rPr>
        <w:t>2</w:t>
      </w:r>
      <w:r>
        <w:rPr>
          <w:rFonts w:ascii="Times New Roman" w:hAnsi="Times New Roman"/>
          <w:sz w:val="20"/>
          <w:szCs w:val="20"/>
        </w:rPr>
        <w:t>T</w:t>
      </w:r>
      <w:r>
        <w:rPr>
          <w:rFonts w:hint="eastAsia" w:ascii="Times New Roman" w:hAnsi="Times New Roman"/>
          <w:sz w:val="20"/>
          <w:szCs w:val="20"/>
        </w:rPr>
        <w:t>2</w:t>
      </w:r>
    </w:p>
    <w:tbl>
      <w:tblPr>
        <w:tblStyle w:val="45"/>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7"/>
        <w:gridCol w:w="3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957" w:type="dxa"/>
          </w:tcPr>
          <w:p>
            <w:pPr>
              <w:rPr>
                <w:rFonts w:ascii="Times New Roman" w:hAnsi="Times New Roman"/>
                <w:b/>
                <w:bCs/>
                <w:sz w:val="20"/>
                <w:szCs w:val="20"/>
              </w:rPr>
            </w:pPr>
            <w:r>
              <w:rPr>
                <w:rFonts w:ascii="Times New Roman" w:hAnsi="Times New Roman"/>
                <w:b/>
                <w:bCs/>
                <w:sz w:val="20"/>
                <w:szCs w:val="20"/>
              </w:rPr>
              <w:t>Intermediate UE parameters</w:t>
            </w:r>
          </w:p>
        </w:tc>
        <w:tc>
          <w:tcPr>
            <w:tcW w:w="3123" w:type="dxa"/>
          </w:tcPr>
          <w:p>
            <w:pPr>
              <w:rPr>
                <w:rFonts w:ascii="Times New Roman" w:hAnsi="Times New Roman"/>
                <w:b/>
                <w:bCs/>
                <w:sz w:val="20"/>
                <w:szCs w:val="20"/>
              </w:rPr>
            </w:pPr>
            <w:r>
              <w:rPr>
                <w:rFonts w:ascii="Times New Roman" w:hAnsi="Times New Roman" w:eastAsia="Yu Mincho"/>
                <w:b/>
                <w:bCs/>
                <w:sz w:val="20"/>
                <w:szCs w:val="20"/>
              </w:rPr>
              <w:t>Recommended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4957" w:type="dxa"/>
          </w:tcPr>
          <w:p>
            <w:pPr>
              <w:rPr>
                <w:rFonts w:ascii="Times New Roman" w:hAnsi="Times New Roman"/>
                <w:sz w:val="20"/>
                <w:szCs w:val="20"/>
              </w:rPr>
            </w:pPr>
            <w:r>
              <w:rPr>
                <w:rFonts w:ascii="Times New Roman" w:hAnsi="Times New Roman"/>
                <w:sz w:val="20"/>
                <w:szCs w:val="20"/>
              </w:rPr>
              <w:t>intermediate UE total Tx power（dBm）</w:t>
            </w:r>
          </w:p>
        </w:tc>
        <w:tc>
          <w:tcPr>
            <w:tcW w:w="312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sz w:val="20"/>
                <w:szCs w:val="20"/>
              </w:rPr>
              <w:t>23</w:t>
            </w:r>
            <w:r>
              <w:rPr>
                <w:rFonts w:ascii="Times New Roman" w:hAnsi="Times New Roman" w:eastAsia="Yu Mincho"/>
                <w:sz w:val="20"/>
                <w:szCs w:val="20"/>
              </w:rPr>
              <w:t>dBm baseline</w:t>
            </w:r>
          </w:p>
          <w:p>
            <w:pPr>
              <w:rPr>
                <w:rFonts w:ascii="Times New Roman" w:hAnsi="Times New Roman"/>
                <w:sz w:val="20"/>
                <w:szCs w:val="20"/>
              </w:rPr>
            </w:pPr>
            <w:r>
              <w:rPr>
                <w:rFonts w:ascii="Times New Roman" w:hAnsi="Times New Roman" w:eastAsia="Yu Mincho"/>
                <w:sz w:val="20"/>
                <w:szCs w:val="20"/>
              </w:rPr>
              <w:t xml:space="preserve">26dBm </w:t>
            </w:r>
            <w:r>
              <w:rPr>
                <w:rFonts w:hint="eastAsia" w:ascii="Times New Roman" w:hAnsi="Times New Roman" w:eastAsia="Yu Mincho"/>
                <w:sz w:val="20"/>
                <w:szCs w:val="20"/>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4957" w:type="dxa"/>
          </w:tcPr>
          <w:p>
            <w:pPr>
              <w:rPr>
                <w:rFonts w:ascii="Times New Roman" w:hAnsi="Times New Roman"/>
                <w:sz w:val="20"/>
                <w:szCs w:val="20"/>
              </w:rPr>
            </w:pPr>
            <w:r>
              <w:rPr>
                <w:rFonts w:ascii="Times New Roman" w:hAnsi="Times New Roman"/>
                <w:sz w:val="20"/>
                <w:szCs w:val="20"/>
              </w:rPr>
              <w:t>gain of antenna intermediate UE including feeder loss (dBi)</w:t>
            </w:r>
          </w:p>
        </w:tc>
        <w:tc>
          <w:tcPr>
            <w:tcW w:w="3123" w:type="dxa"/>
          </w:tcPr>
          <w:p>
            <w:pPr>
              <w:rPr>
                <w:rFonts w:ascii="Times New Roman" w:hAnsi="Times New Roman"/>
                <w:sz w:val="20"/>
                <w:szCs w:val="20"/>
              </w:rPr>
            </w:pPr>
            <w:r>
              <w:rPr>
                <w:rFonts w:ascii="Times New Roman" w:hAnsi="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4957" w:type="dxa"/>
          </w:tcPr>
          <w:p>
            <w:pPr>
              <w:rPr>
                <w:rFonts w:ascii="Times New Roman" w:hAnsi="Times New Roman"/>
                <w:sz w:val="20"/>
                <w:szCs w:val="20"/>
              </w:rPr>
            </w:pPr>
            <w:r>
              <w:rPr>
                <w:rFonts w:ascii="Times New Roman" w:hAnsi="Times New Roman"/>
                <w:bCs/>
                <w:sz w:val="20"/>
                <w:szCs w:val="20"/>
              </w:rPr>
              <w:t>intermediate UE</w:t>
            </w:r>
            <w:r>
              <w:rPr>
                <w:rFonts w:ascii="Times New Roman" w:hAnsi="Times New Roman"/>
                <w:sz w:val="20"/>
                <w:szCs w:val="20"/>
              </w:rPr>
              <w:t xml:space="preserve"> receiver Noise Figure（dB）</w:t>
            </w:r>
          </w:p>
        </w:tc>
        <w:tc>
          <w:tcPr>
            <w:tcW w:w="3123" w:type="dxa"/>
          </w:tcPr>
          <w:p>
            <w:pPr>
              <w:rPr>
                <w:rFonts w:ascii="Times New Roman" w:hAnsi="Times New Roman"/>
                <w:sz w:val="20"/>
                <w:szCs w:val="20"/>
              </w:rPr>
            </w:pPr>
            <w:r>
              <w:rPr>
                <w:rFonts w:ascii="Times New Roman" w:hAnsi="Times New Roman"/>
                <w:sz w:val="20"/>
                <w:szCs w:val="2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4957" w:type="dxa"/>
          </w:tcPr>
          <w:p>
            <w:p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Antenna configuration</w:t>
            </w:r>
          </w:p>
        </w:tc>
        <w:tc>
          <w:tcPr>
            <w:tcW w:w="312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sz w:val="20"/>
                <w:szCs w:val="20"/>
              </w:rPr>
              <w:t>Omni direction antenna</w:t>
            </w:r>
          </w:p>
        </w:tc>
      </w:tr>
    </w:tbl>
    <w:p>
      <w:pPr>
        <w:spacing w:after="156" w:afterLines="50"/>
        <w:rPr>
          <w:rFonts w:ascii="Times New Roman" w:hAnsi="Times New Roman"/>
          <w:b/>
          <w:bCs/>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18: it</w:t>
      </w:r>
      <w:r>
        <w:rPr>
          <w:rFonts w:ascii="Times New Roman" w:hAnsi="Times New Roman"/>
          <w:b/>
          <w:bCs/>
          <w:sz w:val="20"/>
          <w:szCs w:val="20"/>
        </w:rPr>
        <w:t>’</w:t>
      </w:r>
      <w:r>
        <w:rPr>
          <w:rFonts w:hint="eastAsia" w:ascii="Times New Roman" w:hAnsi="Times New Roman"/>
          <w:b/>
          <w:bCs/>
          <w:sz w:val="20"/>
          <w:szCs w:val="20"/>
        </w:rPr>
        <w:t xml:space="preserve">s suggested to use value in above table for AIoT micro-BS. </w:t>
      </w:r>
    </w:p>
    <w:p>
      <w:pPr>
        <w:spacing w:after="156" w:afterLines="50"/>
        <w:rPr>
          <w:rFonts w:ascii="Times New Roman" w:hAnsi="Times New Roman"/>
          <w:sz w:val="20"/>
          <w:szCs w:val="20"/>
        </w:rPr>
      </w:pPr>
    </w:p>
    <w:p>
      <w:pPr>
        <w:numPr>
          <w:ilvl w:val="0"/>
          <w:numId w:val="13"/>
        </w:numPr>
        <w:rPr>
          <w:rFonts w:ascii="Times New Roman" w:hAnsi="Times New Roman"/>
          <w:sz w:val="20"/>
          <w:szCs w:val="20"/>
        </w:rPr>
      </w:pPr>
      <w:r>
        <w:rPr>
          <w:rFonts w:hint="eastAsia" w:ascii="Times New Roman" w:hAnsi="Times New Roman"/>
          <w:sz w:val="20"/>
          <w:szCs w:val="20"/>
        </w:rPr>
        <w:t>CW</w:t>
      </w:r>
      <w:r>
        <w:rPr>
          <w:rFonts w:ascii="Times New Roman" w:hAnsi="Times New Roman"/>
          <w:sz w:val="20"/>
          <w:szCs w:val="20"/>
        </w:rPr>
        <w:t xml:space="preserve"> parameters for D</w:t>
      </w:r>
      <w:r>
        <w:rPr>
          <w:rFonts w:hint="eastAsia" w:ascii="Times New Roman" w:hAnsi="Times New Roman"/>
          <w:sz w:val="20"/>
          <w:szCs w:val="20"/>
        </w:rPr>
        <w:t>2</w:t>
      </w:r>
      <w:r>
        <w:rPr>
          <w:rFonts w:ascii="Times New Roman" w:hAnsi="Times New Roman"/>
          <w:sz w:val="20"/>
          <w:szCs w:val="20"/>
        </w:rPr>
        <w:t>T</w:t>
      </w:r>
      <w:r>
        <w:rPr>
          <w:rFonts w:hint="eastAsia" w:ascii="Times New Roman" w:hAnsi="Times New Roman"/>
          <w:sz w:val="20"/>
          <w:szCs w:val="20"/>
        </w:rPr>
        <w:t>2 and D1T1</w:t>
      </w:r>
    </w:p>
    <w:tbl>
      <w:tblPr>
        <w:tblStyle w:val="45"/>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3974"/>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3397" w:type="dxa"/>
          </w:tcPr>
          <w:p>
            <w:pPr>
              <w:rPr>
                <w:rFonts w:ascii="Times New Roman" w:hAnsi="Times New Roman"/>
                <w:b/>
                <w:bCs/>
                <w:sz w:val="20"/>
                <w:szCs w:val="20"/>
              </w:rPr>
            </w:pPr>
            <w:r>
              <w:rPr>
                <w:rFonts w:ascii="Times New Roman" w:hAnsi="Times New Roman"/>
                <w:b/>
                <w:bCs/>
                <w:sz w:val="20"/>
                <w:szCs w:val="20"/>
              </w:rPr>
              <w:t>intermediate UE parameters</w:t>
            </w:r>
          </w:p>
        </w:tc>
        <w:tc>
          <w:tcPr>
            <w:tcW w:w="3974" w:type="dxa"/>
          </w:tcPr>
          <w:p>
            <w:pPr>
              <w:rPr>
                <w:rFonts w:ascii="Times New Roman" w:hAnsi="Times New Roman" w:eastAsiaTheme="minorEastAsia"/>
                <w:b/>
                <w:bCs/>
                <w:sz w:val="20"/>
                <w:szCs w:val="20"/>
              </w:rPr>
            </w:pPr>
            <w:r>
              <w:rPr>
                <w:rFonts w:ascii="Times New Roman" w:hAnsi="Times New Roman" w:eastAsiaTheme="minorEastAsia"/>
                <w:b/>
                <w:bCs/>
                <w:sz w:val="20"/>
                <w:szCs w:val="20"/>
              </w:rPr>
              <w:t>D1T1</w:t>
            </w:r>
          </w:p>
        </w:tc>
        <w:tc>
          <w:tcPr>
            <w:tcW w:w="2551" w:type="dxa"/>
          </w:tcPr>
          <w:p>
            <w:pPr>
              <w:overflowPunct w:val="0"/>
              <w:autoSpaceDE w:val="0"/>
              <w:autoSpaceDN w:val="0"/>
              <w:adjustRightInd w:val="0"/>
              <w:textAlignment w:val="baseline"/>
              <w:rPr>
                <w:rFonts w:ascii="Times New Roman" w:hAnsi="Times New Roman" w:eastAsiaTheme="minorEastAsia"/>
                <w:b/>
                <w:bCs/>
                <w:sz w:val="20"/>
                <w:szCs w:val="20"/>
              </w:rPr>
            </w:pPr>
            <w:r>
              <w:rPr>
                <w:rFonts w:ascii="Times New Roman" w:hAnsi="Times New Roman" w:eastAsiaTheme="minorEastAsia"/>
                <w:b/>
                <w:bCs/>
                <w:sz w:val="20"/>
                <w:szCs w:val="20"/>
              </w:rPr>
              <w:t xml:space="preserve">D2T2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397" w:type="dxa"/>
          </w:tcPr>
          <w:p>
            <w:pPr>
              <w:rPr>
                <w:rFonts w:ascii="Times New Roman" w:hAnsi="Times New Roman"/>
                <w:sz w:val="20"/>
                <w:szCs w:val="20"/>
              </w:rPr>
            </w:pPr>
            <w:r>
              <w:rPr>
                <w:rFonts w:ascii="Times New Roman" w:hAnsi="Times New Roman"/>
                <w:sz w:val="20"/>
                <w:szCs w:val="20"/>
              </w:rPr>
              <w:t>Tx power（dBm）</w:t>
            </w:r>
          </w:p>
        </w:tc>
        <w:tc>
          <w:tcPr>
            <w:tcW w:w="3974" w:type="dxa"/>
          </w:tcPr>
          <w:p>
            <w:p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If UL spectrum is used, UE Tx power is assumed, i.e. 23dBm</w:t>
            </w:r>
            <w:r>
              <w:rPr>
                <w:rFonts w:hint="eastAsia" w:ascii="Times New Roman" w:hAnsi="Times New Roman"/>
                <w:sz w:val="20"/>
                <w:szCs w:val="20"/>
              </w:rPr>
              <w:t xml:space="preserve"> baseline</w:t>
            </w:r>
          </w:p>
          <w:p>
            <w:pPr>
              <w:overflowPunct w:val="0"/>
              <w:autoSpaceDE w:val="0"/>
              <w:autoSpaceDN w:val="0"/>
              <w:adjustRightInd w:val="0"/>
              <w:textAlignment w:val="baseline"/>
              <w:rPr>
                <w:rFonts w:ascii="Times New Roman" w:hAnsi="Times New Roman"/>
                <w:sz w:val="20"/>
                <w:szCs w:val="20"/>
              </w:rPr>
            </w:pPr>
            <w:r>
              <w:rPr>
                <w:rFonts w:ascii="Times New Roman" w:hAnsi="Times New Roman" w:eastAsiaTheme="minorEastAsia"/>
                <w:sz w:val="20"/>
                <w:szCs w:val="20"/>
              </w:rPr>
              <w:t>If DL spectrum is used, AIOT micro-BS Tx power is assumed.</w:t>
            </w:r>
          </w:p>
        </w:tc>
        <w:tc>
          <w:tcPr>
            <w:tcW w:w="2551"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Theme="minorEastAsia"/>
                <w:sz w:val="20"/>
                <w:szCs w:val="20"/>
              </w:rPr>
              <w:t>Inter-mediate UE Tx power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397" w:type="dxa"/>
          </w:tcPr>
          <w:p>
            <w:pPr>
              <w:rPr>
                <w:rFonts w:ascii="Times New Roman" w:hAnsi="Times New Roman"/>
                <w:sz w:val="20"/>
                <w:szCs w:val="20"/>
              </w:rPr>
            </w:pPr>
            <w:r>
              <w:rPr>
                <w:rFonts w:hint="eastAsia" w:ascii="Times New Roman" w:hAnsi="Times New Roman"/>
                <w:sz w:val="20"/>
                <w:szCs w:val="20"/>
              </w:rPr>
              <w:t>Antenna gain</w:t>
            </w:r>
          </w:p>
        </w:tc>
        <w:tc>
          <w:tcPr>
            <w:tcW w:w="3974" w:type="dxa"/>
          </w:tcPr>
          <w:p>
            <w:pPr>
              <w:rPr>
                <w:rFonts w:ascii="Times New Roman" w:hAnsi="Times New Roman"/>
                <w:sz w:val="20"/>
                <w:szCs w:val="20"/>
              </w:rPr>
            </w:pPr>
            <w:r>
              <w:rPr>
                <w:rFonts w:ascii="Times New Roman" w:hAnsi="Times New Roman"/>
                <w:sz w:val="20"/>
                <w:szCs w:val="20"/>
              </w:rPr>
              <w:t xml:space="preserve">Same as AIOT </w:t>
            </w:r>
            <w:r>
              <w:rPr>
                <w:rFonts w:hint="eastAsia" w:ascii="Times New Roman" w:hAnsi="Times New Roman"/>
                <w:sz w:val="20"/>
                <w:szCs w:val="20"/>
              </w:rPr>
              <w:t>reader since we only consider inside topology case</w:t>
            </w:r>
          </w:p>
        </w:tc>
        <w:tc>
          <w:tcPr>
            <w:tcW w:w="2551"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Theme="minorEastAsia"/>
                <w:sz w:val="20"/>
                <w:szCs w:val="20"/>
              </w:rPr>
              <w:t>Same as inter-mediate UE</w:t>
            </w:r>
          </w:p>
        </w:tc>
      </w:tr>
    </w:tbl>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19: it</w:t>
      </w:r>
      <w:r>
        <w:rPr>
          <w:rFonts w:ascii="Times New Roman" w:hAnsi="Times New Roman"/>
          <w:b/>
          <w:bCs/>
          <w:sz w:val="20"/>
          <w:szCs w:val="20"/>
        </w:rPr>
        <w:t>’</w:t>
      </w:r>
      <w:r>
        <w:rPr>
          <w:rFonts w:hint="eastAsia" w:ascii="Times New Roman" w:hAnsi="Times New Roman"/>
          <w:b/>
          <w:bCs/>
          <w:sz w:val="20"/>
          <w:szCs w:val="20"/>
        </w:rPr>
        <w:t>s suggested to use value in above table for AIoT CW. Compared with RAN1, we add antenna gain requirement.</w:t>
      </w:r>
    </w:p>
    <w:p>
      <w:pPr>
        <w:spacing w:after="156" w:afterLines="50"/>
        <w:rPr>
          <w:rFonts w:ascii="Times New Roman" w:hAnsi="Times New Roman"/>
          <w:sz w:val="20"/>
          <w:szCs w:val="20"/>
        </w:rPr>
      </w:pPr>
    </w:p>
    <w:p>
      <w:pPr>
        <w:numPr>
          <w:ilvl w:val="0"/>
          <w:numId w:val="13"/>
        </w:numPr>
        <w:rPr>
          <w:rFonts w:ascii="Times New Roman" w:hAnsi="Times New Roman"/>
          <w:sz w:val="20"/>
          <w:szCs w:val="20"/>
        </w:rPr>
      </w:pPr>
      <w:r>
        <w:rPr>
          <w:rFonts w:hint="eastAsia" w:ascii="Times New Roman" w:hAnsi="Times New Roman"/>
          <w:sz w:val="20"/>
          <w:szCs w:val="20"/>
        </w:rPr>
        <w:t>A-IoT devices parameters</w:t>
      </w:r>
    </w:p>
    <w:p>
      <w:pPr>
        <w:tabs>
          <w:tab w:val="left" w:pos="720"/>
        </w:tabs>
        <w:spacing w:after="156" w:afterLines="50"/>
        <w:rPr>
          <w:rFonts w:ascii="Times New Roman" w:hAnsi="Times New Roman"/>
          <w:b/>
          <w:bCs/>
          <w:sz w:val="20"/>
          <w:szCs w:val="20"/>
        </w:rPr>
      </w:pPr>
    </w:p>
    <w:tbl>
      <w:tblPr>
        <w:tblStyle w:val="45"/>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9"/>
        <w:gridCol w:w="2138"/>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2819" w:type="dxa"/>
          </w:tcPr>
          <w:p>
            <w:pPr>
              <w:rPr>
                <w:rFonts w:ascii="Times New Roman" w:hAnsi="Times New Roman"/>
                <w:b/>
                <w:bCs/>
                <w:sz w:val="20"/>
                <w:szCs w:val="20"/>
              </w:rPr>
            </w:pPr>
            <w:r>
              <w:rPr>
                <w:rFonts w:ascii="Times New Roman" w:hAnsi="Times New Roman"/>
                <w:b/>
                <w:bCs/>
                <w:sz w:val="20"/>
                <w:szCs w:val="20"/>
              </w:rPr>
              <w:t>A-IoT device parameters</w:t>
            </w:r>
          </w:p>
        </w:tc>
        <w:tc>
          <w:tcPr>
            <w:tcW w:w="2138" w:type="dxa"/>
          </w:tcPr>
          <w:p>
            <w:pPr>
              <w:rPr>
                <w:rFonts w:ascii="Times New Roman" w:hAnsi="Times New Roman"/>
                <w:b/>
                <w:bCs/>
                <w:sz w:val="20"/>
                <w:szCs w:val="20"/>
              </w:rPr>
            </w:pPr>
            <w:r>
              <w:rPr>
                <w:rFonts w:ascii="Times New Roman" w:hAnsi="Times New Roman"/>
                <w:b/>
                <w:bCs/>
                <w:sz w:val="20"/>
                <w:szCs w:val="20"/>
              </w:rPr>
              <w:t>Device 1</w:t>
            </w:r>
          </w:p>
        </w:tc>
        <w:tc>
          <w:tcPr>
            <w:tcW w:w="1984" w:type="dxa"/>
          </w:tcPr>
          <w:p>
            <w:pPr>
              <w:rPr>
                <w:rFonts w:ascii="Times New Roman" w:hAnsi="Times New Roman"/>
                <w:b/>
                <w:bCs/>
                <w:sz w:val="20"/>
                <w:szCs w:val="20"/>
              </w:rPr>
            </w:pPr>
            <w:r>
              <w:rPr>
                <w:rFonts w:ascii="Times New Roman" w:hAnsi="Times New Roman"/>
                <w:b/>
                <w:bCs/>
                <w:sz w:val="20"/>
                <w:szCs w:val="20"/>
              </w:rPr>
              <w:t>Device 2a</w:t>
            </w:r>
          </w:p>
        </w:tc>
        <w:tc>
          <w:tcPr>
            <w:tcW w:w="1985" w:type="dxa"/>
          </w:tcPr>
          <w:p>
            <w:pPr>
              <w:rPr>
                <w:rFonts w:ascii="Times New Roman" w:hAnsi="Times New Roman"/>
                <w:b/>
                <w:bCs/>
                <w:sz w:val="20"/>
                <w:szCs w:val="20"/>
              </w:rPr>
            </w:pPr>
            <w:r>
              <w:rPr>
                <w:rFonts w:ascii="Times New Roman" w:hAnsi="Times New Roman"/>
                <w:b/>
                <w:bCs/>
                <w:sz w:val="20"/>
                <w:szCs w:val="20"/>
              </w:rPr>
              <w:t>Device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 xml:space="preserve">A-IoT device Tx power (dBm) </w:t>
            </w:r>
          </w:p>
        </w:tc>
        <w:tc>
          <w:tcPr>
            <w:tcW w:w="2138" w:type="dxa"/>
          </w:tcPr>
          <w:p>
            <w:pPr>
              <w:rPr>
                <w:rFonts w:ascii="Times New Roman" w:hAnsi="Times New Roman"/>
                <w:sz w:val="20"/>
                <w:szCs w:val="20"/>
              </w:rPr>
            </w:pPr>
            <w:r>
              <w:rPr>
                <w:rFonts w:hint="eastAsia" w:ascii="Times New Roman" w:hAnsi="Times New Roman"/>
                <w:sz w:val="20"/>
                <w:szCs w:val="20"/>
              </w:rPr>
              <w:t>FFS</w:t>
            </w:r>
          </w:p>
        </w:tc>
        <w:tc>
          <w:tcPr>
            <w:tcW w:w="1984" w:type="dxa"/>
          </w:tcPr>
          <w:p>
            <w:pPr>
              <w:rPr>
                <w:rFonts w:ascii="Times New Roman" w:hAnsi="Times New Roman"/>
                <w:sz w:val="20"/>
                <w:szCs w:val="20"/>
              </w:rPr>
            </w:pPr>
            <w:r>
              <w:rPr>
                <w:rFonts w:hint="eastAsia" w:ascii="Times New Roman" w:hAnsi="Times New Roman"/>
                <w:sz w:val="20"/>
                <w:szCs w:val="20"/>
              </w:rPr>
              <w:t>FFS</w:t>
            </w:r>
          </w:p>
        </w:tc>
        <w:tc>
          <w:tcPr>
            <w:tcW w:w="1985" w:type="dxa"/>
          </w:tcPr>
          <w:p>
            <w:pPr>
              <w:rPr>
                <w:rFonts w:ascii="Times New Roman" w:hAnsi="Times New Roman"/>
                <w:sz w:val="20"/>
                <w:szCs w:val="20"/>
              </w:rPr>
            </w:pPr>
            <w:r>
              <w:rPr>
                <w:rFonts w:hint="eastAsia" w:ascii="Times New Roman" w:hAnsi="Times New Roman"/>
                <w:sz w:val="20"/>
                <w:szCs w:val="20"/>
              </w:rPr>
              <w:t>-20 baseline</w:t>
            </w:r>
          </w:p>
          <w:p>
            <w:pPr>
              <w:rPr>
                <w:rFonts w:ascii="Times New Roman" w:hAnsi="Times New Roman"/>
                <w:sz w:val="20"/>
                <w:szCs w:val="20"/>
              </w:rPr>
            </w:pPr>
            <w:r>
              <w:rPr>
                <w:rFonts w:hint="eastAsia" w:ascii="Times New Roman" w:hAnsi="Times New Roman"/>
                <w:sz w:val="20"/>
                <w:szCs w:val="20"/>
              </w:rPr>
              <w:t>-10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A-IoT device effective antenna gain per Tx or Rx branch (dBi)</w:t>
            </w:r>
          </w:p>
        </w:tc>
        <w:tc>
          <w:tcPr>
            <w:tcW w:w="2138" w:type="dxa"/>
          </w:tcPr>
          <w:p>
            <w:pPr>
              <w:rPr>
                <w:rFonts w:ascii="Times New Roman" w:hAnsi="Times New Roman"/>
                <w:sz w:val="20"/>
                <w:szCs w:val="20"/>
              </w:rPr>
            </w:pPr>
            <w:r>
              <w:rPr>
                <w:rFonts w:hint="eastAsia" w:ascii="Times New Roman" w:hAnsi="Times New Roman"/>
                <w:sz w:val="20"/>
                <w:szCs w:val="20"/>
              </w:rPr>
              <w:t xml:space="preserve">0 baseline </w:t>
            </w:r>
          </w:p>
          <w:p>
            <w:pPr>
              <w:rPr>
                <w:rFonts w:ascii="Times New Roman" w:hAnsi="Times New Roman"/>
                <w:sz w:val="20"/>
                <w:szCs w:val="20"/>
              </w:rPr>
            </w:pPr>
            <w:r>
              <w:rPr>
                <w:rFonts w:hint="eastAsia" w:ascii="Times New Roman" w:hAnsi="Times New Roman"/>
                <w:sz w:val="20"/>
                <w:szCs w:val="20"/>
              </w:rPr>
              <w:t>-3 optional</w:t>
            </w:r>
          </w:p>
        </w:tc>
        <w:tc>
          <w:tcPr>
            <w:tcW w:w="1984" w:type="dxa"/>
          </w:tcPr>
          <w:p>
            <w:pPr>
              <w:rPr>
                <w:rFonts w:ascii="Times New Roman" w:hAnsi="Times New Roman"/>
                <w:sz w:val="20"/>
                <w:szCs w:val="20"/>
              </w:rPr>
            </w:pPr>
            <w:r>
              <w:rPr>
                <w:rFonts w:hint="eastAsia" w:ascii="Times New Roman" w:hAnsi="Times New Roman"/>
                <w:sz w:val="20"/>
                <w:szCs w:val="20"/>
              </w:rPr>
              <w:t xml:space="preserve">0 baseline </w:t>
            </w:r>
          </w:p>
          <w:p>
            <w:pPr>
              <w:rPr>
                <w:rFonts w:ascii="Times New Roman" w:hAnsi="Times New Roman"/>
                <w:sz w:val="20"/>
                <w:szCs w:val="20"/>
              </w:rPr>
            </w:pPr>
            <w:r>
              <w:rPr>
                <w:rFonts w:hint="eastAsia" w:ascii="Times New Roman" w:hAnsi="Times New Roman"/>
                <w:sz w:val="20"/>
                <w:szCs w:val="20"/>
              </w:rPr>
              <w:t xml:space="preserve">-3 optional </w:t>
            </w:r>
          </w:p>
        </w:tc>
        <w:tc>
          <w:tcPr>
            <w:tcW w:w="1985" w:type="dxa"/>
          </w:tcPr>
          <w:p>
            <w:pPr>
              <w:rPr>
                <w:rFonts w:ascii="Times New Roman" w:hAnsi="Times New Roman"/>
                <w:sz w:val="20"/>
                <w:szCs w:val="20"/>
              </w:rPr>
            </w:pPr>
            <w:r>
              <w:rPr>
                <w:rFonts w:hint="eastAsia" w:ascii="Times New Roman" w:hAnsi="Times New Roman"/>
                <w:sz w:val="20"/>
                <w:szCs w:val="20"/>
              </w:rPr>
              <w:t xml:space="preserve">0 baseline </w:t>
            </w:r>
          </w:p>
          <w:p>
            <w:pPr>
              <w:rPr>
                <w:rFonts w:ascii="Times New Roman" w:hAnsi="Times New Roman"/>
                <w:sz w:val="20"/>
                <w:szCs w:val="20"/>
              </w:rPr>
            </w:pPr>
            <w:r>
              <w:rPr>
                <w:rFonts w:hint="eastAsia" w:ascii="Times New Roman" w:hAnsi="Times New Roman"/>
                <w:sz w:val="20"/>
                <w:szCs w:val="20"/>
              </w:rPr>
              <w:t>-3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819" w:type="dxa"/>
          </w:tcPr>
          <w:p>
            <w:pPr>
              <w:rPr>
                <w:rFonts w:ascii="Times New Roman" w:hAnsi="Times New Roman"/>
                <w:sz w:val="20"/>
                <w:szCs w:val="20"/>
              </w:rPr>
            </w:pPr>
            <w:r>
              <w:rPr>
                <w:rFonts w:ascii="Times New Roman" w:hAnsi="Times New Roman"/>
                <w:sz w:val="20"/>
                <w:szCs w:val="20"/>
              </w:rPr>
              <w:t>A-IoT device reflection （backscatter）loss (dB)</w:t>
            </w:r>
          </w:p>
          <w:p>
            <w:pPr>
              <w:rPr>
                <w:rFonts w:ascii="Times New Roman" w:hAnsi="Times New Roman"/>
                <w:sz w:val="20"/>
                <w:szCs w:val="20"/>
              </w:rPr>
            </w:pPr>
            <w:r>
              <w:rPr>
                <w:rFonts w:ascii="Times New Roman" w:hAnsi="Times New Roman"/>
                <w:sz w:val="20"/>
                <w:szCs w:val="20"/>
              </w:rPr>
              <w:t>Note: due to, e.g., impedance mismatch</w:t>
            </w:r>
          </w:p>
        </w:tc>
        <w:tc>
          <w:tcPr>
            <w:tcW w:w="2138" w:type="dxa"/>
          </w:tcPr>
          <w:p>
            <w:pPr>
              <w:rPr>
                <w:rFonts w:ascii="Times New Roman" w:hAnsi="Times New Roman"/>
                <w:sz w:val="20"/>
                <w:szCs w:val="20"/>
              </w:rPr>
            </w:pPr>
            <w:r>
              <w:rPr>
                <w:rFonts w:ascii="Times New Roman" w:hAnsi="Times New Roman"/>
                <w:sz w:val="20"/>
                <w:szCs w:val="20"/>
              </w:rPr>
              <w:t>-6 dB and 0 dB for OOK  and BPSK</w:t>
            </w:r>
          </w:p>
        </w:tc>
        <w:tc>
          <w:tcPr>
            <w:tcW w:w="1984" w:type="dxa"/>
          </w:tcPr>
          <w:p>
            <w:pPr>
              <w:rPr>
                <w:rFonts w:ascii="Times New Roman" w:hAnsi="Times New Roman"/>
                <w:sz w:val="20"/>
                <w:szCs w:val="20"/>
              </w:rPr>
            </w:pPr>
            <w:r>
              <w:rPr>
                <w:rFonts w:ascii="Times New Roman" w:hAnsi="Times New Roman"/>
                <w:sz w:val="20"/>
                <w:szCs w:val="20"/>
              </w:rPr>
              <w:t>N/A</w:t>
            </w:r>
          </w:p>
        </w:tc>
        <w:tc>
          <w:tcPr>
            <w:tcW w:w="1985" w:type="dxa"/>
          </w:tcPr>
          <w:p>
            <w:pPr>
              <w:rPr>
                <w:rFonts w:ascii="Times New Roman" w:hAnsi="Times New Roman"/>
                <w:sz w:val="20"/>
                <w:szCs w:val="20"/>
              </w:rPr>
            </w:pPr>
            <w:r>
              <w:rPr>
                <w:rFonts w:ascii="Times New Roman" w:hAnsi="Times New Roman"/>
                <w:sz w:val="20"/>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A-IoT device power gain of reflection amplifier (dB)</w:t>
            </w:r>
          </w:p>
        </w:tc>
        <w:tc>
          <w:tcPr>
            <w:tcW w:w="2138" w:type="dxa"/>
          </w:tcPr>
          <w:p>
            <w:pPr>
              <w:rPr>
                <w:rFonts w:ascii="Times New Roman" w:hAnsi="Times New Roman"/>
                <w:sz w:val="20"/>
                <w:szCs w:val="20"/>
              </w:rPr>
            </w:pPr>
            <w:r>
              <w:rPr>
                <w:rFonts w:ascii="Times New Roman" w:hAnsi="Times New Roman"/>
                <w:sz w:val="20"/>
                <w:szCs w:val="20"/>
              </w:rPr>
              <w:t>N/A</w:t>
            </w:r>
          </w:p>
        </w:tc>
        <w:tc>
          <w:tcPr>
            <w:tcW w:w="1984" w:type="dxa"/>
          </w:tcPr>
          <w:p>
            <w:pPr>
              <w:rPr>
                <w:rFonts w:ascii="Times New Roman" w:hAnsi="Times New Roman"/>
                <w:sz w:val="20"/>
                <w:szCs w:val="20"/>
              </w:rPr>
            </w:pPr>
            <w:r>
              <w:rPr>
                <w:rFonts w:hint="eastAsia" w:ascii="Times New Roman" w:hAnsi="Times New Roman"/>
                <w:sz w:val="20"/>
                <w:szCs w:val="20"/>
              </w:rPr>
              <w:t>10dB as baseline</w:t>
            </w:r>
          </w:p>
          <w:p>
            <w:pPr>
              <w:rPr>
                <w:rFonts w:ascii="Times New Roman" w:hAnsi="Times New Roman"/>
                <w:sz w:val="20"/>
                <w:szCs w:val="20"/>
              </w:rPr>
            </w:pPr>
            <w:r>
              <w:rPr>
                <w:rFonts w:hint="eastAsia" w:ascii="Times New Roman" w:hAnsi="Times New Roman"/>
                <w:sz w:val="20"/>
                <w:szCs w:val="20"/>
              </w:rPr>
              <w:t>20dB as optional</w:t>
            </w:r>
          </w:p>
        </w:tc>
        <w:tc>
          <w:tcPr>
            <w:tcW w:w="1985" w:type="dxa"/>
          </w:tcPr>
          <w:p>
            <w:pPr>
              <w:rPr>
                <w:rFonts w:ascii="Times New Roman" w:hAnsi="Times New Roman"/>
                <w:sz w:val="20"/>
                <w:szCs w:val="20"/>
              </w:rPr>
            </w:pPr>
            <w:r>
              <w:rPr>
                <w:rFonts w:ascii="Times New Roman" w:hAnsi="Times New Roman"/>
                <w:sz w:val="20"/>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A-IoT Device receiver sensitivity (dBm)</w:t>
            </w:r>
          </w:p>
        </w:tc>
        <w:tc>
          <w:tcPr>
            <w:tcW w:w="2138" w:type="dxa"/>
          </w:tcPr>
          <w:p>
            <w:pPr>
              <w:rPr>
                <w:rFonts w:ascii="Times New Roman" w:hAnsi="Times New Roman"/>
                <w:sz w:val="20"/>
                <w:szCs w:val="20"/>
              </w:rPr>
            </w:pPr>
            <w:r>
              <w:rPr>
                <w:rFonts w:ascii="Times New Roman" w:hAnsi="Times New Roman"/>
                <w:sz w:val="20"/>
                <w:szCs w:val="20"/>
              </w:rPr>
              <w:t>-36</w:t>
            </w:r>
          </w:p>
        </w:tc>
        <w:tc>
          <w:tcPr>
            <w:tcW w:w="1984" w:type="dxa"/>
          </w:tcPr>
          <w:p>
            <w:pPr>
              <w:rPr>
                <w:rFonts w:ascii="Times New Roman" w:hAnsi="Times New Roman"/>
                <w:sz w:val="20"/>
                <w:szCs w:val="20"/>
              </w:rPr>
            </w:pPr>
            <w:r>
              <w:rPr>
                <w:rFonts w:ascii="Times New Roman" w:hAnsi="Times New Roman"/>
                <w:sz w:val="20"/>
                <w:szCs w:val="20"/>
              </w:rPr>
              <w:t>-46</w:t>
            </w:r>
          </w:p>
        </w:tc>
        <w:tc>
          <w:tcPr>
            <w:tcW w:w="1985" w:type="dxa"/>
          </w:tcPr>
          <w:p>
            <w:pPr>
              <w:rPr>
                <w:rFonts w:ascii="Times New Roman" w:hAnsi="Times New Roman"/>
                <w:sz w:val="20"/>
                <w:szCs w:val="20"/>
              </w:rPr>
            </w:pPr>
            <w:r>
              <w:rPr>
                <w:rFonts w:ascii="Times New Roman" w:hAnsi="Times New Roman"/>
                <w:sz w:val="20"/>
                <w:szCs w:val="20"/>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Guard band</w:t>
            </w:r>
          </w:p>
        </w:tc>
        <w:tc>
          <w:tcPr>
            <w:tcW w:w="2138" w:type="dxa"/>
          </w:tcPr>
          <w:p>
            <w:pPr>
              <w:spacing w:after="156" w:afterLines="50"/>
              <w:rPr>
                <w:rFonts w:ascii="Times New Roman" w:hAnsi="Times New Roman"/>
                <w:sz w:val="20"/>
                <w:szCs w:val="20"/>
              </w:rPr>
            </w:pPr>
            <w:r>
              <w:rPr>
                <w:rFonts w:ascii="Times New Roman" w:hAnsi="Times New Roman"/>
                <w:sz w:val="20"/>
                <w:szCs w:val="20"/>
              </w:rPr>
              <w:t>1PRB, 2PRB</w:t>
            </w:r>
          </w:p>
        </w:tc>
        <w:tc>
          <w:tcPr>
            <w:tcW w:w="1984" w:type="dxa"/>
          </w:tcPr>
          <w:p>
            <w:pPr>
              <w:spacing w:after="156" w:afterLines="50"/>
              <w:rPr>
                <w:rFonts w:ascii="Times New Roman" w:hAnsi="Times New Roman"/>
                <w:sz w:val="20"/>
                <w:szCs w:val="20"/>
              </w:rPr>
            </w:pPr>
            <w:r>
              <w:rPr>
                <w:rFonts w:ascii="Times New Roman" w:hAnsi="Times New Roman"/>
                <w:sz w:val="20"/>
                <w:szCs w:val="20"/>
              </w:rPr>
              <w:t>1PRB, 2PRB</w:t>
            </w:r>
          </w:p>
        </w:tc>
        <w:tc>
          <w:tcPr>
            <w:tcW w:w="1985" w:type="dxa"/>
          </w:tcPr>
          <w:p>
            <w:pPr>
              <w:spacing w:after="156" w:afterLines="50"/>
              <w:rPr>
                <w:rFonts w:ascii="Times New Roman" w:hAnsi="Times New Roman"/>
                <w:sz w:val="20"/>
                <w:szCs w:val="20"/>
              </w:rPr>
            </w:pPr>
            <w:r>
              <w:rPr>
                <w:rFonts w:ascii="Times New Roman" w:hAnsi="Times New Roman"/>
                <w:sz w:val="20"/>
                <w:szCs w:val="20"/>
              </w:rPr>
              <w:t>1PRB, 2PRB</w:t>
            </w:r>
          </w:p>
        </w:tc>
      </w:tr>
    </w:tbl>
    <w:p>
      <w:pPr>
        <w:tabs>
          <w:tab w:val="left" w:pos="720"/>
        </w:tabs>
        <w:spacing w:after="156" w:afterLines="50"/>
        <w:rPr>
          <w:rFonts w:ascii="Times New Roman" w:hAnsi="Times New Roman"/>
          <w:b/>
          <w:bCs/>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20: it</w:t>
      </w:r>
      <w:r>
        <w:rPr>
          <w:rFonts w:ascii="Times New Roman" w:hAnsi="Times New Roman"/>
          <w:b/>
          <w:bCs/>
          <w:sz w:val="20"/>
          <w:szCs w:val="20"/>
        </w:rPr>
        <w:t>’</w:t>
      </w:r>
      <w:r>
        <w:rPr>
          <w:rFonts w:hint="eastAsia" w:ascii="Times New Roman" w:hAnsi="Times New Roman"/>
          <w:b/>
          <w:bCs/>
          <w:sz w:val="20"/>
          <w:szCs w:val="20"/>
        </w:rPr>
        <w:t>s suggested to use value in above table for AIoT CW. Besides RAN1 agreements, we need to approve following parameter</w:t>
      </w:r>
    </w:p>
    <w:p>
      <w:pPr>
        <w:numPr>
          <w:ilvl w:val="0"/>
          <w:numId w:val="14"/>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Device Tx power for device 1 and 2a</w:t>
      </w:r>
    </w:p>
    <w:p>
      <w:pPr>
        <w:numPr>
          <w:ilvl w:val="0"/>
          <w:numId w:val="14"/>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A-IoT backscatter loss for device 1</w:t>
      </w:r>
    </w:p>
    <w:p>
      <w:pPr>
        <w:numPr>
          <w:ilvl w:val="0"/>
          <w:numId w:val="14"/>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Receiver sensitivity</w:t>
      </w:r>
    </w:p>
    <w:p>
      <w:pPr>
        <w:tabs>
          <w:tab w:val="left" w:pos="720"/>
        </w:tabs>
        <w:spacing w:after="156" w:afterLines="50"/>
        <w:rPr>
          <w:rFonts w:ascii="Times New Roman" w:hAnsi="Times New Roman"/>
          <w:b/>
          <w:bCs/>
          <w:sz w:val="20"/>
          <w:szCs w:val="20"/>
        </w:rPr>
      </w:pPr>
    </w:p>
    <w:p>
      <w:pPr>
        <w:numPr>
          <w:ilvl w:val="0"/>
          <w:numId w:val="13"/>
        </w:numPr>
        <w:rPr>
          <w:rFonts w:ascii="Times New Roman" w:hAnsi="Times New Roman"/>
          <w:sz w:val="20"/>
          <w:szCs w:val="20"/>
        </w:rPr>
      </w:pPr>
      <w:r>
        <w:rPr>
          <w:rFonts w:hint="eastAsia" w:ascii="Times New Roman" w:hAnsi="Times New Roman"/>
          <w:sz w:val="20"/>
          <w:szCs w:val="20"/>
        </w:rPr>
        <w:t>NR macro gNB parameters</w:t>
      </w:r>
    </w:p>
    <w:p>
      <w:pPr>
        <w:tabs>
          <w:tab w:val="left" w:pos="720"/>
        </w:tabs>
        <w:spacing w:after="156" w:afterLines="50"/>
        <w:rPr>
          <w:rFonts w:ascii="Times New Roman" w:hAnsi="Times New Roman"/>
          <w:b/>
          <w:bCs/>
          <w:sz w:val="20"/>
          <w:szCs w:val="20"/>
        </w:rPr>
      </w:pPr>
    </w:p>
    <w:tbl>
      <w:tblPr>
        <w:tblStyle w:val="45"/>
        <w:tblW w:w="5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2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60" w:type="dxa"/>
          </w:tcPr>
          <w:p>
            <w:pPr>
              <w:rPr>
                <w:rFonts w:ascii="Times New Roman" w:hAnsi="Times New Roman"/>
                <w:b/>
                <w:bCs/>
                <w:sz w:val="20"/>
                <w:szCs w:val="20"/>
              </w:rPr>
            </w:pPr>
            <w:r>
              <w:rPr>
                <w:rFonts w:ascii="Times New Roman" w:hAnsi="Times New Roman"/>
                <w:b/>
                <w:bCs/>
                <w:sz w:val="20"/>
                <w:szCs w:val="20"/>
              </w:rPr>
              <w:t>NR macro-BS Parameter</w:t>
            </w:r>
          </w:p>
        </w:tc>
        <w:tc>
          <w:tcPr>
            <w:tcW w:w="2710" w:type="dxa"/>
          </w:tcPr>
          <w:p>
            <w:pPr>
              <w:rPr>
                <w:rFonts w:ascii="Times New Roman" w:hAnsi="Times New Roman"/>
                <w:b/>
                <w:bCs/>
                <w:sz w:val="20"/>
                <w:szCs w:val="20"/>
              </w:rPr>
            </w:pPr>
            <w:r>
              <w:rPr>
                <w:rFonts w:ascii="Times New Roman" w:hAnsi="Times New Roman"/>
                <w:b/>
                <w:bCs/>
                <w:sz w:val="20"/>
                <w:szCs w:val="20"/>
              </w:rPr>
              <w:t>Recommended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Macro-BS Tx power (dBm)</w:t>
            </w:r>
          </w:p>
        </w:tc>
        <w:tc>
          <w:tcPr>
            <w:tcW w:w="2710" w:type="dxa"/>
          </w:tcPr>
          <w:p>
            <w:pPr>
              <w:rPr>
                <w:rFonts w:ascii="Times New Roman" w:hAnsi="Times New Roman"/>
                <w:sz w:val="20"/>
                <w:szCs w:val="20"/>
              </w:rPr>
            </w:pPr>
            <w:r>
              <w:rPr>
                <w:rFonts w:ascii="Times New Roman" w:hAnsi="Times New Roman"/>
                <w:sz w:val="20"/>
                <w:szCs w:val="20"/>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Height of macro NR BS (m)</w:t>
            </w:r>
          </w:p>
        </w:tc>
        <w:tc>
          <w:tcPr>
            <w:tcW w:w="2710" w:type="dxa"/>
          </w:tcPr>
          <w:p>
            <w:pPr>
              <w:rPr>
                <w:rFonts w:ascii="Times New Roman" w:hAnsi="Times New Roman"/>
                <w:sz w:val="20"/>
                <w:szCs w:val="20"/>
              </w:rPr>
            </w:pPr>
            <w:r>
              <w:rPr>
                <w:rFonts w:ascii="Times New Roman" w:hAnsi="Times New Roman"/>
                <w:sz w:val="20"/>
                <w:szCs w:val="20"/>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NR Macro-BS Noise Figure(dB)</w:t>
            </w:r>
          </w:p>
        </w:tc>
        <w:tc>
          <w:tcPr>
            <w:tcW w:w="2710" w:type="dxa"/>
          </w:tcPr>
          <w:p>
            <w:pPr>
              <w:rPr>
                <w:rFonts w:ascii="Times New Roman" w:hAnsi="Times New Roman"/>
                <w:sz w:val="20"/>
                <w:szCs w:val="20"/>
              </w:rPr>
            </w:pPr>
            <w:r>
              <w:rPr>
                <w:rFonts w:ascii="Times New Roman" w:hAnsi="Times New Roman"/>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Theme="minorEastAsia"/>
                <w:sz w:val="20"/>
                <w:szCs w:val="20"/>
              </w:rPr>
              <w:t>Network location</w:t>
            </w:r>
          </w:p>
        </w:tc>
        <w:tc>
          <w:tcPr>
            <w:tcW w:w="2710"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Theme="minorEastAsia"/>
                <w:sz w:val="20"/>
                <w:szCs w:val="20"/>
              </w:rPr>
              <w:t>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overflowPunct w:val="0"/>
              <w:autoSpaceDE w:val="0"/>
              <w:autoSpaceDN w:val="0"/>
              <w:adjustRightInd w:val="0"/>
              <w:textAlignment w:val="baseline"/>
              <w:rPr>
                <w:rFonts w:ascii="Times New Roman" w:hAnsi="Times New Roman" w:eastAsiaTheme="minorEastAsia"/>
                <w:sz w:val="20"/>
                <w:szCs w:val="20"/>
              </w:rPr>
            </w:pPr>
            <w:r>
              <w:rPr>
                <w:rFonts w:hint="eastAsia" w:ascii="Times New Roman" w:hAnsi="Times New Roman" w:eastAsiaTheme="minorEastAsia"/>
                <w:sz w:val="20"/>
                <w:szCs w:val="20"/>
              </w:rPr>
              <w:t>Antenna configuration</w:t>
            </w:r>
          </w:p>
        </w:tc>
        <w:tc>
          <w:tcPr>
            <w:tcW w:w="2710" w:type="dxa"/>
          </w:tcPr>
          <w:p>
            <w:pPr>
              <w:overflowPunct w:val="0"/>
              <w:autoSpaceDE w:val="0"/>
              <w:autoSpaceDN w:val="0"/>
              <w:adjustRightInd w:val="0"/>
              <w:textAlignment w:val="baseline"/>
              <w:rPr>
                <w:rFonts w:ascii="Times New Roman" w:hAnsi="Times New Roman"/>
                <w:sz w:val="20"/>
                <w:szCs w:val="20"/>
              </w:rPr>
            </w:pPr>
            <w:r>
              <w:rPr>
                <w:rFonts w:hint="eastAsia" w:ascii="Times New Roman" w:hAnsi="Times New Roman"/>
                <w:sz w:val="20"/>
                <w:szCs w:val="20"/>
              </w:rPr>
              <w:t>FFS:</w:t>
            </w:r>
          </w:p>
          <w:p>
            <w:pPr>
              <w:overflowPunct w:val="0"/>
              <w:autoSpaceDE w:val="0"/>
              <w:autoSpaceDN w:val="0"/>
              <w:adjustRightInd w:val="0"/>
              <w:textAlignment w:val="baseline"/>
              <w:rPr>
                <w:rFonts w:ascii="Times New Roman" w:hAnsi="Times New Roman" w:eastAsiaTheme="minorEastAsia"/>
                <w:sz w:val="20"/>
                <w:szCs w:val="20"/>
              </w:rPr>
            </w:pPr>
            <w:r>
              <w:rPr>
                <w:rFonts w:hint="eastAsia" w:ascii="Times New Roman" w:hAnsi="Times New Roman"/>
                <w:sz w:val="20"/>
                <w:szCs w:val="20"/>
              </w:rPr>
              <w:t>(M,N,P,Mg,Ng) = (4,1,2,1,1) ? detailed other parameter refer to 38.803?</w:t>
            </w:r>
          </w:p>
        </w:tc>
      </w:tr>
    </w:tbl>
    <w:p>
      <w:pPr>
        <w:tabs>
          <w:tab w:val="left" w:pos="720"/>
        </w:tabs>
        <w:spacing w:after="156" w:afterLines="50"/>
        <w:rPr>
          <w:rFonts w:ascii="Times New Roman" w:hAnsi="Times New Roman"/>
          <w:b/>
          <w:bCs/>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21: it</w:t>
      </w:r>
      <w:r>
        <w:rPr>
          <w:rFonts w:ascii="Times New Roman" w:hAnsi="Times New Roman"/>
          <w:b/>
          <w:bCs/>
          <w:sz w:val="20"/>
          <w:szCs w:val="20"/>
        </w:rPr>
        <w:t>’</w:t>
      </w:r>
      <w:r>
        <w:rPr>
          <w:rFonts w:hint="eastAsia" w:ascii="Times New Roman" w:hAnsi="Times New Roman"/>
          <w:b/>
          <w:bCs/>
          <w:sz w:val="20"/>
          <w:szCs w:val="20"/>
        </w:rPr>
        <w:t xml:space="preserve">s suggested to use value in above table for NR macro BS. </w:t>
      </w:r>
    </w:p>
    <w:p>
      <w:pPr>
        <w:spacing w:after="156" w:afterLines="50"/>
        <w:rPr>
          <w:rFonts w:ascii="Times New Roman" w:hAnsi="Times New Roman"/>
          <w:sz w:val="20"/>
          <w:szCs w:val="20"/>
        </w:rPr>
      </w:pPr>
    </w:p>
    <w:p>
      <w:pPr>
        <w:numPr>
          <w:ilvl w:val="0"/>
          <w:numId w:val="13"/>
        </w:numPr>
        <w:rPr>
          <w:rFonts w:ascii="Times New Roman" w:hAnsi="Times New Roman"/>
          <w:sz w:val="20"/>
          <w:szCs w:val="20"/>
        </w:rPr>
      </w:pPr>
      <w:r>
        <w:rPr>
          <w:rFonts w:hint="eastAsia" w:ascii="Times New Roman" w:hAnsi="Times New Roman"/>
          <w:sz w:val="20"/>
          <w:szCs w:val="20"/>
        </w:rPr>
        <w:t>NR UE parameters</w:t>
      </w:r>
    </w:p>
    <w:p>
      <w:pPr>
        <w:tabs>
          <w:tab w:val="left" w:pos="720"/>
        </w:tabs>
        <w:spacing w:after="156" w:afterLines="50"/>
        <w:rPr>
          <w:rFonts w:ascii="Times New Roman" w:hAnsi="Times New Roman"/>
          <w:b/>
          <w:bCs/>
          <w:sz w:val="20"/>
          <w:szCs w:val="20"/>
        </w:rPr>
      </w:pPr>
    </w:p>
    <w:tbl>
      <w:tblPr>
        <w:tblStyle w:val="45"/>
        <w:tblW w:w="99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2710"/>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trPr>
        <w:tc>
          <w:tcPr>
            <w:tcW w:w="2960" w:type="dxa"/>
          </w:tcPr>
          <w:p>
            <w:pPr>
              <w:rPr>
                <w:rFonts w:ascii="Times New Roman" w:hAnsi="Times New Roman"/>
                <w:b/>
                <w:bCs/>
                <w:sz w:val="20"/>
                <w:szCs w:val="20"/>
              </w:rPr>
            </w:pPr>
            <w:r>
              <w:rPr>
                <w:rFonts w:ascii="Times New Roman" w:hAnsi="Times New Roman"/>
                <w:b/>
                <w:bCs/>
                <w:sz w:val="20"/>
                <w:szCs w:val="20"/>
              </w:rPr>
              <w:t>NR UE Parameter</w:t>
            </w:r>
          </w:p>
        </w:tc>
        <w:tc>
          <w:tcPr>
            <w:tcW w:w="2710" w:type="dxa"/>
          </w:tcPr>
          <w:p>
            <w:pPr>
              <w:rPr>
                <w:rFonts w:ascii="Times New Roman" w:hAnsi="Times New Roman"/>
                <w:b/>
                <w:bCs/>
                <w:sz w:val="20"/>
                <w:szCs w:val="20"/>
              </w:rPr>
            </w:pPr>
            <w:r>
              <w:rPr>
                <w:rFonts w:ascii="Times New Roman" w:hAnsi="Times New Roman"/>
                <w:b/>
                <w:bCs/>
                <w:sz w:val="20"/>
                <w:szCs w:val="20"/>
              </w:rPr>
              <w:t>Recommended value　</w:t>
            </w:r>
          </w:p>
        </w:tc>
        <w:tc>
          <w:tcPr>
            <w:tcW w:w="4253" w:type="dxa"/>
          </w:tcPr>
          <w:p>
            <w:pPr>
              <w:rPr>
                <w:rFonts w:ascii="Times New Roman" w:hAnsi="Times New Roman"/>
                <w:b/>
                <w:bCs/>
                <w:sz w:val="20"/>
                <w:szCs w:val="20"/>
              </w:rPr>
            </w:pPr>
            <w:r>
              <w:rPr>
                <w:rFonts w:ascii="Times New Roman" w:hAnsi="Times New Roman"/>
                <w:b/>
                <w:bCs/>
                <w:sz w:val="20"/>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UE TX power in dBm</w:t>
            </w:r>
          </w:p>
        </w:tc>
        <w:tc>
          <w:tcPr>
            <w:tcW w:w="2710" w:type="dxa"/>
          </w:tcPr>
          <w:p>
            <w:pPr>
              <w:rPr>
                <w:rFonts w:ascii="Times New Roman" w:hAnsi="Times New Roman"/>
                <w:sz w:val="20"/>
                <w:szCs w:val="20"/>
              </w:rPr>
            </w:pPr>
            <w:r>
              <w:rPr>
                <w:rFonts w:ascii="Times New Roman" w:hAnsi="Times New Roman"/>
                <w:sz w:val="20"/>
                <w:szCs w:val="20"/>
              </w:rPr>
              <w:t>-40 to 23</w:t>
            </w:r>
          </w:p>
        </w:tc>
        <w:tc>
          <w:tcPr>
            <w:tcW w:w="4253" w:type="dxa"/>
          </w:tcPr>
          <w:p>
            <w:pPr>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NR UE Antenna gain (dBi)</w:t>
            </w:r>
          </w:p>
        </w:tc>
        <w:tc>
          <w:tcPr>
            <w:tcW w:w="2710" w:type="dxa"/>
          </w:tcPr>
          <w:p>
            <w:pPr>
              <w:rPr>
                <w:rFonts w:ascii="Times New Roman" w:hAnsi="Times New Roman"/>
                <w:sz w:val="20"/>
                <w:szCs w:val="20"/>
              </w:rPr>
            </w:pPr>
            <w:r>
              <w:rPr>
                <w:rFonts w:ascii="Times New Roman" w:hAnsi="Times New Roman"/>
                <w:sz w:val="20"/>
                <w:szCs w:val="20"/>
              </w:rPr>
              <w:t>0</w:t>
            </w:r>
          </w:p>
        </w:tc>
        <w:tc>
          <w:tcPr>
            <w:tcW w:w="4253" w:type="dxa"/>
          </w:tcPr>
          <w:p>
            <w:pPr>
              <w:rPr>
                <w:rFonts w:ascii="Times New Roman" w:hAnsi="Times New Roman"/>
                <w:sz w:val="20"/>
                <w:szCs w:val="20"/>
              </w:rPr>
            </w:pPr>
            <w:r>
              <w:rPr>
                <w:rFonts w:ascii="Times New Roman" w:hAnsi="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NR UE noise floor (dBm)</w:t>
            </w:r>
          </w:p>
        </w:tc>
        <w:tc>
          <w:tcPr>
            <w:tcW w:w="2710" w:type="dxa"/>
          </w:tcPr>
          <w:p>
            <w:pPr>
              <w:rPr>
                <w:rFonts w:ascii="Times New Roman" w:hAnsi="Times New Roman"/>
                <w:sz w:val="20"/>
                <w:szCs w:val="20"/>
              </w:rPr>
            </w:pPr>
            <w:r>
              <w:rPr>
                <w:rFonts w:ascii="Times New Roman" w:hAnsi="Times New Roman"/>
                <w:sz w:val="20"/>
                <w:szCs w:val="20"/>
              </w:rPr>
              <w:t>-112.4 @ 180kHz</w:t>
            </w:r>
          </w:p>
        </w:tc>
        <w:tc>
          <w:tcPr>
            <w:tcW w:w="4253" w:type="dxa"/>
            <w:noWrap/>
          </w:tcPr>
          <w:p>
            <w:pPr>
              <w:rPr>
                <w:rFonts w:ascii="Times New Roman" w:hAnsi="Times New Roman"/>
                <w:color w:val="C00000"/>
                <w:sz w:val="20"/>
                <w:szCs w:val="20"/>
              </w:rPr>
            </w:pPr>
            <w:r>
              <w:rPr>
                <w:rFonts w:ascii="Times New Roman" w:hAnsi="Times New Roman"/>
                <w:sz w:val="20"/>
                <w:szCs w:val="20"/>
              </w:rPr>
              <w:t>noise floor=-174+10*log (180*1000)+9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NR UE ACLR（dB）</w:t>
            </w:r>
          </w:p>
        </w:tc>
        <w:tc>
          <w:tcPr>
            <w:tcW w:w="2710" w:type="dxa"/>
          </w:tcPr>
          <w:p>
            <w:pPr>
              <w:rPr>
                <w:rFonts w:ascii="Times New Roman" w:hAnsi="Times New Roman"/>
                <w:sz w:val="20"/>
                <w:szCs w:val="20"/>
              </w:rPr>
            </w:pPr>
            <w:r>
              <w:rPr>
                <w:rFonts w:ascii="Times New Roman" w:hAnsi="Times New Roman"/>
                <w:sz w:val="20"/>
                <w:szCs w:val="20"/>
              </w:rPr>
              <w:t>30</w:t>
            </w:r>
          </w:p>
        </w:tc>
        <w:tc>
          <w:tcPr>
            <w:tcW w:w="425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sz w:val="20"/>
                <w:szCs w:val="20"/>
              </w:rPr>
              <w:t>For power class 3 NR UE</w:t>
            </w:r>
          </w:p>
          <w:p>
            <w:pPr>
              <w:overflowPunct w:val="0"/>
              <w:autoSpaceDE w:val="0"/>
              <w:autoSpaceDN w:val="0"/>
              <w:adjustRightInd w:val="0"/>
              <w:textAlignment w:val="baseline"/>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960" w:type="dxa"/>
          </w:tcPr>
          <w:p>
            <w:pPr>
              <w:rPr>
                <w:rFonts w:ascii="Times New Roman" w:hAnsi="Times New Roman"/>
                <w:sz w:val="20"/>
                <w:szCs w:val="20"/>
              </w:rPr>
            </w:pPr>
            <w:r>
              <w:rPr>
                <w:rFonts w:ascii="Times New Roman" w:hAnsi="Times New Roman"/>
                <w:sz w:val="20"/>
                <w:szCs w:val="20"/>
              </w:rPr>
              <w:t>NR UE Maximum input level（dBm）</w:t>
            </w:r>
          </w:p>
        </w:tc>
        <w:tc>
          <w:tcPr>
            <w:tcW w:w="2710" w:type="dxa"/>
          </w:tcPr>
          <w:p>
            <w:pPr>
              <w:rPr>
                <w:rFonts w:ascii="Times New Roman" w:hAnsi="Times New Roman"/>
                <w:sz w:val="20"/>
                <w:szCs w:val="20"/>
              </w:rPr>
            </w:pPr>
            <w:r>
              <w:rPr>
                <w:rFonts w:ascii="Times New Roman" w:hAnsi="Times New Roman"/>
                <w:sz w:val="20"/>
                <w:szCs w:val="20"/>
              </w:rPr>
              <w:t>-25</w:t>
            </w:r>
          </w:p>
        </w:tc>
        <w:tc>
          <w:tcPr>
            <w:tcW w:w="4253" w:type="dxa"/>
          </w:tcPr>
          <w:p>
            <w:pPr>
              <w:rPr>
                <w:rFonts w:ascii="Times New Roman" w:hAnsi="Times New Roman"/>
                <w:sz w:val="20"/>
                <w:szCs w:val="20"/>
              </w:rPr>
            </w:pPr>
            <w:r>
              <w:rPr>
                <w:rFonts w:ascii="Times New Roman" w:hAnsi="Times New Roman"/>
                <w:sz w:val="20"/>
                <w:szCs w:val="20"/>
              </w:rPr>
              <w:t>TS38101-1 7.4 Maximum input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NR UE Noise Figure（dB）</w:t>
            </w:r>
          </w:p>
        </w:tc>
        <w:tc>
          <w:tcPr>
            <w:tcW w:w="2710" w:type="dxa"/>
          </w:tcPr>
          <w:p>
            <w:pPr>
              <w:rPr>
                <w:rFonts w:ascii="Times New Roman" w:hAnsi="Times New Roman"/>
                <w:sz w:val="20"/>
                <w:szCs w:val="20"/>
              </w:rPr>
            </w:pPr>
            <w:r>
              <w:rPr>
                <w:rFonts w:hint="eastAsia" w:ascii="Times New Roman" w:hAnsi="Times New Roman"/>
                <w:sz w:val="20"/>
                <w:szCs w:val="20"/>
              </w:rPr>
              <w:t>7</w:t>
            </w:r>
          </w:p>
        </w:tc>
        <w:tc>
          <w:tcPr>
            <w:tcW w:w="4253" w:type="dxa"/>
          </w:tcPr>
          <w:p>
            <w:pPr>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vAlign w:val="center"/>
          </w:tcPr>
          <w:p>
            <w:p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Antenna configuration</w:t>
            </w:r>
          </w:p>
        </w:tc>
        <w:tc>
          <w:tcPr>
            <w:tcW w:w="2710" w:type="dxa"/>
            <w:vAlign w:val="center"/>
          </w:tcPr>
          <w:p>
            <w:p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Omni direction antenna</w:t>
            </w:r>
          </w:p>
        </w:tc>
        <w:tc>
          <w:tcPr>
            <w:tcW w:w="4253" w:type="dxa"/>
          </w:tcPr>
          <w:p>
            <w:pPr>
              <w:overflowPunct w:val="0"/>
              <w:autoSpaceDE w:val="0"/>
              <w:autoSpaceDN w:val="0"/>
              <w:adjustRightInd w:val="0"/>
              <w:textAlignment w:val="baseline"/>
              <w:rPr>
                <w:rFonts w:ascii="Times New Roman" w:hAnsi="Times New Roman" w:eastAsia="Yu Mincho"/>
                <w:sz w:val="20"/>
                <w:szCs w:val="20"/>
              </w:rPr>
            </w:pPr>
          </w:p>
        </w:tc>
      </w:tr>
    </w:tbl>
    <w:p>
      <w:pPr>
        <w:tabs>
          <w:tab w:val="left" w:pos="720"/>
        </w:tabs>
        <w:spacing w:after="156" w:afterLines="50"/>
        <w:rPr>
          <w:rFonts w:ascii="Times New Roman" w:hAnsi="Times New Roman"/>
          <w:b/>
          <w:bCs/>
          <w:sz w:val="20"/>
          <w:szCs w:val="20"/>
        </w:rPr>
      </w:pPr>
    </w:p>
    <w:p>
      <w:pPr>
        <w:tabs>
          <w:tab w:val="left" w:pos="720"/>
        </w:tabs>
        <w:spacing w:after="156" w:afterLines="50"/>
        <w:rPr>
          <w:rFonts w:ascii="Times New Roman" w:hAnsi="Times New Roman"/>
          <w:sz w:val="20"/>
          <w:szCs w:val="20"/>
        </w:rPr>
      </w:pPr>
      <w:r>
        <w:rPr>
          <w:rFonts w:hint="eastAsia" w:ascii="Times New Roman" w:hAnsi="Times New Roman"/>
          <w:b/>
          <w:bCs/>
          <w:sz w:val="20"/>
          <w:szCs w:val="20"/>
        </w:rPr>
        <w:t>Proposal 22: it</w:t>
      </w:r>
      <w:r>
        <w:rPr>
          <w:rFonts w:ascii="Times New Roman" w:hAnsi="Times New Roman"/>
          <w:b/>
          <w:bCs/>
          <w:sz w:val="20"/>
          <w:szCs w:val="20"/>
        </w:rPr>
        <w:t>’</w:t>
      </w:r>
      <w:r>
        <w:rPr>
          <w:rFonts w:hint="eastAsia" w:ascii="Times New Roman" w:hAnsi="Times New Roman"/>
          <w:b/>
          <w:bCs/>
          <w:sz w:val="20"/>
          <w:szCs w:val="20"/>
        </w:rPr>
        <w:t xml:space="preserve">s suggested to use value in above table for NR UE. </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co-existence key evaluation parameters are discussed with following observations and proposals.</w:t>
      </w:r>
    </w:p>
    <w:p>
      <w:pPr>
        <w:spacing w:after="156" w:afterLines="50"/>
        <w:rPr>
          <w:rFonts w:ascii="Times New Roman" w:hAnsi="Times New Roman"/>
          <w:sz w:val="20"/>
          <w:szCs w:val="20"/>
        </w:rPr>
      </w:pPr>
      <w:r>
        <w:rPr>
          <w:rFonts w:hint="eastAsia" w:ascii="Times New Roman" w:hAnsi="Times New Roman"/>
          <w:b/>
          <w:bCs/>
          <w:sz w:val="20"/>
          <w:szCs w:val="20"/>
        </w:rPr>
        <w:t>Proposal 1: it</w:t>
      </w:r>
      <w:r>
        <w:rPr>
          <w:rFonts w:ascii="Times New Roman" w:hAnsi="Times New Roman"/>
          <w:b/>
          <w:bCs/>
          <w:sz w:val="20"/>
          <w:szCs w:val="20"/>
        </w:rPr>
        <w:t>’</w:t>
      </w:r>
      <w:r>
        <w:rPr>
          <w:rFonts w:hint="eastAsia" w:ascii="Times New Roman" w:hAnsi="Times New Roman"/>
          <w:b/>
          <w:bCs/>
          <w:sz w:val="20"/>
          <w:szCs w:val="20"/>
        </w:rPr>
        <w:t>s suggested to use monte-carlo simulation method rather than calculation for all co-existence evaluation.</w:t>
      </w:r>
      <w:r>
        <w:rPr>
          <w:rFonts w:hint="eastAsia" w:ascii="Times New Roman" w:hAnsi="Times New Roman"/>
          <w:sz w:val="20"/>
          <w:szCs w:val="20"/>
        </w:rPr>
        <w:t xml:space="preserve"> </w:t>
      </w:r>
    </w:p>
    <w:p>
      <w:pPr>
        <w:spacing w:after="180"/>
        <w:jc w:val="left"/>
        <w:rPr>
          <w:rFonts w:ascii="Times New Roman" w:hAnsi="Times New Roman"/>
          <w:b/>
          <w:bCs/>
          <w:sz w:val="20"/>
          <w:szCs w:val="20"/>
        </w:rPr>
      </w:pPr>
      <w:r>
        <w:rPr>
          <w:rFonts w:hint="eastAsia" w:ascii="Times New Roman" w:hAnsi="Times New Roman"/>
          <w:b/>
          <w:bCs/>
          <w:sz w:val="20"/>
          <w:szCs w:val="20"/>
        </w:rPr>
        <w:t>Proposal 2: during co-existence simulation, there is no need to consider CW unwanted interference due to its almost perfect unwanted emission performance outside the transmission bandwidth, i.e. don</w:t>
      </w:r>
      <w:r>
        <w:rPr>
          <w:rFonts w:ascii="Times New Roman" w:hAnsi="Times New Roman"/>
          <w:b/>
          <w:bCs/>
          <w:sz w:val="20"/>
          <w:szCs w:val="20"/>
        </w:rPr>
        <w:t>’</w:t>
      </w:r>
      <w:r>
        <w:rPr>
          <w:rFonts w:hint="eastAsia" w:ascii="Times New Roman" w:hAnsi="Times New Roman"/>
          <w:b/>
          <w:bCs/>
          <w:sz w:val="20"/>
          <w:szCs w:val="20"/>
        </w:rPr>
        <w:t>t need to consider the interference when CW as aggressor.</w:t>
      </w:r>
    </w:p>
    <w:p>
      <w:pPr>
        <w:spacing w:after="156" w:afterLines="50"/>
        <w:rPr>
          <w:rFonts w:ascii="Times New Roman" w:hAnsi="Times New Roman"/>
          <w:b/>
          <w:bCs/>
          <w:sz w:val="20"/>
          <w:szCs w:val="20"/>
        </w:rPr>
      </w:pPr>
      <w:r>
        <w:rPr>
          <w:rFonts w:hint="eastAsia" w:ascii="Times New Roman" w:hAnsi="Times New Roman"/>
          <w:b/>
          <w:bCs/>
          <w:sz w:val="20"/>
          <w:szCs w:val="20"/>
        </w:rPr>
        <w:t>Observation 1: RF-ED based device can</w:t>
      </w:r>
      <w:r>
        <w:rPr>
          <w:rFonts w:ascii="Times New Roman" w:hAnsi="Times New Roman"/>
          <w:b/>
          <w:bCs/>
          <w:sz w:val="20"/>
          <w:szCs w:val="20"/>
        </w:rPr>
        <w:t>’</w:t>
      </w:r>
      <w:r>
        <w:rPr>
          <w:rFonts w:hint="eastAsia" w:ascii="Times New Roman" w:hAnsi="Times New Roman"/>
          <w:b/>
          <w:bCs/>
          <w:sz w:val="20"/>
          <w:szCs w:val="20"/>
        </w:rPr>
        <w:t>t have any in-band selectivity.</w:t>
      </w:r>
    </w:p>
    <w:p>
      <w:pPr>
        <w:spacing w:after="156" w:afterLines="50"/>
        <w:rPr>
          <w:rFonts w:ascii="Times New Roman" w:hAnsi="Times New Roman"/>
          <w:b/>
          <w:bCs/>
          <w:sz w:val="20"/>
          <w:szCs w:val="20"/>
        </w:rPr>
      </w:pPr>
      <w:r>
        <w:rPr>
          <w:rFonts w:hint="eastAsia" w:ascii="Times New Roman" w:hAnsi="Times New Roman"/>
          <w:b/>
          <w:bCs/>
          <w:sz w:val="20"/>
          <w:szCs w:val="20"/>
        </w:rPr>
        <w:t xml:space="preserve">Proposal 3: there is no need to use monte-carlo simulation method to evaluate the interference when device as victim. Instead we can use LLS to simulate under which power difference between reader and interference signal, the device could successfully receive R2D signal. </w:t>
      </w:r>
    </w:p>
    <w:p>
      <w:pPr>
        <w:spacing w:after="156" w:afterLines="50"/>
        <w:rPr>
          <w:rFonts w:ascii="Times New Roman" w:hAnsi="Times New Roman"/>
          <w:b/>
          <w:bCs/>
          <w:sz w:val="20"/>
          <w:szCs w:val="20"/>
        </w:rPr>
      </w:pPr>
      <w:r>
        <w:rPr>
          <w:rFonts w:hint="eastAsia" w:ascii="Times New Roman" w:hAnsi="Times New Roman"/>
          <w:b/>
          <w:bCs/>
          <w:sz w:val="20"/>
          <w:szCs w:val="20"/>
        </w:rPr>
        <w:t>Proposal 4: it</w:t>
      </w:r>
      <w:r>
        <w:rPr>
          <w:rFonts w:ascii="Times New Roman" w:hAnsi="Times New Roman"/>
          <w:b/>
          <w:bCs/>
          <w:sz w:val="20"/>
          <w:szCs w:val="20"/>
        </w:rPr>
        <w:t>’</w:t>
      </w:r>
      <w:r>
        <w:rPr>
          <w:rFonts w:hint="eastAsia" w:ascii="Times New Roman" w:hAnsi="Times New Roman"/>
          <w:b/>
          <w:bCs/>
          <w:sz w:val="20"/>
          <w:szCs w:val="20"/>
        </w:rPr>
        <w:t>s suggested to use RAN1 agreement as baseline and further discuss the remaining FFS parameters in this meeting.</w:t>
      </w:r>
    </w:p>
    <w:p>
      <w:pPr>
        <w:spacing w:after="180"/>
        <w:rPr>
          <w:rFonts w:ascii="Times New Roman" w:hAnsi="Times New Roman"/>
          <w:b/>
          <w:bCs/>
          <w:sz w:val="20"/>
          <w:szCs w:val="20"/>
        </w:rPr>
      </w:pPr>
      <w:r>
        <w:rPr>
          <w:rFonts w:hint="eastAsia" w:ascii="Times New Roman" w:hAnsi="Times New Roman"/>
          <w:b/>
          <w:bCs/>
          <w:sz w:val="20"/>
          <w:szCs w:val="20"/>
        </w:rPr>
        <w:t>Observation 2: 1dB SNR degradation is just the experiential performance metric for OFDM signal and whether feasible for A-IoT signal needs further check.</w:t>
      </w:r>
    </w:p>
    <w:p>
      <w:pPr>
        <w:spacing w:after="156" w:afterLines="50"/>
        <w:rPr>
          <w:rFonts w:ascii="Times New Roman" w:hAnsi="Times New Roman"/>
          <w:b/>
          <w:bCs/>
          <w:sz w:val="20"/>
          <w:szCs w:val="20"/>
        </w:rPr>
      </w:pPr>
      <w:r>
        <w:rPr>
          <w:rFonts w:hint="eastAsia" w:ascii="Times New Roman" w:hAnsi="Times New Roman"/>
          <w:b/>
          <w:bCs/>
          <w:sz w:val="20"/>
          <w:szCs w:val="20"/>
        </w:rPr>
        <w:t>Proposal 5: it</w:t>
      </w:r>
      <w:r>
        <w:rPr>
          <w:rFonts w:ascii="Times New Roman" w:hAnsi="Times New Roman"/>
          <w:b/>
          <w:bCs/>
          <w:sz w:val="20"/>
          <w:szCs w:val="20"/>
        </w:rPr>
        <w:t>’</w:t>
      </w:r>
      <w:r>
        <w:rPr>
          <w:rFonts w:hint="eastAsia" w:ascii="Times New Roman" w:hAnsi="Times New Roman"/>
          <w:b/>
          <w:bCs/>
          <w:sz w:val="20"/>
          <w:szCs w:val="20"/>
        </w:rPr>
        <w:t>s suggested to use 10% BLER as performance metric for all kinds of devices, reader of topology 1 and 2. Relationship between SINR and BLER are based on companies</w:t>
      </w:r>
      <w:r>
        <w:rPr>
          <w:rFonts w:ascii="Times New Roman" w:hAnsi="Times New Roman"/>
          <w:b/>
          <w:bCs/>
          <w:sz w:val="20"/>
          <w:szCs w:val="20"/>
        </w:rPr>
        <w:t>’</w:t>
      </w:r>
      <w:r>
        <w:rPr>
          <w:rFonts w:hint="eastAsia" w:ascii="Times New Roman" w:hAnsi="Times New Roman"/>
          <w:b/>
          <w:bCs/>
          <w:sz w:val="20"/>
          <w:szCs w:val="20"/>
        </w:rPr>
        <w:t xml:space="preserve"> input. </w:t>
      </w:r>
    </w:p>
    <w:p>
      <w:pPr>
        <w:spacing w:after="156" w:afterLines="50"/>
        <w:rPr>
          <w:rFonts w:ascii="Times New Roman" w:hAnsi="Times New Roman"/>
          <w:b/>
          <w:bCs/>
          <w:sz w:val="20"/>
          <w:szCs w:val="20"/>
        </w:rPr>
      </w:pPr>
      <w:r>
        <w:rPr>
          <w:rFonts w:hint="eastAsia" w:ascii="Times New Roman" w:hAnsi="Times New Roman"/>
          <w:b/>
          <w:bCs/>
          <w:sz w:val="20"/>
          <w:szCs w:val="20"/>
        </w:rPr>
        <w:t>Proposal 6: it</w:t>
      </w:r>
      <w:r>
        <w:rPr>
          <w:rFonts w:ascii="Times New Roman" w:hAnsi="Times New Roman"/>
          <w:b/>
          <w:bCs/>
          <w:sz w:val="20"/>
          <w:szCs w:val="20"/>
        </w:rPr>
        <w:t>’</w:t>
      </w:r>
      <w:r>
        <w:rPr>
          <w:rFonts w:hint="eastAsia" w:ascii="Times New Roman" w:hAnsi="Times New Roman"/>
          <w:b/>
          <w:bCs/>
          <w:sz w:val="20"/>
          <w:szCs w:val="20"/>
        </w:rPr>
        <w:t>s suggested to align LLS simulation parameters in RAN4 and show the high priority sets of parameters to reduce the workload of LLS and try best to converge final relationship between SNR and BLER.</w:t>
      </w:r>
    </w:p>
    <w:p>
      <w:pPr>
        <w:spacing w:after="156" w:afterLines="50"/>
        <w:rPr>
          <w:rFonts w:ascii="Times New Roman" w:hAnsi="Times New Roman"/>
          <w:b/>
          <w:bCs/>
          <w:sz w:val="20"/>
          <w:szCs w:val="20"/>
        </w:rPr>
      </w:pPr>
      <w:r>
        <w:rPr>
          <w:rFonts w:hint="eastAsia" w:ascii="Times New Roman" w:hAnsi="Times New Roman"/>
          <w:b/>
          <w:bCs/>
          <w:sz w:val="20"/>
          <w:szCs w:val="20"/>
        </w:rPr>
        <w:t xml:space="preserve">Proposal 7: we should align the definition of SNR from co-existence simulation output and the definition of SNR from SNR-BLER relationship, i.e. align the definition of the bandwidth of wanted bandwidth and the bandwidth of noise+interference bandwidth when calculate SINR. </w:t>
      </w:r>
    </w:p>
    <w:p>
      <w:pPr>
        <w:spacing w:after="156" w:afterLines="50"/>
        <w:rPr>
          <w:rFonts w:ascii="Times New Roman" w:hAnsi="Times New Roman"/>
          <w:sz w:val="20"/>
          <w:szCs w:val="20"/>
        </w:rPr>
      </w:pPr>
      <w:r>
        <w:rPr>
          <w:rFonts w:hint="eastAsia" w:ascii="Times New Roman" w:hAnsi="Times New Roman"/>
          <w:b/>
          <w:bCs/>
          <w:sz w:val="20"/>
          <w:szCs w:val="20"/>
        </w:rPr>
        <w:t>Proposal 8: sensitivity of device should be taken into consideration and only the devices that meet sensitivity threshold should be included into final BLER statistics.</w:t>
      </w:r>
    </w:p>
    <w:p>
      <w:pPr>
        <w:spacing w:after="156" w:afterLines="50"/>
        <w:rPr>
          <w:rFonts w:ascii="Times New Roman" w:hAnsi="Times New Roman"/>
          <w:b/>
          <w:bCs/>
          <w:sz w:val="20"/>
          <w:szCs w:val="20"/>
        </w:rPr>
      </w:pPr>
      <w:r>
        <w:rPr>
          <w:rFonts w:hint="eastAsia" w:ascii="Times New Roman" w:hAnsi="Times New Roman"/>
          <w:b/>
          <w:bCs/>
          <w:sz w:val="20"/>
          <w:szCs w:val="20"/>
        </w:rPr>
        <w:t>Proposal 9: RAN4 need to discuss the outage probability if 1% BLER is used as performance metric. 5% worst victim is suggested as the candidate value.</w:t>
      </w:r>
    </w:p>
    <w:p>
      <w:pPr>
        <w:spacing w:after="156" w:afterLines="50"/>
        <w:rPr>
          <w:rFonts w:ascii="Times New Roman" w:hAnsi="Times New Roman"/>
          <w:b/>
          <w:bCs/>
          <w:sz w:val="20"/>
          <w:szCs w:val="20"/>
        </w:rPr>
      </w:pPr>
      <w:r>
        <w:rPr>
          <w:rFonts w:hint="eastAsia" w:ascii="Times New Roman" w:hAnsi="Times New Roman"/>
          <w:b/>
          <w:bCs/>
          <w:sz w:val="20"/>
          <w:szCs w:val="20"/>
        </w:rPr>
        <w:t>Proposal 10: for legacy gNB and UE, 5% throughput loss is suggested as performance metric.</w:t>
      </w:r>
    </w:p>
    <w:tbl>
      <w:tblPr>
        <w:tblStyle w:val="1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9"/>
        <w:gridCol w:w="2007"/>
        <w:gridCol w:w="2850"/>
        <w:gridCol w:w="2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restart"/>
            <w:shd w:val="clear" w:color="auto" w:fill="D7D7D7" w:themeFill="background1" w:themeFillShade="D8"/>
          </w:tcPr>
          <w:p>
            <w:pPr>
              <w:spacing w:before="120" w:after="156" w:afterLines="50" w:line="280" w:lineRule="atLeast"/>
              <w:rPr>
                <w:rFonts w:ascii="Times New Roman" w:hAnsi="Times New Roman"/>
                <w:sz w:val="20"/>
                <w:szCs w:val="20"/>
                <w:lang w:val="en-GB" w:eastAsia="en-GB"/>
              </w:rPr>
            </w:pP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p>
        </w:tc>
        <w:tc>
          <w:tcPr>
            <w:tcW w:w="2536" w:type="pct"/>
            <w:gridSpan w:val="2"/>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In-band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continue"/>
            <w:shd w:val="clear" w:color="auto" w:fill="D7D7D7" w:themeFill="background1" w:themeFillShade="D8"/>
          </w:tcPr>
          <w:p>
            <w:pPr>
              <w:spacing w:before="120" w:after="156" w:afterLines="50" w:line="280" w:lineRule="atLeast"/>
              <w:rPr>
                <w:rFonts w:ascii="Times New Roman" w:hAnsi="Times New Roman"/>
                <w:sz w:val="20"/>
                <w:szCs w:val="20"/>
                <w:lang w:val="en-GB" w:eastAsia="en-GB"/>
              </w:rPr>
            </w:pP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p>
        </w:tc>
        <w:tc>
          <w:tcPr>
            <w:tcW w:w="1430"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Tx</w:t>
            </w:r>
          </w:p>
        </w:tc>
        <w:tc>
          <w:tcPr>
            <w:tcW w:w="1106"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restar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Existing UE/Intermediate UE</w:t>
            </w: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For formal simulation</w:t>
            </w:r>
          </w:p>
        </w:tc>
        <w:tc>
          <w:tcPr>
            <w:tcW w:w="1430"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Legacy UE IBE requirement</w:t>
            </w:r>
          </w:p>
        </w:tc>
        <w:tc>
          <w:tcPr>
            <w:tcW w:w="1106"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ICS=ACS value</w:t>
            </w:r>
          </w:p>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According to SBFD analysis, ICS could be equals to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continue"/>
            <w:shd w:val="clear" w:color="auto" w:fill="D7D7D7" w:themeFill="background1" w:themeFillShade="D8"/>
          </w:tcPr>
          <w:p>
            <w:pPr>
              <w:spacing w:before="120" w:after="156" w:afterLines="50" w:line="280" w:lineRule="atLeast"/>
              <w:rPr>
                <w:rFonts w:ascii="Times New Roman" w:hAnsi="Times New Roman"/>
                <w:sz w:val="20"/>
                <w:szCs w:val="20"/>
                <w:lang w:val="en-GB" w:eastAsia="en-GB"/>
              </w:rPr>
            </w:pP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For calibration purpose</w:t>
            </w:r>
          </w:p>
        </w:tc>
        <w:tc>
          <w:tcPr>
            <w:tcW w:w="1430"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Legacy UE IBE</w:t>
            </w:r>
          </w:p>
        </w:tc>
        <w:tc>
          <w:tcPr>
            <w:tcW w:w="1106"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restar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Existing gNB/reader of topology 1</w:t>
            </w: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For formal simulation</w:t>
            </w:r>
          </w:p>
        </w:tc>
        <w:tc>
          <w:tcPr>
            <w:tcW w:w="1430"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Based on companies</w:t>
            </w:r>
            <w:r>
              <w:rPr>
                <w:rFonts w:ascii="Times New Roman" w:hAnsi="Times New Roman"/>
                <w:sz w:val="20"/>
                <w:szCs w:val="20"/>
                <w:lang w:val="en-GB" w:eastAsia="en-GB"/>
              </w:rPr>
              <w:t>’</w:t>
            </w:r>
            <w:r>
              <w:rPr>
                <w:rFonts w:hint="eastAsia" w:ascii="Times New Roman" w:hAnsi="Times New Roman"/>
                <w:sz w:val="20"/>
                <w:szCs w:val="20"/>
                <w:lang w:val="en-GB" w:eastAsia="en-GB"/>
              </w:rPr>
              <w:t xml:space="preserve"> input since there is no such requirements in 38.104</w:t>
            </w:r>
          </w:p>
        </w:tc>
        <w:tc>
          <w:tcPr>
            <w:tcW w:w="1106"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Based on companies</w:t>
            </w:r>
            <w:r>
              <w:rPr>
                <w:rFonts w:ascii="Times New Roman" w:hAnsi="Times New Roman"/>
                <w:sz w:val="20"/>
                <w:szCs w:val="20"/>
                <w:lang w:val="en-GB" w:eastAsia="en-GB"/>
              </w:rPr>
              <w:t>’</w:t>
            </w:r>
            <w:r>
              <w:rPr>
                <w:rFonts w:hint="eastAsia" w:ascii="Times New Roman" w:hAnsi="Times New Roman"/>
                <w:sz w:val="20"/>
                <w:szCs w:val="20"/>
                <w:lang w:val="en-GB" w:eastAsia="en-GB"/>
              </w:rPr>
              <w:t xml:space="preserve"> input in dB scale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continue"/>
            <w:shd w:val="clear" w:color="auto" w:fill="D7D7D7" w:themeFill="background1" w:themeFillShade="D8"/>
          </w:tcPr>
          <w:p>
            <w:pPr>
              <w:spacing w:before="120" w:after="156" w:afterLines="50" w:line="280" w:lineRule="atLeast"/>
              <w:rPr>
                <w:rFonts w:ascii="Times New Roman" w:hAnsi="Times New Roman"/>
                <w:sz w:val="20"/>
                <w:szCs w:val="20"/>
                <w:lang w:val="en-GB" w:eastAsia="en-GB"/>
              </w:rPr>
            </w:pP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For calibration purpose</w:t>
            </w:r>
          </w:p>
        </w:tc>
        <w:tc>
          <w:tcPr>
            <w:tcW w:w="1430"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ACLR of legacy gNB</w:t>
            </w:r>
          </w:p>
        </w:tc>
        <w:tc>
          <w:tcPr>
            <w:tcW w:w="1106"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ACS of legacy gNB</w:t>
            </w:r>
          </w:p>
        </w:tc>
      </w:tr>
    </w:tbl>
    <w:p>
      <w:pPr>
        <w:spacing w:after="156" w:afterLines="50"/>
        <w:rPr>
          <w:rFonts w:ascii="Times New Roman" w:hAnsi="Times New Roman"/>
          <w:b/>
          <w:bCs/>
          <w:sz w:val="20"/>
          <w:szCs w:val="20"/>
        </w:rPr>
      </w:pPr>
    </w:p>
    <w:p>
      <w:pPr>
        <w:spacing w:after="156" w:afterLines="50"/>
        <w:rPr>
          <w:rFonts w:ascii="Times New Roman" w:hAnsi="Times New Roman"/>
          <w:b/>
          <w:bCs/>
          <w:sz w:val="20"/>
          <w:szCs w:val="20"/>
        </w:rPr>
      </w:pPr>
      <w:r>
        <w:rPr>
          <w:rFonts w:hint="eastAsia" w:ascii="Times New Roman" w:hAnsi="Times New Roman"/>
          <w:b/>
          <w:bCs/>
          <w:sz w:val="20"/>
          <w:szCs w:val="20"/>
        </w:rPr>
        <w:t>Proposal 11: for existing UE/intermediate UE/ existing gNB/ reader of topology 1, the suggested value for adjacent RB Tx leakage and Rx selectivity is listed in above table. It</w:t>
      </w:r>
      <w:r>
        <w:rPr>
          <w:rFonts w:ascii="Times New Roman" w:hAnsi="Times New Roman"/>
          <w:b/>
          <w:bCs/>
          <w:sz w:val="20"/>
          <w:szCs w:val="20"/>
        </w:rPr>
        <w:t>’</w:t>
      </w:r>
      <w:r>
        <w:rPr>
          <w:rFonts w:hint="eastAsia" w:ascii="Times New Roman" w:hAnsi="Times New Roman"/>
          <w:b/>
          <w:bCs/>
          <w:sz w:val="20"/>
          <w:szCs w:val="20"/>
        </w:rPr>
        <w:t>s noted, to facilitate calibration above table also list the value for calibration purpose if there is no agreements in this meeting.</w:t>
      </w:r>
    </w:p>
    <w:p>
      <w:pPr>
        <w:spacing w:after="156" w:afterLines="50"/>
        <w:rPr>
          <w:rFonts w:ascii="Times New Roman" w:hAnsi="Times New Roman"/>
          <w:b/>
          <w:bCs/>
          <w:sz w:val="20"/>
          <w:szCs w:val="20"/>
        </w:rPr>
      </w:pPr>
      <w:r>
        <w:rPr>
          <w:rFonts w:hint="eastAsia" w:ascii="Times New Roman" w:hAnsi="Times New Roman"/>
          <w:b/>
          <w:bCs/>
          <w:sz w:val="20"/>
          <w:szCs w:val="20"/>
        </w:rPr>
        <w:t>Proposal 12: for device 1 and 2a, it</w:t>
      </w:r>
      <w:r>
        <w:rPr>
          <w:rFonts w:ascii="Times New Roman" w:hAnsi="Times New Roman"/>
          <w:b/>
          <w:bCs/>
          <w:sz w:val="20"/>
          <w:szCs w:val="20"/>
        </w:rPr>
        <w:t>’</w:t>
      </w:r>
      <w:r>
        <w:rPr>
          <w:rFonts w:hint="eastAsia" w:ascii="Times New Roman" w:hAnsi="Times New Roman"/>
          <w:b/>
          <w:bCs/>
          <w:sz w:val="20"/>
          <w:szCs w:val="20"/>
        </w:rPr>
        <w:t>s suggested to use following value for IBE as starting point with assuming 5kbps D2R date rate, Manchester code, BPSK modulation scheme. Following assume</w:t>
      </w:r>
      <w:r>
        <w:rPr>
          <w:rFonts w:hint="eastAsia" w:ascii="Times New Roman" w:hAnsi="Times New Roman"/>
          <w:b/>
          <w:bCs/>
          <w:sz w:val="20"/>
          <w:szCs w:val="20"/>
          <w:lang w:val="en-US" w:eastAsia="zh-CN"/>
        </w:rPr>
        <w:t>s that</w:t>
      </w:r>
      <w:r>
        <w:rPr>
          <w:rFonts w:hint="eastAsia" w:ascii="Times New Roman" w:hAnsi="Times New Roman"/>
          <w:b/>
          <w:bCs/>
          <w:sz w:val="20"/>
          <w:szCs w:val="20"/>
        </w:rPr>
        <w:t xml:space="preserve"> Tx signal is at frequency center</w:t>
      </w:r>
    </w:p>
    <w:p>
      <w:pPr>
        <w:numPr>
          <w:ilvl w:val="0"/>
          <w:numId w:val="7"/>
        </w:numPr>
        <w:spacing w:after="156" w:afterLines="50"/>
        <w:rPr>
          <w:rFonts w:ascii="Times New Roman" w:hAnsi="Times New Roman"/>
          <w:b/>
          <w:bCs/>
          <w:sz w:val="20"/>
          <w:szCs w:val="20"/>
        </w:rPr>
      </w:pPr>
      <w:r>
        <w:rPr>
          <w:rFonts w:hint="eastAsia" w:ascii="Times New Roman" w:hAnsi="Times New Roman"/>
          <w:b/>
          <w:bCs/>
          <w:sz w:val="20"/>
          <w:szCs w:val="20"/>
        </w:rPr>
        <w:t>25dBc at the edge of center 1PRB, i.e. 90kHz offset from frequency center</w:t>
      </w:r>
    </w:p>
    <w:p>
      <w:pPr>
        <w:numPr>
          <w:ilvl w:val="0"/>
          <w:numId w:val="7"/>
        </w:numPr>
        <w:spacing w:after="156" w:afterLines="50"/>
        <w:rPr>
          <w:rFonts w:ascii="Times New Roman" w:hAnsi="Times New Roman"/>
          <w:b/>
          <w:bCs/>
          <w:sz w:val="20"/>
          <w:szCs w:val="20"/>
        </w:rPr>
      </w:pPr>
      <w:r>
        <w:rPr>
          <w:rFonts w:hint="eastAsia" w:ascii="Times New Roman" w:hAnsi="Times New Roman"/>
          <w:b/>
          <w:bCs/>
          <w:sz w:val="20"/>
          <w:szCs w:val="20"/>
        </w:rPr>
        <w:t>35dBc with 1 guard RB away from center PRB, i.e. 270kHz offset from frequency center</w:t>
      </w:r>
    </w:p>
    <w:p>
      <w:pPr>
        <w:numPr>
          <w:ilvl w:val="0"/>
          <w:numId w:val="7"/>
        </w:numPr>
        <w:spacing w:after="156" w:afterLines="50"/>
        <w:rPr>
          <w:rFonts w:ascii="Times New Roman" w:hAnsi="Times New Roman"/>
          <w:b/>
          <w:bCs/>
          <w:sz w:val="20"/>
          <w:szCs w:val="20"/>
        </w:rPr>
      </w:pPr>
      <w:r>
        <w:rPr>
          <w:rFonts w:hint="eastAsia" w:ascii="Times New Roman" w:hAnsi="Times New Roman"/>
          <w:b/>
          <w:bCs/>
          <w:sz w:val="20"/>
          <w:szCs w:val="20"/>
        </w:rPr>
        <w:t>41dBc with 2 guard RB away from center PRB, i.e. 450kHz offset from frequency center</w:t>
      </w:r>
    </w:p>
    <w:p>
      <w:pPr>
        <w:spacing w:after="156" w:afterLines="50"/>
        <w:rPr>
          <w:rFonts w:ascii="Times New Roman" w:hAnsi="Times New Roman"/>
          <w:b/>
          <w:bCs/>
          <w:sz w:val="20"/>
          <w:szCs w:val="20"/>
        </w:rPr>
      </w:pPr>
      <w:r>
        <w:rPr>
          <w:rFonts w:hint="eastAsia" w:ascii="Times New Roman" w:hAnsi="Times New Roman"/>
          <w:b/>
          <w:bCs/>
          <w:sz w:val="20"/>
          <w:szCs w:val="20"/>
        </w:rPr>
        <w:t>Proposal 13: following CW interference cancellation evaluation methodology is suggested. Besides, RAN4 needs to further discuss whether it is still necessary to evaluate -A2 evaluation case if CW interference cancellation capability is already much high, i.e. remaining CW interference is much lower than noise floor.</w:t>
      </w:r>
    </w:p>
    <w:p>
      <w:pPr>
        <w:numPr>
          <w:ilvl w:val="0"/>
          <w:numId w:val="9"/>
        </w:numPr>
        <w:spacing w:after="156" w:afterLines="50"/>
        <w:rPr>
          <w:rFonts w:ascii="Times New Roman" w:hAnsi="Times New Roman"/>
          <w:b/>
          <w:bCs/>
          <w:sz w:val="20"/>
          <w:szCs w:val="20"/>
        </w:rPr>
      </w:pPr>
      <w:r>
        <w:rPr>
          <w:rFonts w:ascii="Times New Roman" w:hAnsi="Times New Roman"/>
          <w:b/>
          <w:bCs/>
          <w:sz w:val="20"/>
          <w:szCs w:val="20"/>
        </w:rPr>
        <w:t>Meth</w:t>
      </w:r>
      <w:r>
        <w:rPr>
          <w:rFonts w:hint="eastAsia" w:ascii="Times New Roman" w:hAnsi="Times New Roman"/>
          <w:b/>
          <w:bCs/>
          <w:sz w:val="20"/>
          <w:szCs w:val="20"/>
        </w:rPr>
        <w:t>o</w:t>
      </w:r>
      <w:r>
        <w:rPr>
          <w:rFonts w:ascii="Times New Roman" w:hAnsi="Times New Roman"/>
          <w:b/>
          <w:bCs/>
          <w:sz w:val="20"/>
          <w:szCs w:val="20"/>
        </w:rPr>
        <w:t>dology: residual self-interference= Tx power - self-interference cancellation capability</w:t>
      </w:r>
    </w:p>
    <w:p>
      <w:pPr>
        <w:numPr>
          <w:ilvl w:val="0"/>
          <w:numId w:val="9"/>
        </w:numPr>
        <w:spacing w:after="156" w:afterLines="50"/>
        <w:rPr>
          <w:rFonts w:ascii="Times New Roman" w:hAnsi="Times New Roman"/>
          <w:b/>
          <w:bCs/>
          <w:sz w:val="20"/>
          <w:szCs w:val="20"/>
        </w:rPr>
      </w:pPr>
      <w:r>
        <w:rPr>
          <w:rFonts w:ascii="Times New Roman" w:hAnsi="Times New Roman"/>
          <w:b/>
          <w:bCs/>
          <w:sz w:val="20"/>
          <w:szCs w:val="20"/>
        </w:rPr>
        <w:t>self-interference cancellation capability = spatial isolation + RF cancellation + digital cancellation if applicable</w:t>
      </w: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Observation 3: 140dBc self-interference cancellation is achievable for topology 1 and 120dBc self-interference cancellation is achievable for topology 2.</w:t>
      </w:r>
    </w:p>
    <w:tbl>
      <w:tblPr>
        <w:tblStyle w:val="45"/>
        <w:tblW w:w="6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2"/>
        <w:gridCol w:w="3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5" w:hRule="atLeast"/>
        </w:trPr>
        <w:tc>
          <w:tcPr>
            <w:tcW w:w="2832" w:type="dxa"/>
          </w:tcPr>
          <w:p>
            <w:pPr>
              <w:overflowPunct w:val="0"/>
              <w:autoSpaceDE w:val="0"/>
              <w:autoSpaceDN w:val="0"/>
              <w:adjustRightInd w:val="0"/>
              <w:textAlignment w:val="baseline"/>
              <w:rPr>
                <w:rFonts w:ascii="Times New Roman" w:hAnsi="Times New Roman" w:eastAsia="Yu Mincho"/>
                <w:b/>
                <w:bCs/>
                <w:sz w:val="20"/>
                <w:szCs w:val="20"/>
              </w:rPr>
            </w:pPr>
            <w:r>
              <w:rPr>
                <w:rFonts w:ascii="Times New Roman" w:hAnsi="Times New Roman" w:eastAsia="Yu Mincho"/>
                <w:b/>
                <w:bCs/>
                <w:sz w:val="20"/>
                <w:szCs w:val="20"/>
              </w:rPr>
              <w:t>General Parameter</w:t>
            </w:r>
          </w:p>
        </w:tc>
        <w:tc>
          <w:tcPr>
            <w:tcW w:w="3689" w:type="dxa"/>
          </w:tcPr>
          <w:p>
            <w:pPr>
              <w:overflowPunct w:val="0"/>
              <w:autoSpaceDE w:val="0"/>
              <w:autoSpaceDN w:val="0"/>
              <w:adjustRightInd w:val="0"/>
              <w:textAlignment w:val="baseline"/>
              <w:rPr>
                <w:rFonts w:ascii="Times New Roman" w:hAnsi="Times New Roman" w:eastAsia="Yu Mincho"/>
                <w:b/>
                <w:bCs/>
                <w:sz w:val="20"/>
                <w:szCs w:val="20"/>
              </w:rPr>
            </w:pPr>
            <w:r>
              <w:rPr>
                <w:rFonts w:ascii="Times New Roman" w:hAnsi="Times New Roman" w:eastAsia="Yu Mincho"/>
                <w:b/>
                <w:bCs/>
                <w:sz w:val="20"/>
                <w:szCs w:val="20"/>
              </w:rPr>
              <w:t>D1T1&amp;D2T2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Carrier frequency</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900 MHz</w:t>
            </w:r>
            <w:r>
              <w:rPr>
                <w:rFonts w:hint="eastAsia" w:ascii="Times New Roman" w:hAnsi="Times New Roman" w:eastAsia="Yu Mincho"/>
                <w:sz w:val="20"/>
                <w:szCs w:val="20"/>
              </w:rPr>
              <w:t xml:space="preserve">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Channel BW for NR</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10MHz</w:t>
            </w:r>
            <w:r>
              <w:rPr>
                <w:rFonts w:ascii="Times New Roman" w:hAnsi="Times New Roman" w:eastAsiaTheme="minorEastAsia"/>
                <w:sz w:val="20"/>
                <w:szCs w:val="20"/>
              </w:rPr>
              <w:t xml:space="preserve"> </w:t>
            </w:r>
            <w:r>
              <w:rPr>
                <w:rFonts w:ascii="Times New Roman" w:hAnsi="Times New Roman" w:eastAsia="Yu Mincho"/>
                <w:sz w:val="20"/>
                <w:szCs w:val="20"/>
              </w:rPr>
              <w:t>with 15KHz SCS</w:t>
            </w:r>
            <w:r>
              <w:rPr>
                <w:rFonts w:hint="eastAsia" w:ascii="Times New Roman" w:hAnsi="Times New Roman" w:eastAsia="Yu Mincho"/>
                <w:sz w:val="20"/>
                <w:szCs w:val="20"/>
              </w:rPr>
              <w:t xml:space="preserve"> (M)</w:t>
            </w:r>
          </w:p>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Theme="minorEastAsia"/>
                <w:sz w:val="20"/>
                <w:szCs w:val="20"/>
              </w:rPr>
              <w:t>20MHz</w:t>
            </w:r>
            <w:r>
              <w:rPr>
                <w:rFonts w:ascii="Times New Roman" w:hAnsi="Times New Roman" w:eastAsia="Yu Mincho"/>
                <w:sz w:val="20"/>
                <w:szCs w:val="20"/>
              </w:rPr>
              <w:t xml:space="preserve"> with 15KHz SCS</w:t>
            </w:r>
            <w:r>
              <w:rPr>
                <w:rFonts w:hint="eastAsia" w:ascii="Times New Roman" w:hAnsi="Times New Roman" w:eastAsia="Yu Mincho"/>
                <w:sz w:val="20"/>
                <w:szCs w:val="20"/>
              </w:rPr>
              <w:t xml:space="preserve"> (O)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Channel BW for AIOT</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DL: 180kHz with 15KHz SCS</w:t>
            </w:r>
          </w:p>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Yu Mincho"/>
                <w:sz w:val="20"/>
                <w:szCs w:val="20"/>
              </w:rPr>
              <w:t>UL: 15KHz</w:t>
            </w:r>
            <w:r>
              <w:rPr>
                <w:rFonts w:ascii="Times New Roman" w:hAnsi="Times New Roman" w:eastAsiaTheme="minorEastAsia"/>
                <w:sz w:val="20"/>
                <w:szCs w:val="20"/>
              </w:rPr>
              <w:t xml:space="preserve"> or 180KHz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Waveform</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DL: OFDM based waveform</w:t>
            </w:r>
          </w:p>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UL: single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A-IoT DL power control</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A-IoT UL power control</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Traffic model</w:t>
            </w:r>
          </w:p>
        </w:tc>
        <w:tc>
          <w:tcPr>
            <w:tcW w:w="368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Full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32"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Frequency reuse</w:t>
            </w:r>
          </w:p>
        </w:tc>
        <w:tc>
          <w:tcPr>
            <w:tcW w:w="3689"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Yu Mincho"/>
                <w:sz w:val="20"/>
                <w:szCs w:val="20"/>
              </w:rPr>
              <w:t>1</w:t>
            </w:r>
          </w:p>
        </w:tc>
      </w:tr>
    </w:tbl>
    <w:p>
      <w:pPr>
        <w:tabs>
          <w:tab w:val="left" w:pos="720"/>
        </w:tabs>
        <w:spacing w:after="156" w:afterLines="50"/>
        <w:rPr>
          <w:rFonts w:ascii="Times New Roman" w:hAnsi="Times New Roman"/>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14: it</w:t>
      </w:r>
      <w:r>
        <w:rPr>
          <w:rFonts w:ascii="Times New Roman" w:hAnsi="Times New Roman"/>
          <w:b/>
          <w:bCs/>
          <w:sz w:val="20"/>
          <w:szCs w:val="20"/>
        </w:rPr>
        <w:t>’</w:t>
      </w:r>
      <w:r>
        <w:rPr>
          <w:rFonts w:hint="eastAsia" w:ascii="Times New Roman" w:hAnsi="Times New Roman"/>
          <w:b/>
          <w:bCs/>
          <w:sz w:val="20"/>
          <w:szCs w:val="20"/>
        </w:rPr>
        <w:t>s suggested to use the parameter in above table.</w:t>
      </w:r>
    </w:p>
    <w:tbl>
      <w:tblPr>
        <w:tblStyle w:val="17"/>
        <w:tblW w:w="48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7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D9D9D9"/>
            <w:vAlign w:val="center"/>
          </w:tcPr>
          <w:p>
            <w:pPr>
              <w:pStyle w:val="15"/>
              <w:snapToGrid w:val="0"/>
              <w:spacing w:beforeAutospacing="0" w:afterAutospacing="0"/>
              <w:jc w:val="both"/>
              <w:rPr>
                <w:rFonts w:ascii="Times New Roman" w:hAnsi="Times New Roman" w:cs="Times New Roman"/>
                <w:sz w:val="20"/>
                <w:szCs w:val="20"/>
              </w:rPr>
            </w:pPr>
            <w:r>
              <w:rPr>
                <w:rFonts w:ascii="Times New Roman" w:hAnsi="Times New Roman" w:eastAsia="等线" w:cs="Times New Roman"/>
                <w:b/>
                <w:sz w:val="20"/>
                <w:szCs w:val="20"/>
                <w:lang w:bidi="ar"/>
              </w:rPr>
              <w:t>Parameter</w:t>
            </w:r>
          </w:p>
        </w:tc>
        <w:tc>
          <w:tcPr>
            <w:tcW w:w="4117" w:type="pct"/>
            <w:tcBorders>
              <w:top w:val="single" w:color="auto" w:sz="4" w:space="0"/>
              <w:left w:val="single" w:color="auto" w:sz="4" w:space="0"/>
              <w:bottom w:val="single" w:color="auto" w:sz="4" w:space="0"/>
              <w:right w:val="single" w:color="auto" w:sz="4" w:space="0"/>
            </w:tcBorders>
            <w:shd w:val="clear" w:color="auto" w:fill="D9D9D9"/>
            <w:vAlign w:val="center"/>
          </w:tcPr>
          <w:p>
            <w:pPr>
              <w:pStyle w:val="15"/>
              <w:snapToGrid w:val="0"/>
              <w:spacing w:beforeAutospacing="0" w:afterAutospacing="0"/>
              <w:jc w:val="both"/>
              <w:rPr>
                <w:rFonts w:ascii="Times New Roman" w:hAnsi="Times New Roman" w:eastAsia="等线" w:cs="Times New Roman"/>
                <w:b/>
                <w:sz w:val="20"/>
                <w:szCs w:val="20"/>
                <w:lang w:bidi="ar"/>
              </w:rPr>
            </w:pPr>
            <w:r>
              <w:rPr>
                <w:rFonts w:ascii="Times New Roman" w:hAnsi="Times New Roman" w:eastAsia="等线" w:cs="Times New Roman"/>
                <w:b/>
                <w:sz w:val="20"/>
                <w:szCs w:val="20"/>
                <w:lang w:bidi="ar"/>
              </w:rPr>
              <w:t>Assumptions for D1T1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rPr>
            </w:pPr>
            <w:r>
              <w:rPr>
                <w:rFonts w:ascii="Times New Roman" w:hAnsi="Times New Roman"/>
                <w:sz w:val="20"/>
                <w:szCs w:val="20"/>
                <w:lang w:bidi="ar"/>
              </w:rPr>
              <w:t>Scenario</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ascii="Times New Roman" w:hAnsi="Times New Roman"/>
                <w:sz w:val="20"/>
                <w:szCs w:val="20"/>
                <w:lang w:bidi="ar"/>
              </w:rPr>
              <w:t>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hint="eastAsia" w:ascii="Times New Roman" w:hAnsi="Times New Roman"/>
                <w:sz w:val="20"/>
                <w:szCs w:val="20"/>
                <w:lang w:bidi="ar"/>
              </w:rPr>
              <w:t>Pathloss model</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hint="eastAsia" w:ascii="Times New Roman" w:hAnsi="Times New Roman"/>
                <w:sz w:val="20"/>
                <w:szCs w:val="20"/>
                <w:lang w:bidi="ar"/>
              </w:rPr>
              <w:t>Both LOS and NLOS modeling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hint="eastAsia" w:ascii="Times New Roman" w:hAnsi="Times New Roman"/>
                <w:sz w:val="20"/>
                <w:szCs w:val="20"/>
                <w:lang w:bidi="ar"/>
              </w:rPr>
              <w:t>O2I penetration loss</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hint="eastAsia" w:ascii="Times New Roman" w:hAnsi="Times New Roman"/>
                <w:sz w:val="20"/>
                <w:szCs w:val="20"/>
                <w:lang w:bidi="ar"/>
              </w:rPr>
              <w:t>High penetration loss as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rPr>
            </w:pPr>
            <w:r>
              <w:rPr>
                <w:rFonts w:ascii="Times New Roman" w:hAnsi="Times New Roman"/>
                <w:sz w:val="20"/>
                <w:szCs w:val="20"/>
                <w:lang w:bidi="ar"/>
              </w:rPr>
              <w:t>Hall size</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eastAsia="等线"/>
                <w:sz w:val="20"/>
                <w:szCs w:val="20"/>
                <w:lang w:bidi="ar"/>
              </w:rPr>
            </w:pPr>
            <w:r>
              <w:rPr>
                <w:rFonts w:ascii="Times New Roman" w:hAnsi="Times New Roman" w:eastAsia="等线"/>
                <w:sz w:val="20"/>
                <w:szCs w:val="20"/>
                <w:lang w:bidi="ar"/>
              </w:rPr>
              <w:t>120x60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rPr>
            </w:pPr>
            <w:r>
              <w:rPr>
                <w:rFonts w:ascii="Times New Roman" w:hAnsi="Times New Roman"/>
                <w:sz w:val="20"/>
                <w:szCs w:val="20"/>
                <w:lang w:bidi="ar"/>
              </w:rPr>
              <w:t>Room height</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ascii="Times New Roman" w:hAnsi="Times New Roman"/>
                <w:sz w:val="20"/>
                <w:szCs w:val="20"/>
                <w:lang w:bidi="ar"/>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ascii="Times New Roman" w:hAnsi="Times New Roman"/>
                <w:sz w:val="20"/>
                <w:szCs w:val="20"/>
                <w:lang w:bidi="ar"/>
              </w:rPr>
              <w:t>Sectorization</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ascii="Times New Roman" w:hAnsi="Times New Roman"/>
                <w:sz w:val="20"/>
                <w:szCs w:val="20"/>
                <w:lang w:bidi="ar"/>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rPr>
            </w:pPr>
            <w:r>
              <w:rPr>
                <w:rFonts w:ascii="Times New Roman" w:hAnsi="Times New Roman"/>
                <w:sz w:val="20"/>
                <w:szCs w:val="20"/>
                <w:lang w:bidi="ar"/>
              </w:rPr>
              <w:t>AIOT reader deployment</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spacing w:line="250" w:lineRule="auto"/>
              <w:rPr>
                <w:rFonts w:ascii="Times New Roman" w:hAnsi="Times New Roman" w:eastAsia="等线"/>
                <w:sz w:val="20"/>
                <w:szCs w:val="20"/>
                <w:lang w:bidi="ar"/>
              </w:rPr>
            </w:pPr>
            <w:r>
              <w:rPr>
                <w:rFonts w:ascii="Times New Roman" w:hAnsi="Times New Roman" w:eastAsia="等线"/>
                <w:sz w:val="20"/>
                <w:szCs w:val="20"/>
                <w:lang w:bidi="ar"/>
              </w:rPr>
              <w:t>18 BSs on a square lattice with spacing D, located D/2 from the walls.</w:t>
            </w:r>
          </w:p>
          <w:p>
            <w:pPr>
              <w:snapToGrid w:val="0"/>
              <w:spacing w:line="250" w:lineRule="auto"/>
              <w:rPr>
                <w:rFonts w:ascii="Times New Roman" w:hAnsi="Times New Roman" w:eastAsia="等线"/>
                <w:sz w:val="20"/>
                <w:szCs w:val="20"/>
                <w:lang w:bidi="ar"/>
              </w:rPr>
            </w:pPr>
            <w:r>
              <w:rPr>
                <w:rFonts w:ascii="Times New Roman" w:hAnsi="Times New Roman" w:eastAsia="等线"/>
                <w:sz w:val="20"/>
                <w:szCs w:val="20"/>
                <w:lang w:bidi="ar"/>
              </w:rPr>
              <w:t>-L=120m x W=60m; D=20m</w:t>
            </w:r>
          </w:p>
          <w:p>
            <w:pPr>
              <w:snapToGrid w:val="0"/>
              <w:spacing w:line="250" w:lineRule="auto"/>
              <w:rPr>
                <w:rFonts w:ascii="Times New Roman" w:hAnsi="Times New Roman" w:eastAsia="等线"/>
                <w:sz w:val="20"/>
                <w:szCs w:val="20"/>
                <w:lang w:bidi="ar"/>
              </w:rPr>
            </w:pPr>
            <w:r>
              <w:rPr>
                <w:rFonts w:ascii="Times New Roman" w:hAnsi="Times New Roman" w:eastAsia="等线"/>
                <w:sz w:val="20"/>
                <w:szCs w:val="20"/>
                <w:lang w:bidi="ar"/>
              </w:rPr>
              <w:t>-BS height = 8 m</w:t>
            </w:r>
          </w:p>
          <w:p>
            <w:pPr>
              <w:snapToGrid w:val="0"/>
              <w:spacing w:line="250" w:lineRule="auto"/>
              <w:rPr>
                <w:rFonts w:ascii="Times New Roman" w:hAnsi="Times New Roman"/>
                <w:b/>
                <w:bCs/>
                <w:color w:val="000000"/>
                <w:sz w:val="20"/>
                <w:szCs w:val="20"/>
              </w:rPr>
            </w:pPr>
            <w:r>
              <w:rPr>
                <w:rFonts w:ascii="Times New Roman" w:hAnsi="Times New Roman" w:eastAsia="等线"/>
                <w:sz w:val="20"/>
                <w:szCs w:val="20"/>
                <w:lang w:bidi="ar"/>
              </w:rPr>
              <w:t xml:space="preserve"> </w:t>
            </w:r>
            <w:r>
              <w:rPr>
                <w:rFonts w:ascii="Times New Roman" w:hAnsi="Times New Roman" w:eastAsia="等线"/>
                <w:sz w:val="20"/>
                <w:szCs w:val="20"/>
                <w:lang w:bidi="ar"/>
              </w:rPr>
              <w:drawing>
                <wp:inline distT="0" distB="0" distL="0" distR="0">
                  <wp:extent cx="1450975" cy="782320"/>
                  <wp:effectExtent l="0" t="0" r="9525" b="5080"/>
                  <wp:docPr id="2" name="图片 19" descr="背景图案&#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descr="背景图案&#10;&#10;描述已自动生成"/>
                          <pic:cNvPicPr>
                            <a:picLocks noChangeAspect="1"/>
                          </pic:cNvPicPr>
                        </pic:nvPicPr>
                        <pic:blipFill>
                          <a:blip r:embed="rId6"/>
                          <a:stretch>
                            <a:fillRect/>
                          </a:stretch>
                        </pic:blipFill>
                        <pic:spPr>
                          <a:xfrm>
                            <a:off x="0" y="0"/>
                            <a:ext cx="1450975" cy="78232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lang w:bidi="ar"/>
              </w:rPr>
            </w:pPr>
            <w:r>
              <w:rPr>
                <w:rFonts w:ascii="Times New Roman" w:hAnsi="Times New Roman"/>
                <w:sz w:val="20"/>
                <w:szCs w:val="20"/>
                <w:lang w:bidi="ar"/>
              </w:rPr>
              <w:t xml:space="preserve">NR BS deployment </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snapToGrid w:val="0"/>
              <w:spacing w:line="250" w:lineRule="auto"/>
              <w:rPr>
                <w:rFonts w:ascii="Times New Roman" w:hAnsi="Times New Roman" w:eastAsia="等线"/>
                <w:sz w:val="20"/>
                <w:szCs w:val="20"/>
                <w:lang w:bidi="ar"/>
              </w:rPr>
            </w:pPr>
            <w:r>
              <w:rPr>
                <w:rFonts w:ascii="Times New Roman" w:hAnsi="Times New Roman"/>
                <w:color w:val="000000"/>
                <w:sz w:val="20"/>
                <w:szCs w:val="20"/>
              </w:rPr>
              <w:t xml:space="preserve">When NR BS are outdoors: Hexagonal grid, 19 macro sites, 3 sectors per site with wrap around, </w:t>
            </w:r>
            <w:r>
              <w:rPr>
                <w:rFonts w:ascii="Times New Roman" w:hAnsi="Times New Roman" w:eastAsia="等线"/>
                <w:sz w:val="20"/>
                <w:szCs w:val="20"/>
                <w:lang w:bidi="ar"/>
              </w:rPr>
              <w:t>1 AIOT indoor scenario per sector</w:t>
            </w:r>
          </w:p>
          <w:p>
            <w:pPr>
              <w:pStyle w:val="15"/>
              <w:spacing w:before="0" w:beforeAutospacing="0" w:after="0" w:afterAutospacing="0" w:line="360" w:lineRule="auto"/>
              <w:rPr>
                <w:rFonts w:ascii="Times New Roman" w:hAnsi="Times New Roman" w:cs="Times New Roman"/>
                <w:color w:val="000000"/>
                <w:sz w:val="20"/>
                <w:szCs w:val="20"/>
              </w:rPr>
            </w:pPr>
            <w:r>
              <w:rPr>
                <w:rFonts w:ascii="Times New Roman" w:hAnsi="Times New Roman" w:cs="Times New Roman"/>
                <w:sz w:val="20"/>
                <w:szCs w:val="20"/>
              </w:rPr>
              <w:drawing>
                <wp:inline distT="0" distB="0" distL="0" distR="0">
                  <wp:extent cx="1950085" cy="1504950"/>
                  <wp:effectExtent l="0" t="0" r="5715" b="6350"/>
                  <wp:docPr id="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图示&#10;&#10;描述已自动生成"/>
                          <pic:cNvPicPr>
                            <a:picLocks noChangeAspect="1" noChangeArrowheads="1"/>
                          </pic:cNvPicPr>
                        </pic:nvPicPr>
                        <pic:blipFill>
                          <a:blip r:embed="rId7" cstate="print">
                            <a:duotone>
                              <a:schemeClr val="accent3">
                                <a:shade val="45000"/>
                                <a:satMod val="135000"/>
                              </a:schemeClr>
                              <a:prstClr val="white"/>
                            </a:duotone>
                            <a:extLst>
                              <a:ext uri="{BEBA8EAE-BF5A-486C-A8C5-ECC9F3942E4B}">
                                <a14:imgProps xmlns:a14="http://schemas.microsoft.com/office/drawing/2010/main">
                                  <a14:imgLayer r:embed="rId8">
                                    <a14:imgEffect>
                                      <a14:brightnessContrast bright="-20000" contrast="40000"/>
                                    </a14:imgEffect>
                                    <a14:imgEffect>
                                      <a14:saturation sat="0"/>
                                    </a14:imgEffect>
                                    <a14:imgEffect>
                                      <a14:sharpenSoften amount="50000"/>
                                    </a14:imgEffect>
                                  </a14:imgLayer>
                                </a14:imgProps>
                              </a:ext>
                              <a:ext uri="{28A0092B-C50C-407E-A947-70E740481C1C}">
                                <a14:useLocalDpi xmlns:a14="http://schemas.microsoft.com/office/drawing/2010/main" val="0"/>
                              </a:ext>
                            </a:extLst>
                          </a:blip>
                          <a:srcRect l="3724" t="2441" r="2014" b="9021"/>
                          <a:stretch>
                            <a:fillRect/>
                          </a:stretch>
                        </pic:blipFill>
                        <pic:spPr>
                          <a:xfrm>
                            <a:off x="0" y="0"/>
                            <a:ext cx="1965256" cy="1516650"/>
                          </a:xfrm>
                          <a:prstGeom prst="rect">
                            <a:avLst/>
                          </a:prstGeom>
                          <a:noFill/>
                          <a:ln>
                            <a:noFill/>
                          </a:ln>
                        </pic:spPr>
                      </pic:pic>
                    </a:graphicData>
                  </a:graphic>
                </wp:inline>
              </w:drawing>
            </w:r>
          </w:p>
          <w:p>
            <w:pPr>
              <w:pStyle w:val="15"/>
              <w:spacing w:before="0" w:beforeAutospacing="0" w:after="0" w:afterAutospacing="0" w:line="360" w:lineRule="auto"/>
              <w:rPr>
                <w:rFonts w:ascii="Times New Roman" w:hAnsi="Times New Roman" w:cs="Times New Roman"/>
                <w:color w:val="000000"/>
                <w:sz w:val="20"/>
                <w:szCs w:val="20"/>
              </w:rPr>
            </w:pPr>
            <w:r>
              <w:rPr>
                <w:rFonts w:ascii="Times New Roman" w:hAnsi="Times New Roman" w:cs="Times New Roman"/>
                <w:color w:val="000000"/>
                <w:sz w:val="20"/>
                <w:szCs w:val="20"/>
              </w:rPr>
              <w:t>When NR BS are indoors: reuse AIOT reader deployment</w:t>
            </w:r>
          </w:p>
          <w:p>
            <w:pPr>
              <w:pStyle w:val="15"/>
              <w:spacing w:before="0" w:beforeAutospacing="0" w:after="0" w:afterAutospacing="0" w:line="36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The minimum distance between macro NR BS and indoor reader is 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lang w:bidi="ar"/>
              </w:rPr>
            </w:pPr>
            <w:r>
              <w:rPr>
                <w:rFonts w:ascii="Times New Roman" w:hAnsi="Times New Roman"/>
                <w:sz w:val="20"/>
                <w:szCs w:val="20"/>
              </w:rPr>
              <w:t>NR BS Inter-site distance</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pStyle w:val="15"/>
              <w:spacing w:before="0" w:beforeAutospacing="0" w:after="0" w:afterAutospacing="0" w:line="360" w:lineRule="auto"/>
              <w:rPr>
                <w:rFonts w:ascii="Times New Roman" w:hAnsi="Times New Roman" w:cs="Times New Roman"/>
                <w:color w:val="000000"/>
                <w:sz w:val="20"/>
                <w:szCs w:val="20"/>
              </w:rPr>
            </w:pPr>
            <w:r>
              <w:rPr>
                <w:rFonts w:ascii="Times New Roman" w:hAnsi="Times New Roman" w:cs="Times New Roman"/>
                <w:color w:val="000000"/>
                <w:sz w:val="20"/>
                <w:szCs w:val="20"/>
              </w:rPr>
              <w:t>200 or 300 or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eastAsia="Arial Unicode MS"/>
                <w:color w:val="000000"/>
                <w:sz w:val="20"/>
                <w:szCs w:val="20"/>
              </w:rPr>
            </w:pPr>
            <w:r>
              <w:rPr>
                <w:rFonts w:ascii="Times New Roman" w:hAnsi="Times New Roman" w:eastAsia="Arial Unicode MS"/>
                <w:color w:val="000000"/>
                <w:sz w:val="20"/>
                <w:szCs w:val="20"/>
              </w:rPr>
              <w:t>Minimum NR BS – NR UE distance (2D)</w:t>
            </w:r>
          </w:p>
        </w:tc>
        <w:tc>
          <w:tcPr>
            <w:tcW w:w="41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5"/>
              <w:spacing w:before="0" w:beforeAutospacing="0" w:after="0" w:afterAutospacing="0" w:line="360" w:lineRule="auto"/>
              <w:rPr>
                <w:rFonts w:ascii="Times New Roman" w:hAnsi="Times New Roman" w:cs="Times New Roman"/>
                <w:color w:val="000000"/>
                <w:sz w:val="20"/>
                <w:szCs w:val="20"/>
              </w:rPr>
            </w:pPr>
            <w:r>
              <w:rPr>
                <w:rFonts w:ascii="Times New Roman" w:hAnsi="Times New Roman" w:cs="Times New Roman"/>
                <w:color w:val="000000"/>
                <w:sz w:val="20"/>
                <w:szCs w:val="20"/>
              </w:rPr>
              <w:t>35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lang w:bidi="ar"/>
              </w:rPr>
            </w:pPr>
            <w:r>
              <w:rPr>
                <w:rFonts w:ascii="Times New Roman" w:hAnsi="Times New Roman"/>
                <w:sz w:val="20"/>
                <w:szCs w:val="20"/>
                <w:lang w:bidi="ar"/>
              </w:rPr>
              <w:t>NR UE (D1T1) dropping</w:t>
            </w:r>
          </w:p>
        </w:tc>
        <w:tc>
          <w:tcPr>
            <w:tcW w:w="411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after="160" w:line="249" w:lineRule="auto"/>
              <w:rPr>
                <w:rFonts w:ascii="Times New Roman" w:hAnsi="Times New Roman" w:eastAsia="等线"/>
                <w:sz w:val="20"/>
                <w:szCs w:val="20"/>
                <w:lang w:bidi="ar"/>
              </w:rPr>
            </w:pPr>
            <w:r>
              <w:rPr>
                <w:rFonts w:hint="eastAsia" w:ascii="Times New Roman" w:hAnsi="Times New Roman" w:eastAsia="等线"/>
                <w:sz w:val="20"/>
                <w:szCs w:val="20"/>
                <w:lang w:bidi="ar"/>
              </w:rPr>
              <w:t>Uniformly distributed outdoor, or,</w:t>
            </w:r>
          </w:p>
          <w:p>
            <w:pPr>
              <w:snapToGrid w:val="0"/>
              <w:spacing w:after="160" w:line="249" w:lineRule="auto"/>
              <w:rPr>
                <w:rFonts w:ascii="Times New Roman" w:hAnsi="Times New Roman" w:eastAsia="等线"/>
                <w:sz w:val="20"/>
                <w:szCs w:val="20"/>
                <w:lang w:bidi="ar"/>
              </w:rPr>
            </w:pPr>
            <w:r>
              <w:rPr>
                <w:rFonts w:hint="eastAsia" w:ascii="Times New Roman" w:hAnsi="Times New Roman" w:eastAsia="等线"/>
                <w:sz w:val="20"/>
                <w:szCs w:val="20"/>
                <w:lang w:bidi="ar"/>
              </w:rPr>
              <w:t>Uniformly distributed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rPr>
            </w:pPr>
            <w:r>
              <w:rPr>
                <w:rFonts w:ascii="Times New Roman" w:hAnsi="Times New Roman"/>
                <w:sz w:val="20"/>
                <w:szCs w:val="20"/>
                <w:lang w:bidi="ar"/>
              </w:rPr>
              <w:t xml:space="preserve">Device distribution </w:t>
            </w:r>
          </w:p>
        </w:tc>
        <w:tc>
          <w:tcPr>
            <w:tcW w:w="4117" w:type="pct"/>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156" w:beforeLines="50"/>
              <w:rPr>
                <w:rFonts w:ascii="Times New Roman" w:hAnsi="Times New Roman"/>
                <w:sz w:val="20"/>
                <w:szCs w:val="20"/>
                <w:lang w:bidi="ar"/>
              </w:rPr>
            </w:pPr>
            <w:r>
              <w:rPr>
                <w:rFonts w:ascii="Times New Roman" w:hAnsi="Times New Roman"/>
                <w:sz w:val="20"/>
                <w:szCs w:val="20"/>
                <w:lang w:bidi="ar"/>
              </w:rPr>
              <w:t>Device Height= 1.5 m</w:t>
            </w:r>
          </w:p>
          <w:p>
            <w:pPr>
              <w:adjustRightInd w:val="0"/>
              <w:snapToGrid w:val="0"/>
              <w:spacing w:before="156" w:beforeLines="50"/>
              <w:rPr>
                <w:rFonts w:ascii="Times New Roman" w:hAnsi="Times New Roman"/>
                <w:sz w:val="20"/>
                <w:szCs w:val="20"/>
                <w:lang w:bidi="ar"/>
              </w:rPr>
            </w:pPr>
            <w:r>
              <w:rPr>
                <w:rFonts w:ascii="Times New Roman" w:hAnsi="Times New Roman"/>
                <w:sz w:val="20"/>
                <w:szCs w:val="20"/>
                <w:lang w:bidi="ar"/>
              </w:rPr>
              <w:t>AIoT devices drop uniformly distributed over the horizontal area</w:t>
            </w:r>
          </w:p>
          <w:p>
            <w:pPr>
              <w:adjustRightInd w:val="0"/>
              <w:snapToGrid w:val="0"/>
              <w:spacing w:before="156" w:beforeLines="50"/>
              <w:rPr>
                <w:rFonts w:ascii="Times New Roman" w:hAnsi="Times New Roman"/>
                <w:sz w:val="20"/>
                <w:szCs w:val="20"/>
                <w:lang w:bidi="ar"/>
              </w:rPr>
            </w:pPr>
            <w:r>
              <w:rPr>
                <w:rFonts w:ascii="Times New Roman" w:hAnsi="Times New Roman"/>
                <w:sz w:val="20"/>
                <w:szCs w:val="20"/>
                <w:lang w:bidi="ar"/>
              </w:rPr>
              <w:t>Number of A-IoTs</w:t>
            </w:r>
            <w:r>
              <w:rPr>
                <w:rFonts w:hint="eastAsia" w:ascii="Times New Roman" w:hAnsi="Times New Roman"/>
                <w:sz w:val="20"/>
                <w:szCs w:val="20"/>
                <w:lang w:bidi="ar"/>
              </w:rPr>
              <w:t xml:space="preserve"> devices</w:t>
            </w:r>
            <w:r>
              <w:rPr>
                <w:rFonts w:ascii="Times New Roman" w:hAnsi="Times New Roman"/>
                <w:sz w:val="20"/>
                <w:szCs w:val="20"/>
                <w:lang w:bidi="ar"/>
              </w:rPr>
              <w:t xml:space="preserve"> = Total area × activated density (1.5 A-IOT devices/m²)</w:t>
            </w:r>
          </w:p>
          <w:p>
            <w:pPr>
              <w:adjustRightInd w:val="0"/>
              <w:snapToGrid w:val="0"/>
              <w:spacing w:before="156" w:beforeLines="50"/>
              <w:rPr>
                <w:rFonts w:ascii="Times New Roman" w:hAnsi="Times New Roman"/>
                <w:sz w:val="20"/>
                <w:szCs w:val="20"/>
                <w:lang w:bidi="ar"/>
              </w:rPr>
            </w:pPr>
            <w:r>
              <w:rPr>
                <w:rFonts w:hint="eastAsia" w:ascii="Times New Roman" w:hAnsi="Times New Roman"/>
                <w:sz w:val="20"/>
                <w:szCs w:val="20"/>
                <w:lang w:bidi="ar"/>
              </w:rPr>
              <w:t>one reader serve one device at one drop</w:t>
            </w:r>
          </w:p>
        </w:tc>
      </w:tr>
    </w:tbl>
    <w:p>
      <w:pPr>
        <w:tabs>
          <w:tab w:val="left" w:pos="720"/>
        </w:tabs>
        <w:spacing w:after="156" w:afterLines="50"/>
        <w:rPr>
          <w:rFonts w:ascii="Times New Roman" w:hAnsi="Times New Roman"/>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15: it</w:t>
      </w:r>
      <w:r>
        <w:rPr>
          <w:rFonts w:ascii="Times New Roman" w:hAnsi="Times New Roman"/>
          <w:b/>
          <w:bCs/>
          <w:sz w:val="20"/>
          <w:szCs w:val="20"/>
        </w:rPr>
        <w:t>’</w:t>
      </w:r>
      <w:r>
        <w:rPr>
          <w:rFonts w:hint="eastAsia" w:ascii="Times New Roman" w:hAnsi="Times New Roman"/>
          <w:b/>
          <w:bCs/>
          <w:sz w:val="20"/>
          <w:szCs w:val="20"/>
        </w:rPr>
        <w:t>s suggested to use the parameters in above table for D1T1 layout. Compared with RAN1 agreements, we have following additional assumption</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Penetration loss modeling</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the minimum distance between macro NR BS and indoor reader</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lang w:val="en-US" w:eastAsia="zh-CN"/>
        </w:rPr>
        <w:t>The minimum distance between reader and device</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NR UE dropping</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lang w:bidi="ar"/>
        </w:rPr>
        <w:t>Devices distribution</w:t>
      </w:r>
    </w:p>
    <w:tbl>
      <w:tblPr>
        <w:tblStyle w:val="17"/>
        <w:tblW w:w="36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7"/>
        <w:gridCol w:w="2750"/>
        <w:gridCol w:w="2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D9D9D9"/>
            <w:vAlign w:val="center"/>
          </w:tcPr>
          <w:p>
            <w:pPr>
              <w:pStyle w:val="15"/>
              <w:snapToGrid w:val="0"/>
              <w:spacing w:beforeAutospacing="0" w:afterAutospacing="0"/>
              <w:jc w:val="both"/>
              <w:rPr>
                <w:rFonts w:ascii="Times New Roman" w:hAnsi="Times New Roman" w:cs="Times New Roman"/>
                <w:sz w:val="20"/>
                <w:szCs w:val="20"/>
              </w:rPr>
            </w:pPr>
            <w:r>
              <w:rPr>
                <w:rFonts w:ascii="Times New Roman" w:hAnsi="Times New Roman" w:eastAsia="等线" w:cs="Times New Roman"/>
                <w:b/>
                <w:sz w:val="20"/>
                <w:szCs w:val="20"/>
                <w:lang w:bidi="ar"/>
              </w:rPr>
              <w:t>Parameter</w:t>
            </w:r>
          </w:p>
        </w:tc>
        <w:tc>
          <w:tcPr>
            <w:tcW w:w="3816" w:type="pct"/>
            <w:gridSpan w:val="2"/>
            <w:tcBorders>
              <w:top w:val="single" w:color="auto" w:sz="4" w:space="0"/>
              <w:left w:val="single" w:color="auto" w:sz="4" w:space="0"/>
              <w:bottom w:val="single" w:color="auto" w:sz="4" w:space="0"/>
              <w:right w:val="single" w:color="auto" w:sz="4" w:space="0"/>
            </w:tcBorders>
            <w:shd w:val="clear" w:color="auto" w:fill="D9D9D9"/>
          </w:tcPr>
          <w:p>
            <w:pPr>
              <w:pStyle w:val="15"/>
              <w:snapToGrid w:val="0"/>
              <w:spacing w:beforeAutospacing="0" w:afterAutospacing="0"/>
              <w:jc w:val="both"/>
              <w:rPr>
                <w:rFonts w:ascii="Times New Roman" w:hAnsi="Times New Roman" w:eastAsia="等线" w:cs="Times New Roman"/>
                <w:b/>
                <w:sz w:val="20"/>
                <w:szCs w:val="20"/>
                <w:lang w:bidi="ar"/>
              </w:rPr>
            </w:pPr>
            <w:r>
              <w:rPr>
                <w:rFonts w:ascii="Times New Roman" w:hAnsi="Times New Roman" w:eastAsia="等线" w:cs="Times New Roman"/>
                <w:b/>
                <w:sz w:val="20"/>
                <w:szCs w:val="20"/>
                <w:lang w:bidi="ar"/>
              </w:rPr>
              <w:t>Assumptions for D2T2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rPr>
            </w:pPr>
            <w:r>
              <w:rPr>
                <w:rFonts w:ascii="Times New Roman" w:hAnsi="Times New Roman"/>
                <w:sz w:val="20"/>
                <w:szCs w:val="20"/>
                <w:lang w:bidi="ar"/>
              </w:rPr>
              <w:t>Scenario</w:t>
            </w:r>
          </w:p>
        </w:tc>
        <w:tc>
          <w:tcPr>
            <w:tcW w:w="190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ascii="Times New Roman" w:hAnsi="Times New Roman"/>
                <w:sz w:val="20"/>
                <w:szCs w:val="20"/>
                <w:lang w:bidi="ar"/>
              </w:rPr>
              <w:t>InH-office</w:t>
            </w:r>
            <w:r>
              <w:rPr>
                <w:rFonts w:hint="eastAsia" w:ascii="Times New Roman" w:hAnsi="Times New Roman"/>
                <w:sz w:val="20"/>
                <w:szCs w:val="20"/>
                <w:lang w:bidi="ar"/>
              </w:rPr>
              <w:t xml:space="preserve"> (baseline)</w:t>
            </w:r>
          </w:p>
        </w:tc>
        <w:tc>
          <w:tcPr>
            <w:tcW w:w="1908" w:type="pct"/>
            <w:tcBorders>
              <w:top w:val="single" w:color="auto" w:sz="4" w:space="0"/>
              <w:left w:val="single" w:color="auto" w:sz="4" w:space="0"/>
              <w:bottom w:val="single" w:color="auto" w:sz="4" w:space="0"/>
              <w:right w:val="single" w:color="auto" w:sz="4" w:space="0"/>
            </w:tcBorders>
          </w:tcPr>
          <w:p>
            <w:pPr>
              <w:snapToGrid w:val="0"/>
              <w:rPr>
                <w:rFonts w:ascii="Times New Roman" w:hAnsi="Times New Roman"/>
                <w:sz w:val="20"/>
                <w:szCs w:val="20"/>
                <w:lang w:bidi="ar"/>
              </w:rPr>
            </w:pPr>
            <w:r>
              <w:rPr>
                <w:rFonts w:ascii="Times New Roman" w:hAnsi="Times New Roman"/>
                <w:sz w:val="20"/>
                <w:szCs w:val="20"/>
                <w:lang w:bidi="ar"/>
              </w:rPr>
              <w:t>InF-DL</w:t>
            </w:r>
            <w:r>
              <w:rPr>
                <w:rFonts w:hint="eastAsia" w:ascii="Times New Roman" w:hAnsi="Times New Roman"/>
                <w:sz w:val="20"/>
                <w:szCs w:val="20"/>
                <w:lang w:bidi="ar"/>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rPr>
            </w:pPr>
            <w:r>
              <w:rPr>
                <w:rFonts w:ascii="Times New Roman" w:hAnsi="Times New Roman"/>
                <w:sz w:val="20"/>
                <w:szCs w:val="20"/>
                <w:lang w:bidi="ar"/>
              </w:rPr>
              <w:t>Hall size</w:t>
            </w:r>
          </w:p>
        </w:tc>
        <w:tc>
          <w:tcPr>
            <w:tcW w:w="190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eastAsia="等线"/>
                <w:sz w:val="20"/>
                <w:szCs w:val="20"/>
                <w:lang w:bidi="ar"/>
              </w:rPr>
            </w:pPr>
            <w:r>
              <w:rPr>
                <w:rFonts w:ascii="Times New Roman" w:hAnsi="Times New Roman" w:eastAsia="等线"/>
                <w:sz w:val="20"/>
                <w:szCs w:val="20"/>
                <w:lang w:bidi="ar"/>
              </w:rPr>
              <w:t>120 x50 m</w:t>
            </w:r>
          </w:p>
        </w:tc>
        <w:tc>
          <w:tcPr>
            <w:tcW w:w="1908" w:type="pct"/>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等线"/>
                <w:sz w:val="20"/>
                <w:szCs w:val="20"/>
                <w:lang w:bidi="ar"/>
              </w:rPr>
            </w:pPr>
            <w:r>
              <w:rPr>
                <w:rFonts w:ascii="Times New Roman" w:hAnsi="Times New Roman" w:eastAsia="等线"/>
                <w:sz w:val="20"/>
                <w:szCs w:val="20"/>
                <w:lang w:bidi="ar"/>
              </w:rPr>
              <w:t>300x150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rPr>
            </w:pPr>
            <w:r>
              <w:rPr>
                <w:rFonts w:ascii="Times New Roman" w:hAnsi="Times New Roman"/>
                <w:sz w:val="20"/>
                <w:szCs w:val="20"/>
                <w:lang w:bidi="ar"/>
              </w:rPr>
              <w:t>Room height</w:t>
            </w:r>
          </w:p>
        </w:tc>
        <w:tc>
          <w:tcPr>
            <w:tcW w:w="190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ascii="Times New Roman" w:hAnsi="Times New Roman"/>
                <w:sz w:val="20"/>
                <w:szCs w:val="20"/>
                <w:lang w:bidi="ar"/>
              </w:rPr>
              <w:t>3m</w:t>
            </w:r>
          </w:p>
        </w:tc>
        <w:tc>
          <w:tcPr>
            <w:tcW w:w="1908" w:type="pct"/>
            <w:tcBorders>
              <w:top w:val="single" w:color="auto" w:sz="4" w:space="0"/>
              <w:left w:val="single" w:color="auto" w:sz="4" w:space="0"/>
              <w:bottom w:val="single" w:color="auto" w:sz="4" w:space="0"/>
              <w:right w:val="single" w:color="auto" w:sz="4" w:space="0"/>
            </w:tcBorders>
          </w:tcPr>
          <w:p>
            <w:pPr>
              <w:snapToGrid w:val="0"/>
              <w:rPr>
                <w:rFonts w:ascii="Times New Roman" w:hAnsi="Times New Roman"/>
                <w:sz w:val="20"/>
                <w:szCs w:val="20"/>
                <w:lang w:bidi="ar"/>
              </w:rPr>
            </w:pPr>
            <w:r>
              <w:rPr>
                <w:rFonts w:ascii="Times New Roman" w:hAnsi="Times New Roman"/>
                <w:sz w:val="20"/>
                <w:szCs w:val="20"/>
                <w:lang w:bidi="ar"/>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lang w:bidi="ar"/>
              </w:rPr>
            </w:pPr>
            <w:r>
              <w:rPr>
                <w:rFonts w:ascii="Times New Roman" w:hAnsi="Times New Roman"/>
                <w:sz w:val="20"/>
                <w:szCs w:val="20"/>
                <w:lang w:bidi="ar"/>
              </w:rPr>
              <w:t>Intermediate UE(D2T2) dropping</w:t>
            </w:r>
          </w:p>
        </w:tc>
        <w:tc>
          <w:tcPr>
            <w:tcW w:w="190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rPr>
            </w:pPr>
            <w:r>
              <w:rPr>
                <w:rFonts w:ascii="Times New Roman" w:hAnsi="Times New Roman"/>
                <w:sz w:val="20"/>
                <w:szCs w:val="20"/>
              </w:rPr>
              <w:t xml:space="preserve">12 </w:t>
            </w:r>
            <w:r>
              <w:rPr>
                <w:rFonts w:hint="eastAsia" w:ascii="Times New Roman" w:hAnsi="Times New Roman"/>
                <w:sz w:val="20"/>
                <w:szCs w:val="20"/>
              </w:rPr>
              <w:t xml:space="preserve">intermediate </w:t>
            </w:r>
            <w:r>
              <w:rPr>
                <w:rFonts w:ascii="Times New Roman" w:hAnsi="Times New Roman"/>
                <w:sz w:val="20"/>
                <w:szCs w:val="20"/>
              </w:rPr>
              <w:t>UEs are distributed uniformly</w:t>
            </w:r>
          </w:p>
          <w:p>
            <w:pPr>
              <w:pStyle w:val="26"/>
              <w:numPr>
                <w:ilvl w:val="0"/>
                <w:numId w:val="11"/>
              </w:numPr>
              <w:snapToGrid w:val="0"/>
              <w:ind w:firstLineChars="0"/>
              <w:rPr>
                <w:rFonts w:ascii="Times New Roman" w:hAnsi="Times New Roman" w:eastAsia="等线"/>
                <w:sz w:val="20"/>
                <w:szCs w:val="20"/>
                <w:lang w:bidi="ar"/>
              </w:rPr>
            </w:pPr>
            <w:r>
              <w:rPr>
                <w:rFonts w:ascii="Times New Roman" w:hAnsi="Times New Roman" w:eastAsia="等线"/>
                <w:sz w:val="20"/>
                <w:szCs w:val="20"/>
                <w:lang w:bidi="ar"/>
              </w:rPr>
              <w:t xml:space="preserve">L=120m x W=50m; D=20m </w:t>
            </w:r>
          </w:p>
          <w:p>
            <w:pPr>
              <w:pStyle w:val="26"/>
              <w:numPr>
                <w:ilvl w:val="0"/>
                <w:numId w:val="11"/>
              </w:numPr>
              <w:snapToGrid w:val="0"/>
              <w:ind w:firstLineChars="0"/>
              <w:rPr>
                <w:rFonts w:ascii="Times New Roman" w:hAnsi="Times New Roman" w:eastAsia="等线"/>
                <w:sz w:val="20"/>
                <w:szCs w:val="20"/>
                <w:lang w:bidi="ar"/>
              </w:rPr>
            </w:pPr>
            <w:r>
              <w:rPr>
                <w:rFonts w:ascii="Times New Roman" w:hAnsi="Times New Roman" w:eastAsia="等线"/>
                <w:sz w:val="20"/>
                <w:szCs w:val="20"/>
                <w:lang w:bidi="ar"/>
              </w:rPr>
              <w:t xml:space="preserve">UE height = 1.5m </w:t>
            </w:r>
          </w:p>
          <w:p>
            <w:pPr>
              <w:snapToGrid w:val="0"/>
              <w:rPr>
                <w:rFonts w:ascii="Times New Roman" w:hAnsi="Times New Roman" w:eastAsia="等线"/>
                <w:sz w:val="20"/>
                <w:szCs w:val="20"/>
                <w:lang w:bidi="ar"/>
              </w:rPr>
            </w:pPr>
            <w:r>
              <w:rPr>
                <w:rFonts w:ascii="Times New Roman" w:hAnsi="Times New Roman"/>
                <w:sz w:val="20"/>
                <w:szCs w:val="20"/>
              </w:rPr>
              <w:drawing>
                <wp:inline distT="0" distB="0" distL="0" distR="0">
                  <wp:extent cx="1316990" cy="777875"/>
                  <wp:effectExtent l="0" t="0" r="3810" b="9525"/>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5171" cy="788650"/>
                          </a:xfrm>
                          <a:prstGeom prst="rect">
                            <a:avLst/>
                          </a:prstGeom>
                          <a:noFill/>
                          <a:ln>
                            <a:noFill/>
                          </a:ln>
                        </pic:spPr>
                      </pic:pic>
                    </a:graphicData>
                  </a:graphic>
                </wp:inline>
              </w:drawing>
            </w:r>
          </w:p>
          <w:p>
            <w:pPr>
              <w:snapToGrid w:val="0"/>
              <w:rPr>
                <w:rFonts w:ascii="Times New Roman" w:hAnsi="Times New Roman"/>
                <w:sz w:val="20"/>
                <w:szCs w:val="20"/>
                <w:lang w:bidi="ar"/>
              </w:rPr>
            </w:pPr>
          </w:p>
        </w:tc>
        <w:tc>
          <w:tcPr>
            <w:tcW w:w="1908" w:type="pct"/>
            <w:tcBorders>
              <w:top w:val="single" w:color="auto" w:sz="4" w:space="0"/>
              <w:left w:val="single" w:color="auto" w:sz="4" w:space="0"/>
              <w:bottom w:val="single" w:color="auto" w:sz="4" w:space="0"/>
              <w:right w:val="single" w:color="auto" w:sz="4" w:space="0"/>
            </w:tcBorders>
          </w:tcPr>
          <w:p>
            <w:pPr>
              <w:snapToGrid w:val="0"/>
              <w:rPr>
                <w:rFonts w:ascii="Times New Roman" w:hAnsi="Times New Roman"/>
                <w:sz w:val="20"/>
                <w:szCs w:val="20"/>
              </w:rPr>
            </w:pPr>
            <w:r>
              <w:rPr>
                <w:rFonts w:ascii="Times New Roman" w:hAnsi="Times New Roman"/>
                <w:sz w:val="20"/>
                <w:szCs w:val="20"/>
              </w:rPr>
              <w:t xml:space="preserve">18 </w:t>
            </w:r>
            <w:r>
              <w:rPr>
                <w:rFonts w:hint="eastAsia" w:ascii="Times New Roman" w:hAnsi="Times New Roman"/>
                <w:sz w:val="20"/>
                <w:szCs w:val="20"/>
              </w:rPr>
              <w:t xml:space="preserve">intermediate </w:t>
            </w:r>
            <w:r>
              <w:rPr>
                <w:rFonts w:ascii="Times New Roman" w:hAnsi="Times New Roman"/>
                <w:sz w:val="20"/>
                <w:szCs w:val="20"/>
              </w:rPr>
              <w:t>UEs are distributed uniformly</w:t>
            </w:r>
          </w:p>
          <w:p>
            <w:pPr>
              <w:pStyle w:val="15"/>
              <w:numPr>
                <w:ilvl w:val="0"/>
                <w:numId w:val="11"/>
              </w:numPr>
              <w:snapToGrid w:val="0"/>
              <w:spacing w:before="0" w:beforeAutospacing="0" w:after="0" w:afterAutospacing="0"/>
              <w:ind w:left="442" w:hanging="442"/>
              <w:jc w:val="both"/>
              <w:rPr>
                <w:rFonts w:ascii="Times New Roman" w:hAnsi="Times New Roman" w:eastAsia="等线" w:cs="Times New Roman"/>
                <w:sz w:val="20"/>
                <w:szCs w:val="20"/>
                <w:lang w:bidi="ar"/>
              </w:rPr>
            </w:pPr>
            <w:r>
              <w:rPr>
                <w:rFonts w:ascii="Times New Roman" w:hAnsi="Times New Roman" w:eastAsia="等线" w:cs="Times New Roman"/>
                <w:sz w:val="20"/>
                <w:szCs w:val="20"/>
                <w:lang w:bidi="ar"/>
              </w:rPr>
              <w:t>L=300m x W=150m; D=50m</w:t>
            </w:r>
          </w:p>
          <w:p>
            <w:pPr>
              <w:pStyle w:val="15"/>
              <w:numPr>
                <w:ilvl w:val="0"/>
                <w:numId w:val="11"/>
              </w:numPr>
              <w:snapToGrid w:val="0"/>
              <w:spacing w:before="0" w:beforeAutospacing="0" w:after="0" w:afterAutospacing="0"/>
              <w:ind w:left="442" w:hanging="442"/>
              <w:jc w:val="both"/>
              <w:rPr>
                <w:rFonts w:ascii="Times New Roman" w:hAnsi="Times New Roman" w:eastAsia="等线" w:cs="Times New Roman"/>
                <w:sz w:val="20"/>
                <w:szCs w:val="20"/>
                <w:lang w:bidi="ar"/>
              </w:rPr>
            </w:pPr>
            <w:r>
              <w:rPr>
                <w:rFonts w:ascii="Times New Roman" w:hAnsi="Times New Roman" w:eastAsia="等线" w:cs="Times New Roman"/>
                <w:sz w:val="20"/>
                <w:szCs w:val="20"/>
                <w:lang w:bidi="ar"/>
              </w:rPr>
              <w:t xml:space="preserve">UE height = 1.5 m </w:t>
            </w:r>
          </w:p>
          <w:p>
            <w:pPr>
              <w:snapToGrid w:val="0"/>
              <w:rPr>
                <w:rFonts w:ascii="Times New Roman" w:hAnsi="Times New Roman"/>
                <w:sz w:val="20"/>
                <w:szCs w:val="20"/>
                <w:lang w:bidi="ar"/>
              </w:rPr>
            </w:pPr>
            <w:r>
              <w:rPr>
                <w:rFonts w:ascii="Times New Roman" w:hAnsi="Times New Roman"/>
                <w:sz w:val="20"/>
                <w:szCs w:val="20"/>
                <w:lang w:bidi="ar"/>
              </w:rPr>
              <w:drawing>
                <wp:inline distT="0" distB="0" distL="0" distR="0">
                  <wp:extent cx="1450975" cy="782320"/>
                  <wp:effectExtent l="0" t="0" r="9525" b="5080"/>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
                          <pic:cNvPicPr>
                            <a:picLocks noChangeAspect="1"/>
                          </pic:cNvPicPr>
                        </pic:nvPicPr>
                        <pic:blipFill>
                          <a:blip r:embed="rId6"/>
                          <a:stretch>
                            <a:fillRect/>
                          </a:stretch>
                        </pic:blipFill>
                        <pic:spPr>
                          <a:xfrm>
                            <a:off x="0" y="0"/>
                            <a:ext cx="1450975" cy="78232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hint="eastAsia" w:ascii="Times New Roman" w:hAnsi="Times New Roman"/>
                <w:sz w:val="20"/>
                <w:szCs w:val="20"/>
                <w:lang w:bidi="ar"/>
              </w:rPr>
              <w:t>O2I penetration loss</w:t>
            </w:r>
          </w:p>
        </w:tc>
        <w:tc>
          <w:tcPr>
            <w:tcW w:w="3816" w:type="pct"/>
            <w:gridSpan w:val="2"/>
            <w:tcBorders>
              <w:top w:val="single" w:color="auto" w:sz="4" w:space="0"/>
              <w:left w:val="single" w:color="auto" w:sz="4" w:space="0"/>
              <w:bottom w:val="single" w:color="auto" w:sz="4" w:space="0"/>
              <w:right w:val="single" w:color="auto" w:sz="4" w:space="0"/>
            </w:tcBorders>
            <w:shd w:val="clear" w:color="auto" w:fill="auto"/>
          </w:tcPr>
          <w:p>
            <w:pPr>
              <w:snapToGrid w:val="0"/>
              <w:rPr>
                <w:rFonts w:ascii="Times New Roman" w:hAnsi="Times New Roman"/>
                <w:sz w:val="20"/>
                <w:szCs w:val="20"/>
                <w:lang w:bidi="ar"/>
              </w:rPr>
            </w:pPr>
            <w:r>
              <w:rPr>
                <w:rFonts w:hint="eastAsia" w:ascii="Times New Roman" w:hAnsi="Times New Roman"/>
                <w:sz w:val="20"/>
                <w:szCs w:val="20"/>
                <w:lang w:bidi="ar"/>
              </w:rPr>
              <w:t>High penetration loss as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rPr>
            </w:pPr>
            <w:r>
              <w:rPr>
                <w:rFonts w:ascii="Times New Roman" w:hAnsi="Times New Roman"/>
                <w:sz w:val="20"/>
                <w:szCs w:val="20"/>
                <w:lang w:bidi="ar"/>
              </w:rPr>
              <w:t>NR BS deployment</w:t>
            </w:r>
          </w:p>
        </w:tc>
        <w:tc>
          <w:tcPr>
            <w:tcW w:w="38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50" w:lineRule="auto"/>
              <w:rPr>
                <w:rFonts w:ascii="Times New Roman" w:hAnsi="Times New Roman" w:eastAsia="等线"/>
                <w:sz w:val="20"/>
                <w:szCs w:val="20"/>
                <w:lang w:bidi="ar"/>
              </w:rPr>
            </w:pPr>
            <w:r>
              <w:rPr>
                <w:rFonts w:ascii="Times New Roman" w:hAnsi="Times New Roman" w:eastAsia="等线"/>
                <w:sz w:val="20"/>
                <w:szCs w:val="20"/>
                <w:lang w:bidi="ar"/>
              </w:rPr>
              <w:t>hexagonal grid, 7 macro sites, 3 sectors per site with wrap around, 1 AIOT indoor scenario per sector</w:t>
            </w:r>
          </w:p>
          <w:p>
            <w:pPr>
              <w:jc w:val="center"/>
              <w:rPr>
                <w:rFonts w:ascii="Times New Roman" w:hAnsi="Times New Roman"/>
                <w:sz w:val="20"/>
                <w:szCs w:val="20"/>
              </w:rPr>
            </w:pPr>
            <w:r>
              <w:rPr>
                <w:rFonts w:ascii="Times New Roman" w:hAnsi="Times New Roman"/>
                <w:sz w:val="20"/>
                <w:szCs w:val="20"/>
              </w:rPr>
              <w:drawing>
                <wp:inline distT="0" distB="0" distL="0" distR="0">
                  <wp:extent cx="1950085" cy="1504950"/>
                  <wp:effectExtent l="0" t="0" r="5715" b="6350"/>
                  <wp:docPr id="6"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图示&#10;&#10;描述已自动生成"/>
                          <pic:cNvPicPr>
                            <a:picLocks noChangeAspect="1" noChangeArrowheads="1"/>
                          </pic:cNvPicPr>
                        </pic:nvPicPr>
                        <pic:blipFill>
                          <a:blip r:embed="rId7" cstate="print">
                            <a:duotone>
                              <a:schemeClr val="accent3">
                                <a:shade val="45000"/>
                                <a:satMod val="135000"/>
                              </a:schemeClr>
                              <a:prstClr val="white"/>
                            </a:duotone>
                            <a:extLst>
                              <a:ext uri="{BEBA8EAE-BF5A-486C-A8C5-ECC9F3942E4B}">
                                <a14:imgProps xmlns:a14="http://schemas.microsoft.com/office/drawing/2010/main">
                                  <a14:imgLayer r:embed="rId8">
                                    <a14:imgEffect>
                                      <a14:brightnessContrast bright="-20000" contrast="40000"/>
                                    </a14:imgEffect>
                                    <a14:imgEffect>
                                      <a14:saturation sat="0"/>
                                    </a14:imgEffect>
                                    <a14:imgEffect>
                                      <a14:sharpenSoften amount="50000"/>
                                    </a14:imgEffect>
                                  </a14:imgLayer>
                                </a14:imgProps>
                              </a:ext>
                              <a:ext uri="{28A0092B-C50C-407E-A947-70E740481C1C}">
                                <a14:useLocalDpi xmlns:a14="http://schemas.microsoft.com/office/drawing/2010/main" val="0"/>
                              </a:ext>
                            </a:extLst>
                          </a:blip>
                          <a:srcRect l="3724" t="2441" r="2014" b="9021"/>
                          <a:stretch>
                            <a:fillRect/>
                          </a:stretch>
                        </pic:blipFill>
                        <pic:spPr>
                          <a:xfrm>
                            <a:off x="0" y="0"/>
                            <a:ext cx="1965256" cy="1516650"/>
                          </a:xfrm>
                          <a:prstGeom prst="rect">
                            <a:avLst/>
                          </a:prstGeom>
                          <a:noFill/>
                          <a:ln>
                            <a:noFill/>
                          </a:ln>
                        </pic:spPr>
                      </pic:pic>
                    </a:graphicData>
                  </a:graphic>
                </wp:inline>
              </w:drawing>
            </w:r>
          </w:p>
          <w:p>
            <w:pPr>
              <w:jc w:val="center"/>
              <w:rPr>
                <w:rFonts w:ascii="Times New Roman" w:hAnsi="Times New Roman"/>
                <w:sz w:val="20"/>
                <w:szCs w:val="20"/>
              </w:rPr>
            </w:pPr>
            <w:r>
              <w:rPr>
                <w:rFonts w:hint="eastAsia" w:ascii="Times New Roman" w:hAnsi="Times New Roman"/>
                <w:color w:val="000000"/>
                <w:sz w:val="20"/>
                <w:szCs w:val="20"/>
              </w:rPr>
              <w:t>The minimum distance between macro NR BS and indoor reader is 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lang w:bidi="ar"/>
              </w:rPr>
            </w:pPr>
            <w:r>
              <w:rPr>
                <w:rFonts w:ascii="Times New Roman" w:hAnsi="Times New Roman"/>
                <w:sz w:val="20"/>
                <w:szCs w:val="20"/>
                <w:lang w:bidi="ar"/>
              </w:rPr>
              <w:t>Intermediate UE height</w:t>
            </w:r>
          </w:p>
        </w:tc>
        <w:tc>
          <w:tcPr>
            <w:tcW w:w="38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50" w:lineRule="auto"/>
              <w:rPr>
                <w:rFonts w:ascii="Times New Roman" w:hAnsi="Times New Roman" w:eastAsia="等线"/>
                <w:sz w:val="20"/>
                <w:szCs w:val="20"/>
                <w:lang w:bidi="ar"/>
              </w:rPr>
            </w:pPr>
            <w:r>
              <w:rPr>
                <w:rFonts w:ascii="Times New Roman" w:hAnsi="Times New Roman" w:eastAsia="等线"/>
                <w:sz w:val="20"/>
                <w:szCs w:val="20"/>
                <w:lang w:bidi="ar"/>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lang w:bidi="ar"/>
              </w:rPr>
            </w:pPr>
            <w:r>
              <w:rPr>
                <w:rFonts w:ascii="Times New Roman" w:hAnsi="Times New Roman"/>
                <w:sz w:val="20"/>
                <w:szCs w:val="20"/>
                <w:lang w:bidi="ar"/>
              </w:rPr>
              <w:t>NR UE  dropping</w:t>
            </w:r>
          </w:p>
        </w:tc>
        <w:tc>
          <w:tcPr>
            <w:tcW w:w="3816" w:type="pct"/>
            <w:gridSpan w:val="2"/>
            <w:tcBorders>
              <w:top w:val="single" w:color="auto" w:sz="4" w:space="0"/>
              <w:left w:val="single" w:color="auto" w:sz="4" w:space="0"/>
              <w:bottom w:val="single" w:color="auto" w:sz="4" w:space="0"/>
              <w:right w:val="single" w:color="auto" w:sz="4" w:space="0"/>
            </w:tcBorders>
            <w:vAlign w:val="center"/>
          </w:tcPr>
          <w:p>
            <w:pPr>
              <w:snapToGrid w:val="0"/>
              <w:spacing w:after="160" w:line="249" w:lineRule="auto"/>
              <w:rPr>
                <w:rFonts w:ascii="Times New Roman" w:hAnsi="Times New Roman" w:eastAsia="等线"/>
                <w:sz w:val="20"/>
                <w:szCs w:val="20"/>
                <w:lang w:bidi="ar"/>
              </w:rPr>
            </w:pPr>
            <w:r>
              <w:rPr>
                <w:rFonts w:hint="eastAsia" w:ascii="Times New Roman" w:hAnsi="Times New Roman" w:eastAsia="等线"/>
                <w:sz w:val="20"/>
                <w:szCs w:val="20"/>
                <w:lang w:bidi="ar"/>
              </w:rPr>
              <w:t>Uniformly distributed outdoor, or,</w:t>
            </w:r>
          </w:p>
          <w:p>
            <w:pPr>
              <w:snapToGrid w:val="0"/>
              <w:rPr>
                <w:rFonts w:ascii="Times New Roman" w:hAnsi="Times New Roman"/>
                <w:sz w:val="20"/>
                <w:szCs w:val="20"/>
                <w:lang w:bidi="ar"/>
              </w:rPr>
            </w:pPr>
            <w:r>
              <w:rPr>
                <w:rFonts w:hint="eastAsia" w:ascii="Times New Roman" w:hAnsi="Times New Roman" w:eastAsia="等线"/>
                <w:sz w:val="20"/>
                <w:szCs w:val="20"/>
                <w:lang w:bidi="ar"/>
              </w:rPr>
              <w:t>Uniformly distributed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Times New Roman" w:hAnsi="Times New Roman"/>
                <w:sz w:val="20"/>
                <w:szCs w:val="20"/>
              </w:rPr>
            </w:pPr>
            <w:r>
              <w:rPr>
                <w:rFonts w:ascii="Times New Roman" w:hAnsi="Times New Roman"/>
                <w:sz w:val="20"/>
                <w:szCs w:val="20"/>
                <w:lang w:bidi="ar"/>
              </w:rPr>
              <w:t xml:space="preserve">Device distribution </w:t>
            </w:r>
          </w:p>
        </w:tc>
        <w:tc>
          <w:tcPr>
            <w:tcW w:w="3816" w:type="pct"/>
            <w:gridSpan w:val="2"/>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156" w:beforeLines="50"/>
              <w:rPr>
                <w:rFonts w:ascii="Times New Roman" w:hAnsi="Times New Roman"/>
                <w:sz w:val="20"/>
                <w:szCs w:val="20"/>
                <w:lang w:bidi="ar"/>
              </w:rPr>
            </w:pPr>
            <w:r>
              <w:rPr>
                <w:rFonts w:ascii="Times New Roman" w:hAnsi="Times New Roman"/>
                <w:sz w:val="20"/>
                <w:szCs w:val="20"/>
                <w:lang w:bidi="ar"/>
              </w:rPr>
              <w:t>Device Height= 1.5 m</w:t>
            </w:r>
          </w:p>
          <w:p>
            <w:pPr>
              <w:adjustRightInd w:val="0"/>
              <w:snapToGrid w:val="0"/>
              <w:spacing w:before="156" w:beforeLines="50"/>
              <w:rPr>
                <w:rFonts w:ascii="Times New Roman" w:hAnsi="Times New Roman"/>
                <w:sz w:val="20"/>
                <w:szCs w:val="20"/>
                <w:lang w:bidi="ar"/>
              </w:rPr>
            </w:pPr>
            <w:r>
              <w:rPr>
                <w:rFonts w:ascii="Times New Roman" w:hAnsi="Times New Roman"/>
                <w:sz w:val="20"/>
                <w:szCs w:val="20"/>
                <w:lang w:bidi="ar"/>
              </w:rPr>
              <w:t>AIoT devices drop uniformly distributed over the horizontal area</w:t>
            </w:r>
          </w:p>
          <w:p>
            <w:pPr>
              <w:adjustRightInd w:val="0"/>
              <w:snapToGrid w:val="0"/>
              <w:spacing w:before="156" w:beforeLines="50"/>
              <w:rPr>
                <w:rFonts w:ascii="Times New Roman" w:hAnsi="Times New Roman"/>
                <w:sz w:val="20"/>
                <w:szCs w:val="20"/>
                <w:lang w:bidi="ar"/>
              </w:rPr>
            </w:pPr>
            <w:r>
              <w:rPr>
                <w:rFonts w:ascii="Times New Roman" w:hAnsi="Times New Roman"/>
                <w:sz w:val="20"/>
                <w:szCs w:val="20"/>
                <w:lang w:bidi="ar"/>
              </w:rPr>
              <w:t>Number of A-IoTs</w:t>
            </w:r>
            <w:r>
              <w:rPr>
                <w:rFonts w:hint="eastAsia" w:ascii="Times New Roman" w:hAnsi="Times New Roman"/>
                <w:sz w:val="20"/>
                <w:szCs w:val="20"/>
                <w:lang w:bidi="ar"/>
              </w:rPr>
              <w:t xml:space="preserve"> devices</w:t>
            </w:r>
            <w:r>
              <w:rPr>
                <w:rFonts w:ascii="Times New Roman" w:hAnsi="Times New Roman"/>
                <w:sz w:val="20"/>
                <w:szCs w:val="20"/>
                <w:lang w:bidi="ar"/>
              </w:rPr>
              <w:t xml:space="preserve"> = Total area × activated density (1.5 A-IOT devices/m²)</w:t>
            </w:r>
          </w:p>
          <w:p>
            <w:pPr>
              <w:adjustRightInd w:val="0"/>
              <w:snapToGrid w:val="0"/>
              <w:spacing w:before="156" w:beforeLines="50"/>
              <w:rPr>
                <w:rFonts w:ascii="Times New Roman" w:hAnsi="Times New Roman"/>
                <w:sz w:val="20"/>
                <w:szCs w:val="20"/>
                <w:lang w:bidi="ar"/>
              </w:rPr>
            </w:pPr>
            <w:r>
              <w:rPr>
                <w:rFonts w:hint="eastAsia" w:ascii="Times New Roman" w:hAnsi="Times New Roman"/>
                <w:sz w:val="20"/>
                <w:szCs w:val="20"/>
                <w:lang w:bidi="ar"/>
              </w:rPr>
              <w:t>one reader serve one device at one drop</w:t>
            </w:r>
          </w:p>
        </w:tc>
      </w:tr>
    </w:tbl>
    <w:p>
      <w:pPr>
        <w:tabs>
          <w:tab w:val="left" w:pos="720"/>
        </w:tabs>
        <w:spacing w:after="156" w:afterLines="50"/>
        <w:rPr>
          <w:rFonts w:ascii="Times New Roman" w:hAnsi="Times New Roman"/>
          <w:b/>
          <w:bCs/>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16: it</w:t>
      </w:r>
      <w:r>
        <w:rPr>
          <w:rFonts w:ascii="Times New Roman" w:hAnsi="Times New Roman"/>
          <w:b/>
          <w:bCs/>
          <w:sz w:val="20"/>
          <w:szCs w:val="20"/>
        </w:rPr>
        <w:t>’</w:t>
      </w:r>
      <w:r>
        <w:rPr>
          <w:rFonts w:hint="eastAsia" w:ascii="Times New Roman" w:hAnsi="Times New Roman"/>
          <w:b/>
          <w:bCs/>
          <w:sz w:val="20"/>
          <w:szCs w:val="20"/>
        </w:rPr>
        <w:t>s suggested to use the parameters in above table for D2T2 layout. Compared with RAN1, we have following update.</w:t>
      </w:r>
    </w:p>
    <w:p>
      <w:pPr>
        <w:numPr>
          <w:ilvl w:val="0"/>
          <w:numId w:val="12"/>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InH-office as baseline and InF-DL as optional</w:t>
      </w:r>
    </w:p>
    <w:p>
      <w:pPr>
        <w:numPr>
          <w:ilvl w:val="0"/>
          <w:numId w:val="12"/>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Intermediate UE dropping</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Penetration loss modeling</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the minimum distance between macro NR BS and indoor reader</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lang w:val="en-US" w:eastAsia="zh-CN"/>
        </w:rPr>
        <w:t>The minimum distance between reader and device</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NR UE dropping</w:t>
      </w:r>
    </w:p>
    <w:p>
      <w:pPr>
        <w:numPr>
          <w:ilvl w:val="0"/>
          <w:numId w:val="10"/>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lang w:bidi="ar"/>
        </w:rPr>
        <w:t>Devices distribution</w:t>
      </w:r>
    </w:p>
    <w:tbl>
      <w:tblPr>
        <w:tblStyle w:val="45"/>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7"/>
        <w:gridCol w:w="3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957" w:type="dxa"/>
          </w:tcPr>
          <w:p>
            <w:pPr>
              <w:rPr>
                <w:rFonts w:ascii="Times New Roman" w:hAnsi="Times New Roman"/>
                <w:b/>
                <w:bCs/>
                <w:sz w:val="20"/>
                <w:szCs w:val="20"/>
              </w:rPr>
            </w:pPr>
            <w:r>
              <w:rPr>
                <w:rFonts w:ascii="Times New Roman" w:hAnsi="Times New Roman"/>
                <w:b/>
                <w:bCs/>
                <w:sz w:val="20"/>
                <w:szCs w:val="20"/>
              </w:rPr>
              <w:t>A-IoT micro BS parameters</w:t>
            </w:r>
          </w:p>
        </w:tc>
        <w:tc>
          <w:tcPr>
            <w:tcW w:w="3123" w:type="dxa"/>
          </w:tcPr>
          <w:p>
            <w:pPr>
              <w:rPr>
                <w:rFonts w:ascii="Times New Roman" w:hAnsi="Times New Roman"/>
                <w:b/>
                <w:bCs/>
                <w:sz w:val="20"/>
                <w:szCs w:val="20"/>
              </w:rPr>
            </w:pPr>
            <w:r>
              <w:rPr>
                <w:rFonts w:ascii="Times New Roman" w:hAnsi="Times New Roman" w:eastAsia="Yu Mincho"/>
                <w:b/>
                <w:bCs/>
                <w:sz w:val="20"/>
                <w:szCs w:val="20"/>
              </w:rPr>
              <w:t>Recommended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4957" w:type="dxa"/>
          </w:tcPr>
          <w:p>
            <w:pPr>
              <w:rPr>
                <w:rFonts w:ascii="Times New Roman" w:hAnsi="Times New Roman"/>
                <w:sz w:val="20"/>
                <w:szCs w:val="20"/>
              </w:rPr>
            </w:pPr>
            <w:r>
              <w:rPr>
                <w:rFonts w:ascii="Times New Roman" w:hAnsi="Times New Roman"/>
                <w:sz w:val="20"/>
                <w:szCs w:val="20"/>
              </w:rPr>
              <w:t>A-IoT micro-BS total Tx power</w:t>
            </w:r>
          </w:p>
        </w:tc>
        <w:tc>
          <w:tcPr>
            <w:tcW w:w="312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sz w:val="20"/>
                <w:szCs w:val="20"/>
              </w:rPr>
              <w:t>33dBm</w:t>
            </w:r>
            <w:r>
              <w:rPr>
                <w:rFonts w:ascii="Times New Roman" w:hAnsi="Times New Roman" w:eastAsia="Yu Mincho"/>
                <w:sz w:val="20"/>
                <w:szCs w:val="20"/>
              </w:rPr>
              <w:t xml:space="preserve"> baseline</w:t>
            </w:r>
          </w:p>
          <w:p>
            <w:pPr>
              <w:rPr>
                <w:rFonts w:ascii="Times New Roman" w:hAnsi="Times New Roman"/>
                <w:sz w:val="20"/>
                <w:szCs w:val="20"/>
              </w:rPr>
            </w:pPr>
            <w:r>
              <w:rPr>
                <w:rFonts w:ascii="Times New Roman" w:hAnsi="Times New Roman"/>
                <w:sz w:val="20"/>
                <w:szCs w:val="20"/>
              </w:rPr>
              <w:t>38 dBm</w:t>
            </w:r>
            <w:r>
              <w:rPr>
                <w:rFonts w:ascii="Times New Roman" w:hAnsi="Times New Roman" w:eastAsia="Yu Mincho"/>
                <w:sz w:val="20"/>
                <w:szCs w:val="20"/>
              </w:rPr>
              <w:t xml:space="preserve">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4957" w:type="dxa"/>
          </w:tcPr>
          <w:p>
            <w:pPr>
              <w:rPr>
                <w:rFonts w:ascii="Times New Roman" w:hAnsi="Times New Roman"/>
                <w:sz w:val="20"/>
                <w:szCs w:val="20"/>
              </w:rPr>
            </w:pPr>
            <w:r>
              <w:rPr>
                <w:rFonts w:hint="eastAsia" w:ascii="Times New Roman" w:hAnsi="Times New Roman"/>
                <w:sz w:val="20"/>
                <w:szCs w:val="20"/>
              </w:rPr>
              <w:t>Transmission bandwidth</w:t>
            </w:r>
          </w:p>
        </w:tc>
        <w:tc>
          <w:tcPr>
            <w:tcW w:w="3123" w:type="dxa"/>
          </w:tcPr>
          <w:p>
            <w:pPr>
              <w:rPr>
                <w:rFonts w:ascii="Times New Roman" w:hAnsi="Times New Roman"/>
                <w:sz w:val="20"/>
                <w:szCs w:val="20"/>
              </w:rPr>
            </w:pPr>
            <w:r>
              <w:rPr>
                <w:rFonts w:hint="eastAsia" w:ascii="Times New Roman" w:hAnsi="Times New Roman"/>
                <w:sz w:val="20"/>
                <w:szCs w:val="20"/>
              </w:rPr>
              <w:t>180kHz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4957" w:type="dxa"/>
          </w:tcPr>
          <w:p>
            <w:pPr>
              <w:rPr>
                <w:rFonts w:ascii="Times New Roman" w:hAnsi="Times New Roman"/>
                <w:sz w:val="20"/>
                <w:szCs w:val="20"/>
              </w:rPr>
            </w:pPr>
            <w:r>
              <w:rPr>
                <w:rFonts w:ascii="Times New Roman" w:hAnsi="Times New Roman"/>
                <w:sz w:val="20"/>
                <w:szCs w:val="20"/>
              </w:rPr>
              <w:t>A-IoT micro-BS receiver Noise Figure（dB）</w:t>
            </w:r>
          </w:p>
        </w:tc>
        <w:tc>
          <w:tcPr>
            <w:tcW w:w="3123" w:type="dxa"/>
          </w:tcPr>
          <w:p>
            <w:pPr>
              <w:rPr>
                <w:rFonts w:ascii="Times New Roman" w:hAnsi="Times New Roman"/>
                <w:sz w:val="20"/>
                <w:szCs w:val="20"/>
              </w:rPr>
            </w:pPr>
            <w:r>
              <w:rPr>
                <w:rFonts w:ascii="Times New Roman" w:hAnsi="Times New Roman"/>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4957" w:type="dxa"/>
          </w:tcPr>
          <w:p>
            <w:pPr>
              <w:rPr>
                <w:rFonts w:ascii="Times New Roman" w:hAnsi="Times New Roman"/>
                <w:sz w:val="20"/>
                <w:szCs w:val="20"/>
              </w:rPr>
            </w:pPr>
            <w:r>
              <w:rPr>
                <w:rFonts w:ascii="Times New Roman" w:hAnsi="Times New Roman"/>
                <w:sz w:val="20"/>
                <w:szCs w:val="20"/>
              </w:rPr>
              <w:t>A-IoT micro-BS antenna gain including feeder loss (dBi)</w:t>
            </w:r>
          </w:p>
        </w:tc>
        <w:tc>
          <w:tcPr>
            <w:tcW w:w="3123" w:type="dxa"/>
          </w:tcPr>
          <w:p>
            <w:pPr>
              <w:rPr>
                <w:rFonts w:ascii="Times New Roman" w:hAnsi="Times New Roman"/>
                <w:sz w:val="20"/>
                <w:szCs w:val="20"/>
              </w:rPr>
            </w:pPr>
            <w:r>
              <w:rPr>
                <w:rFonts w:hint="eastAsia" w:ascii="Times New Roman" w:hAnsi="Times New Roman"/>
                <w:sz w:val="20"/>
                <w:szCs w:val="20"/>
              </w:rPr>
              <w:t>6dBi and 2dBi</w:t>
            </w:r>
          </w:p>
          <w:p>
            <w:pPr>
              <w:overflowPunct w:val="0"/>
              <w:autoSpaceDE w:val="0"/>
              <w:autoSpaceDN w:val="0"/>
              <w:adjustRightInd w:val="0"/>
              <w:textAlignment w:val="baseline"/>
              <w:rPr>
                <w:rFonts w:ascii="Times New Roman" w:hAnsi="Times New Roman" w:eastAsia="Yu Mincho"/>
                <w:sz w:val="20"/>
                <w:szCs w:val="20"/>
              </w:rPr>
            </w:pPr>
            <w:r>
              <w:rPr>
                <w:rFonts w:hint="eastAsia" w:ascii="Times New Roman" w:hAnsi="Times New Roman" w:eastAsia="Yu Mincho"/>
                <w:sz w:val="20"/>
                <w:szCs w:val="20"/>
              </w:rPr>
              <w:t>0.9dB on-object antenna penalty</w:t>
            </w:r>
          </w:p>
          <w:p>
            <w:pPr>
              <w:overflowPunct w:val="0"/>
              <w:autoSpaceDE w:val="0"/>
              <w:autoSpaceDN w:val="0"/>
              <w:adjustRightInd w:val="0"/>
              <w:textAlignment w:val="baseline"/>
              <w:rPr>
                <w:rFonts w:ascii="Times New Roman" w:hAnsi="Times New Roman" w:eastAsia="Yu Mincho"/>
                <w:sz w:val="20"/>
                <w:szCs w:val="20"/>
              </w:rPr>
            </w:pPr>
            <w:r>
              <w:rPr>
                <w:rFonts w:hint="eastAsia" w:ascii="Times New Roman" w:hAnsi="Times New Roman" w:eastAsia="Yu Mincho"/>
                <w:sz w:val="20"/>
                <w:szCs w:val="20"/>
              </w:rPr>
              <w:t>Note: actual antenna gain is 5.1dBi and 1.1dBi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957"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Antenna configuration</w:t>
            </w:r>
          </w:p>
        </w:tc>
        <w:tc>
          <w:tcPr>
            <w:tcW w:w="312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2 antenna elements</w:t>
            </w:r>
            <w:r>
              <w:rPr>
                <w:rFonts w:hint="eastAsia" w:ascii="Times New Roman" w:hAnsi="Times New Roman" w:eastAsia="Yu Mincho"/>
                <w:sz w:val="20"/>
                <w:szCs w:val="20"/>
              </w:rPr>
              <w:t xml:space="preserve"> as baseline</w:t>
            </w:r>
            <w:r>
              <w:rPr>
                <w:rFonts w:ascii="Times New Roman" w:hAnsi="Times New Roman" w:eastAsia="Yu Mincho"/>
                <w:sz w:val="20"/>
                <w:szCs w:val="20"/>
              </w:rPr>
              <w:t>, with (M,N,P,Mg,Ng) = (1,1,2,1,1)</w:t>
            </w:r>
            <w:r>
              <w:rPr>
                <w:rFonts w:hint="eastAsia" w:ascii="Times New Roman" w:hAnsi="Times New Roman" w:eastAsia="Yu Mincho"/>
                <w:sz w:val="20"/>
                <w:szCs w:val="20"/>
              </w:rPr>
              <w:t xml:space="preserve">, </w:t>
            </w:r>
          </w:p>
          <w:p>
            <w:pPr>
              <w:overflowPunct w:val="0"/>
              <w:autoSpaceDE w:val="0"/>
              <w:autoSpaceDN w:val="0"/>
              <w:adjustRightInd w:val="0"/>
              <w:textAlignment w:val="baseline"/>
              <w:rPr>
                <w:rFonts w:ascii="Times New Roman" w:hAnsi="Times New Roman" w:eastAsia="Yu Mincho"/>
                <w:sz w:val="20"/>
                <w:szCs w:val="20"/>
              </w:rPr>
            </w:pPr>
            <w:r>
              <w:rPr>
                <w:rFonts w:hint="eastAsia" w:ascii="Times New Roman" w:hAnsi="Times New Roman" w:eastAsia="Yu Mincho"/>
                <w:sz w:val="20"/>
                <w:szCs w:val="20"/>
              </w:rPr>
              <w:t>FFS: antenna pattern</w:t>
            </w:r>
          </w:p>
        </w:tc>
      </w:tr>
    </w:tbl>
    <w:p>
      <w:pPr>
        <w:spacing w:after="156" w:afterLines="50"/>
        <w:rPr>
          <w:rFonts w:ascii="Times New Roman" w:hAnsi="Times New Roman"/>
          <w:b/>
          <w:bCs/>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17: it</w:t>
      </w:r>
      <w:r>
        <w:rPr>
          <w:rFonts w:ascii="Times New Roman" w:hAnsi="Times New Roman"/>
          <w:b/>
          <w:bCs/>
          <w:sz w:val="20"/>
          <w:szCs w:val="20"/>
        </w:rPr>
        <w:t>’</w:t>
      </w:r>
      <w:r>
        <w:rPr>
          <w:rFonts w:hint="eastAsia" w:ascii="Times New Roman" w:hAnsi="Times New Roman"/>
          <w:b/>
          <w:bCs/>
          <w:sz w:val="20"/>
          <w:szCs w:val="20"/>
        </w:rPr>
        <w:t xml:space="preserve">s suggested to use value in above table for AIoT micro-BS. </w:t>
      </w:r>
    </w:p>
    <w:p>
      <w:pPr>
        <w:spacing w:after="156" w:afterLines="50"/>
        <w:rPr>
          <w:rFonts w:ascii="Times New Roman" w:hAnsi="Times New Roman"/>
          <w:sz w:val="20"/>
          <w:szCs w:val="20"/>
        </w:rPr>
      </w:pPr>
    </w:p>
    <w:tbl>
      <w:tblPr>
        <w:tblStyle w:val="45"/>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7"/>
        <w:gridCol w:w="3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957" w:type="dxa"/>
          </w:tcPr>
          <w:p>
            <w:pPr>
              <w:rPr>
                <w:rFonts w:ascii="Times New Roman" w:hAnsi="Times New Roman"/>
                <w:b/>
                <w:bCs/>
                <w:sz w:val="20"/>
                <w:szCs w:val="20"/>
              </w:rPr>
            </w:pPr>
            <w:r>
              <w:rPr>
                <w:rFonts w:ascii="Times New Roman" w:hAnsi="Times New Roman"/>
                <w:b/>
                <w:bCs/>
                <w:sz w:val="20"/>
                <w:szCs w:val="20"/>
              </w:rPr>
              <w:t>Intermediate UE parameters</w:t>
            </w:r>
          </w:p>
        </w:tc>
        <w:tc>
          <w:tcPr>
            <w:tcW w:w="3123" w:type="dxa"/>
          </w:tcPr>
          <w:p>
            <w:pPr>
              <w:rPr>
                <w:rFonts w:ascii="Times New Roman" w:hAnsi="Times New Roman"/>
                <w:b/>
                <w:bCs/>
                <w:sz w:val="20"/>
                <w:szCs w:val="20"/>
              </w:rPr>
            </w:pPr>
            <w:r>
              <w:rPr>
                <w:rFonts w:ascii="Times New Roman" w:hAnsi="Times New Roman" w:eastAsia="Yu Mincho"/>
                <w:b/>
                <w:bCs/>
                <w:sz w:val="20"/>
                <w:szCs w:val="20"/>
              </w:rPr>
              <w:t>Recommended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4957" w:type="dxa"/>
          </w:tcPr>
          <w:p>
            <w:pPr>
              <w:rPr>
                <w:rFonts w:ascii="Times New Roman" w:hAnsi="Times New Roman"/>
                <w:sz w:val="20"/>
                <w:szCs w:val="20"/>
              </w:rPr>
            </w:pPr>
            <w:r>
              <w:rPr>
                <w:rFonts w:ascii="Times New Roman" w:hAnsi="Times New Roman"/>
                <w:sz w:val="20"/>
                <w:szCs w:val="20"/>
              </w:rPr>
              <w:t>intermediate UE total Tx power（dBm）</w:t>
            </w:r>
          </w:p>
        </w:tc>
        <w:tc>
          <w:tcPr>
            <w:tcW w:w="312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sz w:val="20"/>
                <w:szCs w:val="20"/>
              </w:rPr>
              <w:t>23</w:t>
            </w:r>
            <w:r>
              <w:rPr>
                <w:rFonts w:ascii="Times New Roman" w:hAnsi="Times New Roman" w:eastAsia="Yu Mincho"/>
                <w:sz w:val="20"/>
                <w:szCs w:val="20"/>
              </w:rPr>
              <w:t>dBm baseline</w:t>
            </w:r>
          </w:p>
          <w:p>
            <w:pPr>
              <w:rPr>
                <w:rFonts w:ascii="Times New Roman" w:hAnsi="Times New Roman"/>
                <w:sz w:val="20"/>
                <w:szCs w:val="20"/>
              </w:rPr>
            </w:pPr>
            <w:r>
              <w:rPr>
                <w:rFonts w:ascii="Times New Roman" w:hAnsi="Times New Roman" w:eastAsia="Yu Mincho"/>
                <w:sz w:val="20"/>
                <w:szCs w:val="20"/>
              </w:rPr>
              <w:t xml:space="preserve">26dBm </w:t>
            </w:r>
            <w:r>
              <w:rPr>
                <w:rFonts w:hint="eastAsia" w:ascii="Times New Roman" w:hAnsi="Times New Roman" w:eastAsia="Yu Mincho"/>
                <w:sz w:val="20"/>
                <w:szCs w:val="20"/>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4957" w:type="dxa"/>
          </w:tcPr>
          <w:p>
            <w:pPr>
              <w:rPr>
                <w:rFonts w:ascii="Times New Roman" w:hAnsi="Times New Roman"/>
                <w:sz w:val="20"/>
                <w:szCs w:val="20"/>
              </w:rPr>
            </w:pPr>
            <w:r>
              <w:rPr>
                <w:rFonts w:ascii="Times New Roman" w:hAnsi="Times New Roman"/>
                <w:sz w:val="20"/>
                <w:szCs w:val="20"/>
              </w:rPr>
              <w:t>gain of antenna intermediate UE including feeder loss (dBi)</w:t>
            </w:r>
          </w:p>
        </w:tc>
        <w:tc>
          <w:tcPr>
            <w:tcW w:w="3123" w:type="dxa"/>
          </w:tcPr>
          <w:p>
            <w:pPr>
              <w:rPr>
                <w:rFonts w:ascii="Times New Roman" w:hAnsi="Times New Roman"/>
                <w:sz w:val="20"/>
                <w:szCs w:val="20"/>
              </w:rPr>
            </w:pPr>
            <w:r>
              <w:rPr>
                <w:rFonts w:ascii="Times New Roman" w:hAnsi="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4957" w:type="dxa"/>
          </w:tcPr>
          <w:p>
            <w:pPr>
              <w:rPr>
                <w:rFonts w:ascii="Times New Roman" w:hAnsi="Times New Roman"/>
                <w:sz w:val="20"/>
                <w:szCs w:val="20"/>
              </w:rPr>
            </w:pPr>
            <w:r>
              <w:rPr>
                <w:rFonts w:ascii="Times New Roman" w:hAnsi="Times New Roman"/>
                <w:bCs/>
                <w:sz w:val="20"/>
                <w:szCs w:val="20"/>
              </w:rPr>
              <w:t>intermediate UE</w:t>
            </w:r>
            <w:r>
              <w:rPr>
                <w:rFonts w:ascii="Times New Roman" w:hAnsi="Times New Roman"/>
                <w:sz w:val="20"/>
                <w:szCs w:val="20"/>
              </w:rPr>
              <w:t xml:space="preserve"> receiver Noise Figure（dB）</w:t>
            </w:r>
          </w:p>
        </w:tc>
        <w:tc>
          <w:tcPr>
            <w:tcW w:w="3123" w:type="dxa"/>
          </w:tcPr>
          <w:p>
            <w:pPr>
              <w:rPr>
                <w:rFonts w:ascii="Times New Roman" w:hAnsi="Times New Roman"/>
                <w:sz w:val="20"/>
                <w:szCs w:val="20"/>
              </w:rPr>
            </w:pPr>
            <w:r>
              <w:rPr>
                <w:rFonts w:ascii="Times New Roman" w:hAnsi="Times New Roman"/>
                <w:sz w:val="20"/>
                <w:szCs w:val="2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4957" w:type="dxa"/>
          </w:tcPr>
          <w:p>
            <w:p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Antenna configuration</w:t>
            </w:r>
          </w:p>
        </w:tc>
        <w:tc>
          <w:tcPr>
            <w:tcW w:w="312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sz w:val="20"/>
                <w:szCs w:val="20"/>
              </w:rPr>
              <w:t>Omni direction antenna</w:t>
            </w:r>
          </w:p>
        </w:tc>
      </w:tr>
    </w:tbl>
    <w:p>
      <w:pPr>
        <w:spacing w:after="156" w:afterLines="50"/>
        <w:rPr>
          <w:rFonts w:ascii="Times New Roman" w:hAnsi="Times New Roman"/>
          <w:b/>
          <w:bCs/>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18: it</w:t>
      </w:r>
      <w:r>
        <w:rPr>
          <w:rFonts w:ascii="Times New Roman" w:hAnsi="Times New Roman"/>
          <w:b/>
          <w:bCs/>
          <w:sz w:val="20"/>
          <w:szCs w:val="20"/>
        </w:rPr>
        <w:t>’</w:t>
      </w:r>
      <w:r>
        <w:rPr>
          <w:rFonts w:hint="eastAsia" w:ascii="Times New Roman" w:hAnsi="Times New Roman"/>
          <w:b/>
          <w:bCs/>
          <w:sz w:val="20"/>
          <w:szCs w:val="20"/>
        </w:rPr>
        <w:t xml:space="preserve">s suggested to use value in above table for AIoT micro-BS. </w:t>
      </w:r>
    </w:p>
    <w:p>
      <w:pPr>
        <w:spacing w:after="156" w:afterLines="50"/>
        <w:rPr>
          <w:rFonts w:ascii="Times New Roman" w:hAnsi="Times New Roman"/>
          <w:sz w:val="20"/>
          <w:szCs w:val="20"/>
        </w:rPr>
      </w:pPr>
    </w:p>
    <w:tbl>
      <w:tblPr>
        <w:tblStyle w:val="45"/>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3974"/>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397" w:type="dxa"/>
          </w:tcPr>
          <w:p>
            <w:pPr>
              <w:rPr>
                <w:rFonts w:ascii="Times New Roman" w:hAnsi="Times New Roman"/>
                <w:b/>
                <w:bCs/>
                <w:sz w:val="20"/>
                <w:szCs w:val="20"/>
              </w:rPr>
            </w:pPr>
            <w:r>
              <w:rPr>
                <w:rFonts w:ascii="Times New Roman" w:hAnsi="Times New Roman"/>
                <w:b/>
                <w:bCs/>
                <w:sz w:val="20"/>
                <w:szCs w:val="20"/>
              </w:rPr>
              <w:t>intermediate UE parameters</w:t>
            </w:r>
          </w:p>
        </w:tc>
        <w:tc>
          <w:tcPr>
            <w:tcW w:w="3974" w:type="dxa"/>
          </w:tcPr>
          <w:p>
            <w:pPr>
              <w:rPr>
                <w:rFonts w:ascii="Times New Roman" w:hAnsi="Times New Roman" w:eastAsiaTheme="minorEastAsia"/>
                <w:b/>
                <w:bCs/>
                <w:sz w:val="20"/>
                <w:szCs w:val="20"/>
              </w:rPr>
            </w:pPr>
            <w:r>
              <w:rPr>
                <w:rFonts w:ascii="Times New Roman" w:hAnsi="Times New Roman" w:eastAsiaTheme="minorEastAsia"/>
                <w:b/>
                <w:bCs/>
                <w:sz w:val="20"/>
                <w:szCs w:val="20"/>
              </w:rPr>
              <w:t>D1T1</w:t>
            </w:r>
          </w:p>
        </w:tc>
        <w:tc>
          <w:tcPr>
            <w:tcW w:w="2551" w:type="dxa"/>
          </w:tcPr>
          <w:p>
            <w:pPr>
              <w:overflowPunct w:val="0"/>
              <w:autoSpaceDE w:val="0"/>
              <w:autoSpaceDN w:val="0"/>
              <w:adjustRightInd w:val="0"/>
              <w:textAlignment w:val="baseline"/>
              <w:rPr>
                <w:rFonts w:ascii="Times New Roman" w:hAnsi="Times New Roman" w:eastAsiaTheme="minorEastAsia"/>
                <w:b/>
                <w:bCs/>
                <w:sz w:val="20"/>
                <w:szCs w:val="20"/>
              </w:rPr>
            </w:pPr>
            <w:r>
              <w:rPr>
                <w:rFonts w:ascii="Times New Roman" w:hAnsi="Times New Roman" w:eastAsiaTheme="minorEastAsia"/>
                <w:b/>
                <w:bCs/>
                <w:sz w:val="20"/>
                <w:szCs w:val="20"/>
              </w:rPr>
              <w:t xml:space="preserve">D2T2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397" w:type="dxa"/>
          </w:tcPr>
          <w:p>
            <w:pPr>
              <w:rPr>
                <w:rFonts w:ascii="Times New Roman" w:hAnsi="Times New Roman"/>
                <w:sz w:val="20"/>
                <w:szCs w:val="20"/>
              </w:rPr>
            </w:pPr>
            <w:r>
              <w:rPr>
                <w:rFonts w:ascii="Times New Roman" w:hAnsi="Times New Roman"/>
                <w:sz w:val="20"/>
                <w:szCs w:val="20"/>
              </w:rPr>
              <w:t>Tx power（dBm）</w:t>
            </w:r>
          </w:p>
        </w:tc>
        <w:tc>
          <w:tcPr>
            <w:tcW w:w="3974" w:type="dxa"/>
          </w:tcPr>
          <w:p>
            <w:p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If UL spectrum is used, UE Tx power is assumed, i.e. 23dBm</w:t>
            </w:r>
            <w:r>
              <w:rPr>
                <w:rFonts w:hint="eastAsia" w:ascii="Times New Roman" w:hAnsi="Times New Roman"/>
                <w:sz w:val="20"/>
                <w:szCs w:val="20"/>
              </w:rPr>
              <w:t xml:space="preserve"> baseline</w:t>
            </w:r>
          </w:p>
          <w:p>
            <w:pPr>
              <w:overflowPunct w:val="0"/>
              <w:autoSpaceDE w:val="0"/>
              <w:autoSpaceDN w:val="0"/>
              <w:adjustRightInd w:val="0"/>
              <w:textAlignment w:val="baseline"/>
              <w:rPr>
                <w:rFonts w:ascii="Times New Roman" w:hAnsi="Times New Roman"/>
                <w:sz w:val="20"/>
                <w:szCs w:val="20"/>
              </w:rPr>
            </w:pPr>
            <w:r>
              <w:rPr>
                <w:rFonts w:ascii="Times New Roman" w:hAnsi="Times New Roman" w:eastAsiaTheme="minorEastAsia"/>
                <w:sz w:val="20"/>
                <w:szCs w:val="20"/>
              </w:rPr>
              <w:t>If DL spectrum is used, AIOT micro-BS Tx power is assumed.</w:t>
            </w:r>
          </w:p>
        </w:tc>
        <w:tc>
          <w:tcPr>
            <w:tcW w:w="2551"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Theme="minorEastAsia"/>
                <w:sz w:val="20"/>
                <w:szCs w:val="20"/>
              </w:rPr>
              <w:t>Inter-mediate UE Tx power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397" w:type="dxa"/>
          </w:tcPr>
          <w:p>
            <w:pPr>
              <w:rPr>
                <w:rFonts w:ascii="Times New Roman" w:hAnsi="Times New Roman"/>
                <w:sz w:val="20"/>
                <w:szCs w:val="20"/>
              </w:rPr>
            </w:pPr>
            <w:r>
              <w:rPr>
                <w:rFonts w:hint="eastAsia" w:ascii="Times New Roman" w:hAnsi="Times New Roman"/>
                <w:sz w:val="20"/>
                <w:szCs w:val="20"/>
              </w:rPr>
              <w:t>Antenna gain</w:t>
            </w:r>
          </w:p>
        </w:tc>
        <w:tc>
          <w:tcPr>
            <w:tcW w:w="3974" w:type="dxa"/>
          </w:tcPr>
          <w:p>
            <w:pPr>
              <w:rPr>
                <w:rFonts w:ascii="Times New Roman" w:hAnsi="Times New Roman"/>
                <w:sz w:val="20"/>
                <w:szCs w:val="20"/>
              </w:rPr>
            </w:pPr>
            <w:r>
              <w:rPr>
                <w:rFonts w:ascii="Times New Roman" w:hAnsi="Times New Roman"/>
                <w:sz w:val="20"/>
                <w:szCs w:val="20"/>
              </w:rPr>
              <w:t xml:space="preserve">Same as AIOT </w:t>
            </w:r>
            <w:r>
              <w:rPr>
                <w:rFonts w:hint="eastAsia" w:ascii="Times New Roman" w:hAnsi="Times New Roman"/>
                <w:sz w:val="20"/>
                <w:szCs w:val="20"/>
              </w:rPr>
              <w:t>reader since we only consider inside topology case</w:t>
            </w:r>
          </w:p>
        </w:tc>
        <w:tc>
          <w:tcPr>
            <w:tcW w:w="2551"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Theme="minorEastAsia"/>
                <w:sz w:val="20"/>
                <w:szCs w:val="20"/>
              </w:rPr>
              <w:t>Same as inter-mediate UE</w:t>
            </w:r>
          </w:p>
        </w:tc>
      </w:tr>
    </w:tbl>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19: it</w:t>
      </w:r>
      <w:r>
        <w:rPr>
          <w:rFonts w:ascii="Times New Roman" w:hAnsi="Times New Roman"/>
          <w:b/>
          <w:bCs/>
          <w:sz w:val="20"/>
          <w:szCs w:val="20"/>
        </w:rPr>
        <w:t>’</w:t>
      </w:r>
      <w:r>
        <w:rPr>
          <w:rFonts w:hint="eastAsia" w:ascii="Times New Roman" w:hAnsi="Times New Roman"/>
          <w:b/>
          <w:bCs/>
          <w:sz w:val="20"/>
          <w:szCs w:val="20"/>
        </w:rPr>
        <w:t>s suggested to use value in above table for AIoT CW. Compared with RAN1, we add antenna gain requirement.</w:t>
      </w:r>
    </w:p>
    <w:p>
      <w:pPr>
        <w:spacing w:after="156" w:afterLines="50"/>
        <w:rPr>
          <w:rFonts w:ascii="Times New Roman" w:hAnsi="Times New Roman"/>
          <w:sz w:val="20"/>
          <w:szCs w:val="20"/>
        </w:rPr>
      </w:pPr>
    </w:p>
    <w:p>
      <w:pPr>
        <w:tabs>
          <w:tab w:val="left" w:pos="720"/>
        </w:tabs>
        <w:spacing w:after="156" w:afterLines="50"/>
        <w:rPr>
          <w:rFonts w:ascii="Times New Roman" w:hAnsi="Times New Roman"/>
          <w:b/>
          <w:bCs/>
          <w:sz w:val="20"/>
          <w:szCs w:val="20"/>
        </w:rPr>
      </w:pPr>
    </w:p>
    <w:tbl>
      <w:tblPr>
        <w:tblStyle w:val="45"/>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9"/>
        <w:gridCol w:w="2138"/>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2819" w:type="dxa"/>
          </w:tcPr>
          <w:p>
            <w:pPr>
              <w:rPr>
                <w:rFonts w:ascii="Times New Roman" w:hAnsi="Times New Roman"/>
                <w:b/>
                <w:bCs/>
                <w:sz w:val="20"/>
                <w:szCs w:val="20"/>
              </w:rPr>
            </w:pPr>
            <w:r>
              <w:rPr>
                <w:rFonts w:ascii="Times New Roman" w:hAnsi="Times New Roman"/>
                <w:b/>
                <w:bCs/>
                <w:sz w:val="20"/>
                <w:szCs w:val="20"/>
              </w:rPr>
              <w:t>A-IoT device parameters</w:t>
            </w:r>
          </w:p>
        </w:tc>
        <w:tc>
          <w:tcPr>
            <w:tcW w:w="2138" w:type="dxa"/>
          </w:tcPr>
          <w:p>
            <w:pPr>
              <w:rPr>
                <w:rFonts w:ascii="Times New Roman" w:hAnsi="Times New Roman"/>
                <w:b/>
                <w:bCs/>
                <w:sz w:val="20"/>
                <w:szCs w:val="20"/>
              </w:rPr>
            </w:pPr>
            <w:r>
              <w:rPr>
                <w:rFonts w:ascii="Times New Roman" w:hAnsi="Times New Roman"/>
                <w:b/>
                <w:bCs/>
                <w:sz w:val="20"/>
                <w:szCs w:val="20"/>
              </w:rPr>
              <w:t>Device 1</w:t>
            </w:r>
          </w:p>
        </w:tc>
        <w:tc>
          <w:tcPr>
            <w:tcW w:w="1984" w:type="dxa"/>
          </w:tcPr>
          <w:p>
            <w:pPr>
              <w:rPr>
                <w:rFonts w:ascii="Times New Roman" w:hAnsi="Times New Roman"/>
                <w:b/>
                <w:bCs/>
                <w:sz w:val="20"/>
                <w:szCs w:val="20"/>
              </w:rPr>
            </w:pPr>
            <w:r>
              <w:rPr>
                <w:rFonts w:ascii="Times New Roman" w:hAnsi="Times New Roman"/>
                <w:b/>
                <w:bCs/>
                <w:sz w:val="20"/>
                <w:szCs w:val="20"/>
              </w:rPr>
              <w:t>Device 2a</w:t>
            </w:r>
          </w:p>
        </w:tc>
        <w:tc>
          <w:tcPr>
            <w:tcW w:w="1985" w:type="dxa"/>
          </w:tcPr>
          <w:p>
            <w:pPr>
              <w:rPr>
                <w:rFonts w:ascii="Times New Roman" w:hAnsi="Times New Roman"/>
                <w:b/>
                <w:bCs/>
                <w:sz w:val="20"/>
                <w:szCs w:val="20"/>
              </w:rPr>
            </w:pPr>
            <w:r>
              <w:rPr>
                <w:rFonts w:ascii="Times New Roman" w:hAnsi="Times New Roman"/>
                <w:b/>
                <w:bCs/>
                <w:sz w:val="20"/>
                <w:szCs w:val="20"/>
              </w:rPr>
              <w:t>Device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 xml:space="preserve">A-IoT device Tx power (dBm) </w:t>
            </w:r>
          </w:p>
        </w:tc>
        <w:tc>
          <w:tcPr>
            <w:tcW w:w="2138" w:type="dxa"/>
          </w:tcPr>
          <w:p>
            <w:pPr>
              <w:rPr>
                <w:rFonts w:ascii="Times New Roman" w:hAnsi="Times New Roman"/>
                <w:sz w:val="20"/>
                <w:szCs w:val="20"/>
              </w:rPr>
            </w:pPr>
            <w:r>
              <w:rPr>
                <w:rFonts w:hint="eastAsia" w:ascii="Times New Roman" w:hAnsi="Times New Roman"/>
                <w:sz w:val="20"/>
                <w:szCs w:val="20"/>
              </w:rPr>
              <w:t>FFS</w:t>
            </w:r>
          </w:p>
        </w:tc>
        <w:tc>
          <w:tcPr>
            <w:tcW w:w="1984" w:type="dxa"/>
          </w:tcPr>
          <w:p>
            <w:pPr>
              <w:rPr>
                <w:rFonts w:ascii="Times New Roman" w:hAnsi="Times New Roman"/>
                <w:sz w:val="20"/>
                <w:szCs w:val="20"/>
              </w:rPr>
            </w:pPr>
            <w:r>
              <w:rPr>
                <w:rFonts w:hint="eastAsia" w:ascii="Times New Roman" w:hAnsi="Times New Roman"/>
                <w:sz w:val="20"/>
                <w:szCs w:val="20"/>
              </w:rPr>
              <w:t>FFS</w:t>
            </w:r>
          </w:p>
        </w:tc>
        <w:tc>
          <w:tcPr>
            <w:tcW w:w="1985" w:type="dxa"/>
          </w:tcPr>
          <w:p>
            <w:pPr>
              <w:rPr>
                <w:rFonts w:ascii="Times New Roman" w:hAnsi="Times New Roman"/>
                <w:sz w:val="20"/>
                <w:szCs w:val="20"/>
              </w:rPr>
            </w:pPr>
            <w:r>
              <w:rPr>
                <w:rFonts w:hint="eastAsia" w:ascii="Times New Roman" w:hAnsi="Times New Roman"/>
                <w:sz w:val="20"/>
                <w:szCs w:val="20"/>
              </w:rPr>
              <w:t>-20 baseline</w:t>
            </w:r>
          </w:p>
          <w:p>
            <w:pPr>
              <w:rPr>
                <w:rFonts w:ascii="Times New Roman" w:hAnsi="Times New Roman"/>
                <w:sz w:val="20"/>
                <w:szCs w:val="20"/>
              </w:rPr>
            </w:pPr>
            <w:r>
              <w:rPr>
                <w:rFonts w:hint="eastAsia" w:ascii="Times New Roman" w:hAnsi="Times New Roman"/>
                <w:sz w:val="20"/>
                <w:szCs w:val="20"/>
              </w:rPr>
              <w:t>-10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A-IoT device effective antenna gain per Tx or Rx branch (dBi)</w:t>
            </w:r>
          </w:p>
        </w:tc>
        <w:tc>
          <w:tcPr>
            <w:tcW w:w="2138" w:type="dxa"/>
          </w:tcPr>
          <w:p>
            <w:pPr>
              <w:rPr>
                <w:rFonts w:ascii="Times New Roman" w:hAnsi="Times New Roman"/>
                <w:sz w:val="20"/>
                <w:szCs w:val="20"/>
              </w:rPr>
            </w:pPr>
            <w:r>
              <w:rPr>
                <w:rFonts w:hint="eastAsia" w:ascii="Times New Roman" w:hAnsi="Times New Roman"/>
                <w:sz w:val="20"/>
                <w:szCs w:val="20"/>
              </w:rPr>
              <w:t xml:space="preserve">0 baseline </w:t>
            </w:r>
          </w:p>
          <w:p>
            <w:pPr>
              <w:rPr>
                <w:rFonts w:ascii="Times New Roman" w:hAnsi="Times New Roman"/>
                <w:sz w:val="20"/>
                <w:szCs w:val="20"/>
              </w:rPr>
            </w:pPr>
            <w:r>
              <w:rPr>
                <w:rFonts w:hint="eastAsia" w:ascii="Times New Roman" w:hAnsi="Times New Roman"/>
                <w:sz w:val="20"/>
                <w:szCs w:val="20"/>
              </w:rPr>
              <w:t>-3 optional</w:t>
            </w:r>
          </w:p>
        </w:tc>
        <w:tc>
          <w:tcPr>
            <w:tcW w:w="1984" w:type="dxa"/>
          </w:tcPr>
          <w:p>
            <w:pPr>
              <w:rPr>
                <w:rFonts w:ascii="Times New Roman" w:hAnsi="Times New Roman"/>
                <w:sz w:val="20"/>
                <w:szCs w:val="20"/>
              </w:rPr>
            </w:pPr>
            <w:r>
              <w:rPr>
                <w:rFonts w:hint="eastAsia" w:ascii="Times New Roman" w:hAnsi="Times New Roman"/>
                <w:sz w:val="20"/>
                <w:szCs w:val="20"/>
              </w:rPr>
              <w:t xml:space="preserve">0 baseline </w:t>
            </w:r>
          </w:p>
          <w:p>
            <w:pPr>
              <w:rPr>
                <w:rFonts w:ascii="Times New Roman" w:hAnsi="Times New Roman"/>
                <w:sz w:val="20"/>
                <w:szCs w:val="20"/>
              </w:rPr>
            </w:pPr>
            <w:r>
              <w:rPr>
                <w:rFonts w:hint="eastAsia" w:ascii="Times New Roman" w:hAnsi="Times New Roman"/>
                <w:sz w:val="20"/>
                <w:szCs w:val="20"/>
              </w:rPr>
              <w:t xml:space="preserve">-3 optional </w:t>
            </w:r>
          </w:p>
        </w:tc>
        <w:tc>
          <w:tcPr>
            <w:tcW w:w="1985" w:type="dxa"/>
          </w:tcPr>
          <w:p>
            <w:pPr>
              <w:rPr>
                <w:rFonts w:ascii="Times New Roman" w:hAnsi="Times New Roman"/>
                <w:sz w:val="20"/>
                <w:szCs w:val="20"/>
              </w:rPr>
            </w:pPr>
            <w:r>
              <w:rPr>
                <w:rFonts w:hint="eastAsia" w:ascii="Times New Roman" w:hAnsi="Times New Roman"/>
                <w:sz w:val="20"/>
                <w:szCs w:val="20"/>
              </w:rPr>
              <w:t xml:space="preserve">0 baseline </w:t>
            </w:r>
          </w:p>
          <w:p>
            <w:pPr>
              <w:rPr>
                <w:rFonts w:ascii="Times New Roman" w:hAnsi="Times New Roman"/>
                <w:sz w:val="20"/>
                <w:szCs w:val="20"/>
              </w:rPr>
            </w:pPr>
            <w:r>
              <w:rPr>
                <w:rFonts w:hint="eastAsia" w:ascii="Times New Roman" w:hAnsi="Times New Roman"/>
                <w:sz w:val="20"/>
                <w:szCs w:val="20"/>
              </w:rPr>
              <w:t>-3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819" w:type="dxa"/>
          </w:tcPr>
          <w:p>
            <w:pPr>
              <w:rPr>
                <w:rFonts w:ascii="Times New Roman" w:hAnsi="Times New Roman"/>
                <w:sz w:val="20"/>
                <w:szCs w:val="20"/>
              </w:rPr>
            </w:pPr>
            <w:r>
              <w:rPr>
                <w:rFonts w:ascii="Times New Roman" w:hAnsi="Times New Roman"/>
                <w:sz w:val="20"/>
                <w:szCs w:val="20"/>
              </w:rPr>
              <w:t>A-IoT device reflection （backscatter）loss (dB)</w:t>
            </w:r>
          </w:p>
          <w:p>
            <w:pPr>
              <w:rPr>
                <w:rFonts w:ascii="Times New Roman" w:hAnsi="Times New Roman"/>
                <w:sz w:val="20"/>
                <w:szCs w:val="20"/>
              </w:rPr>
            </w:pPr>
            <w:r>
              <w:rPr>
                <w:rFonts w:ascii="Times New Roman" w:hAnsi="Times New Roman"/>
                <w:sz w:val="20"/>
                <w:szCs w:val="20"/>
              </w:rPr>
              <w:t>Note: due to, e.g., impedance mismatch</w:t>
            </w:r>
          </w:p>
        </w:tc>
        <w:tc>
          <w:tcPr>
            <w:tcW w:w="2138" w:type="dxa"/>
          </w:tcPr>
          <w:p>
            <w:pPr>
              <w:rPr>
                <w:rFonts w:ascii="Times New Roman" w:hAnsi="Times New Roman"/>
                <w:sz w:val="20"/>
                <w:szCs w:val="20"/>
              </w:rPr>
            </w:pPr>
            <w:r>
              <w:rPr>
                <w:rFonts w:ascii="Times New Roman" w:hAnsi="Times New Roman"/>
                <w:sz w:val="20"/>
                <w:szCs w:val="20"/>
              </w:rPr>
              <w:t>-6 dB and 0 dB for OOK  and BPSK</w:t>
            </w:r>
          </w:p>
        </w:tc>
        <w:tc>
          <w:tcPr>
            <w:tcW w:w="1984" w:type="dxa"/>
          </w:tcPr>
          <w:p>
            <w:pPr>
              <w:rPr>
                <w:rFonts w:ascii="Times New Roman" w:hAnsi="Times New Roman"/>
                <w:sz w:val="20"/>
                <w:szCs w:val="20"/>
              </w:rPr>
            </w:pPr>
            <w:r>
              <w:rPr>
                <w:rFonts w:ascii="Times New Roman" w:hAnsi="Times New Roman"/>
                <w:sz w:val="20"/>
                <w:szCs w:val="20"/>
              </w:rPr>
              <w:t>N/A</w:t>
            </w:r>
          </w:p>
        </w:tc>
        <w:tc>
          <w:tcPr>
            <w:tcW w:w="1985" w:type="dxa"/>
          </w:tcPr>
          <w:p>
            <w:pPr>
              <w:rPr>
                <w:rFonts w:ascii="Times New Roman" w:hAnsi="Times New Roman"/>
                <w:sz w:val="20"/>
                <w:szCs w:val="20"/>
              </w:rPr>
            </w:pPr>
            <w:r>
              <w:rPr>
                <w:rFonts w:ascii="Times New Roman" w:hAnsi="Times New Roman"/>
                <w:sz w:val="20"/>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A-IoT device power gain of reflection amplifier (dB)</w:t>
            </w:r>
          </w:p>
        </w:tc>
        <w:tc>
          <w:tcPr>
            <w:tcW w:w="2138" w:type="dxa"/>
          </w:tcPr>
          <w:p>
            <w:pPr>
              <w:rPr>
                <w:rFonts w:ascii="Times New Roman" w:hAnsi="Times New Roman"/>
                <w:sz w:val="20"/>
                <w:szCs w:val="20"/>
              </w:rPr>
            </w:pPr>
            <w:r>
              <w:rPr>
                <w:rFonts w:ascii="Times New Roman" w:hAnsi="Times New Roman"/>
                <w:sz w:val="20"/>
                <w:szCs w:val="20"/>
              </w:rPr>
              <w:t>N/A</w:t>
            </w:r>
          </w:p>
        </w:tc>
        <w:tc>
          <w:tcPr>
            <w:tcW w:w="1984" w:type="dxa"/>
          </w:tcPr>
          <w:p>
            <w:pPr>
              <w:rPr>
                <w:rFonts w:ascii="Times New Roman" w:hAnsi="Times New Roman"/>
                <w:sz w:val="20"/>
                <w:szCs w:val="20"/>
              </w:rPr>
            </w:pPr>
            <w:r>
              <w:rPr>
                <w:rFonts w:hint="eastAsia" w:ascii="Times New Roman" w:hAnsi="Times New Roman"/>
                <w:sz w:val="20"/>
                <w:szCs w:val="20"/>
              </w:rPr>
              <w:t>10dB as baseline</w:t>
            </w:r>
          </w:p>
          <w:p>
            <w:pPr>
              <w:rPr>
                <w:rFonts w:ascii="Times New Roman" w:hAnsi="Times New Roman"/>
                <w:sz w:val="20"/>
                <w:szCs w:val="20"/>
              </w:rPr>
            </w:pPr>
            <w:r>
              <w:rPr>
                <w:rFonts w:hint="eastAsia" w:ascii="Times New Roman" w:hAnsi="Times New Roman"/>
                <w:sz w:val="20"/>
                <w:szCs w:val="20"/>
              </w:rPr>
              <w:t>20dB as optional</w:t>
            </w:r>
          </w:p>
        </w:tc>
        <w:tc>
          <w:tcPr>
            <w:tcW w:w="1985" w:type="dxa"/>
          </w:tcPr>
          <w:p>
            <w:pPr>
              <w:rPr>
                <w:rFonts w:ascii="Times New Roman" w:hAnsi="Times New Roman"/>
                <w:sz w:val="20"/>
                <w:szCs w:val="20"/>
              </w:rPr>
            </w:pPr>
            <w:r>
              <w:rPr>
                <w:rFonts w:ascii="Times New Roman" w:hAnsi="Times New Roman"/>
                <w:sz w:val="20"/>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A-IoT Device receiver sensitivity (dBm)</w:t>
            </w:r>
          </w:p>
        </w:tc>
        <w:tc>
          <w:tcPr>
            <w:tcW w:w="2138" w:type="dxa"/>
          </w:tcPr>
          <w:p>
            <w:pPr>
              <w:rPr>
                <w:rFonts w:ascii="Times New Roman" w:hAnsi="Times New Roman"/>
                <w:sz w:val="20"/>
                <w:szCs w:val="20"/>
              </w:rPr>
            </w:pPr>
            <w:r>
              <w:rPr>
                <w:rFonts w:ascii="Times New Roman" w:hAnsi="Times New Roman"/>
                <w:sz w:val="20"/>
                <w:szCs w:val="20"/>
              </w:rPr>
              <w:t>-36</w:t>
            </w:r>
          </w:p>
        </w:tc>
        <w:tc>
          <w:tcPr>
            <w:tcW w:w="1984" w:type="dxa"/>
          </w:tcPr>
          <w:p>
            <w:pPr>
              <w:rPr>
                <w:rFonts w:ascii="Times New Roman" w:hAnsi="Times New Roman"/>
                <w:sz w:val="20"/>
                <w:szCs w:val="20"/>
              </w:rPr>
            </w:pPr>
            <w:r>
              <w:rPr>
                <w:rFonts w:ascii="Times New Roman" w:hAnsi="Times New Roman"/>
                <w:sz w:val="20"/>
                <w:szCs w:val="20"/>
              </w:rPr>
              <w:t>-46</w:t>
            </w:r>
          </w:p>
        </w:tc>
        <w:tc>
          <w:tcPr>
            <w:tcW w:w="1985" w:type="dxa"/>
          </w:tcPr>
          <w:p>
            <w:pPr>
              <w:rPr>
                <w:rFonts w:ascii="Times New Roman" w:hAnsi="Times New Roman"/>
                <w:sz w:val="20"/>
                <w:szCs w:val="20"/>
              </w:rPr>
            </w:pPr>
            <w:r>
              <w:rPr>
                <w:rFonts w:ascii="Times New Roman" w:hAnsi="Times New Roman"/>
                <w:sz w:val="20"/>
                <w:szCs w:val="20"/>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Guard band</w:t>
            </w:r>
          </w:p>
        </w:tc>
        <w:tc>
          <w:tcPr>
            <w:tcW w:w="2138" w:type="dxa"/>
          </w:tcPr>
          <w:p>
            <w:pPr>
              <w:spacing w:after="156" w:afterLines="50"/>
              <w:rPr>
                <w:rFonts w:ascii="Times New Roman" w:hAnsi="Times New Roman"/>
                <w:sz w:val="20"/>
                <w:szCs w:val="20"/>
              </w:rPr>
            </w:pPr>
            <w:r>
              <w:rPr>
                <w:rFonts w:ascii="Times New Roman" w:hAnsi="Times New Roman"/>
                <w:sz w:val="20"/>
                <w:szCs w:val="20"/>
              </w:rPr>
              <w:t>1PRB, 2PRB</w:t>
            </w:r>
          </w:p>
        </w:tc>
        <w:tc>
          <w:tcPr>
            <w:tcW w:w="1984" w:type="dxa"/>
          </w:tcPr>
          <w:p>
            <w:pPr>
              <w:spacing w:after="156" w:afterLines="50"/>
              <w:rPr>
                <w:rFonts w:ascii="Times New Roman" w:hAnsi="Times New Roman"/>
                <w:sz w:val="20"/>
                <w:szCs w:val="20"/>
              </w:rPr>
            </w:pPr>
            <w:r>
              <w:rPr>
                <w:rFonts w:ascii="Times New Roman" w:hAnsi="Times New Roman"/>
                <w:sz w:val="20"/>
                <w:szCs w:val="20"/>
              </w:rPr>
              <w:t>1PRB, 2PRB</w:t>
            </w:r>
          </w:p>
        </w:tc>
        <w:tc>
          <w:tcPr>
            <w:tcW w:w="1985" w:type="dxa"/>
          </w:tcPr>
          <w:p>
            <w:pPr>
              <w:spacing w:after="156" w:afterLines="50"/>
              <w:rPr>
                <w:rFonts w:ascii="Times New Roman" w:hAnsi="Times New Roman"/>
                <w:sz w:val="20"/>
                <w:szCs w:val="20"/>
              </w:rPr>
            </w:pPr>
            <w:r>
              <w:rPr>
                <w:rFonts w:ascii="Times New Roman" w:hAnsi="Times New Roman"/>
                <w:sz w:val="20"/>
                <w:szCs w:val="20"/>
              </w:rPr>
              <w:t>1PRB, 2PRB</w:t>
            </w:r>
          </w:p>
        </w:tc>
      </w:tr>
    </w:tbl>
    <w:p>
      <w:pPr>
        <w:tabs>
          <w:tab w:val="left" w:pos="720"/>
        </w:tabs>
        <w:spacing w:after="156" w:afterLines="50"/>
        <w:rPr>
          <w:rFonts w:ascii="Times New Roman" w:hAnsi="Times New Roman"/>
          <w:b/>
          <w:bCs/>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20: it</w:t>
      </w:r>
      <w:r>
        <w:rPr>
          <w:rFonts w:ascii="Times New Roman" w:hAnsi="Times New Roman"/>
          <w:b/>
          <w:bCs/>
          <w:sz w:val="20"/>
          <w:szCs w:val="20"/>
        </w:rPr>
        <w:t>’</w:t>
      </w:r>
      <w:r>
        <w:rPr>
          <w:rFonts w:hint="eastAsia" w:ascii="Times New Roman" w:hAnsi="Times New Roman"/>
          <w:b/>
          <w:bCs/>
          <w:sz w:val="20"/>
          <w:szCs w:val="20"/>
        </w:rPr>
        <w:t>s suggested to use value in above table for AIoT CW. Besides RAN1 agreements, we need to approve following parameter</w:t>
      </w:r>
    </w:p>
    <w:p>
      <w:pPr>
        <w:numPr>
          <w:ilvl w:val="0"/>
          <w:numId w:val="14"/>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Device Tx power for device 1 and 2a</w:t>
      </w:r>
    </w:p>
    <w:p>
      <w:pPr>
        <w:numPr>
          <w:ilvl w:val="0"/>
          <w:numId w:val="14"/>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A-IoT backscatter loss for device 1</w:t>
      </w:r>
    </w:p>
    <w:p>
      <w:pPr>
        <w:numPr>
          <w:ilvl w:val="0"/>
          <w:numId w:val="14"/>
        </w:num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Receiver sensitivity</w:t>
      </w:r>
    </w:p>
    <w:p>
      <w:pPr>
        <w:tabs>
          <w:tab w:val="left" w:pos="720"/>
        </w:tabs>
        <w:spacing w:after="156" w:afterLines="50"/>
        <w:rPr>
          <w:rFonts w:ascii="Times New Roman" w:hAnsi="Times New Roman"/>
          <w:b/>
          <w:bCs/>
          <w:sz w:val="20"/>
          <w:szCs w:val="20"/>
        </w:rPr>
      </w:pPr>
    </w:p>
    <w:tbl>
      <w:tblPr>
        <w:tblStyle w:val="45"/>
        <w:tblW w:w="5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2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60" w:type="dxa"/>
          </w:tcPr>
          <w:p>
            <w:pPr>
              <w:rPr>
                <w:rFonts w:ascii="Times New Roman" w:hAnsi="Times New Roman"/>
                <w:b/>
                <w:bCs/>
                <w:sz w:val="20"/>
                <w:szCs w:val="20"/>
              </w:rPr>
            </w:pPr>
            <w:r>
              <w:rPr>
                <w:rFonts w:ascii="Times New Roman" w:hAnsi="Times New Roman"/>
                <w:b/>
                <w:bCs/>
                <w:sz w:val="20"/>
                <w:szCs w:val="20"/>
              </w:rPr>
              <w:t>NR macro-BS Parameter</w:t>
            </w:r>
          </w:p>
        </w:tc>
        <w:tc>
          <w:tcPr>
            <w:tcW w:w="2710" w:type="dxa"/>
          </w:tcPr>
          <w:p>
            <w:pPr>
              <w:rPr>
                <w:rFonts w:ascii="Times New Roman" w:hAnsi="Times New Roman"/>
                <w:b/>
                <w:bCs/>
                <w:sz w:val="20"/>
                <w:szCs w:val="20"/>
              </w:rPr>
            </w:pPr>
            <w:r>
              <w:rPr>
                <w:rFonts w:ascii="Times New Roman" w:hAnsi="Times New Roman"/>
                <w:b/>
                <w:bCs/>
                <w:sz w:val="20"/>
                <w:szCs w:val="20"/>
              </w:rPr>
              <w:t>Recommended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Macro-BS Tx power (dBm)</w:t>
            </w:r>
          </w:p>
        </w:tc>
        <w:tc>
          <w:tcPr>
            <w:tcW w:w="2710" w:type="dxa"/>
          </w:tcPr>
          <w:p>
            <w:pPr>
              <w:rPr>
                <w:rFonts w:ascii="Times New Roman" w:hAnsi="Times New Roman"/>
                <w:sz w:val="20"/>
                <w:szCs w:val="20"/>
              </w:rPr>
            </w:pPr>
            <w:r>
              <w:rPr>
                <w:rFonts w:ascii="Times New Roman" w:hAnsi="Times New Roman"/>
                <w:sz w:val="20"/>
                <w:szCs w:val="20"/>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Height of macro NR BS (m)</w:t>
            </w:r>
          </w:p>
        </w:tc>
        <w:tc>
          <w:tcPr>
            <w:tcW w:w="2710" w:type="dxa"/>
          </w:tcPr>
          <w:p>
            <w:pPr>
              <w:rPr>
                <w:rFonts w:ascii="Times New Roman" w:hAnsi="Times New Roman"/>
                <w:sz w:val="20"/>
                <w:szCs w:val="20"/>
              </w:rPr>
            </w:pPr>
            <w:r>
              <w:rPr>
                <w:rFonts w:ascii="Times New Roman" w:hAnsi="Times New Roman"/>
                <w:sz w:val="20"/>
                <w:szCs w:val="20"/>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NR Macro-BS Noise Figure(dB)</w:t>
            </w:r>
          </w:p>
        </w:tc>
        <w:tc>
          <w:tcPr>
            <w:tcW w:w="2710" w:type="dxa"/>
          </w:tcPr>
          <w:p>
            <w:pPr>
              <w:rPr>
                <w:rFonts w:ascii="Times New Roman" w:hAnsi="Times New Roman"/>
                <w:sz w:val="20"/>
                <w:szCs w:val="20"/>
              </w:rPr>
            </w:pPr>
            <w:r>
              <w:rPr>
                <w:rFonts w:ascii="Times New Roman" w:hAnsi="Times New Roman"/>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Theme="minorEastAsia"/>
                <w:sz w:val="20"/>
                <w:szCs w:val="20"/>
              </w:rPr>
              <w:t>Network location</w:t>
            </w:r>
          </w:p>
        </w:tc>
        <w:tc>
          <w:tcPr>
            <w:tcW w:w="2710"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Theme="minorEastAsia"/>
                <w:sz w:val="20"/>
                <w:szCs w:val="20"/>
              </w:rPr>
              <w:t>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overflowPunct w:val="0"/>
              <w:autoSpaceDE w:val="0"/>
              <w:autoSpaceDN w:val="0"/>
              <w:adjustRightInd w:val="0"/>
              <w:textAlignment w:val="baseline"/>
              <w:rPr>
                <w:rFonts w:ascii="Times New Roman" w:hAnsi="Times New Roman" w:eastAsiaTheme="minorEastAsia"/>
                <w:sz w:val="20"/>
                <w:szCs w:val="20"/>
              </w:rPr>
            </w:pPr>
            <w:r>
              <w:rPr>
                <w:rFonts w:hint="eastAsia" w:ascii="Times New Roman" w:hAnsi="Times New Roman" w:eastAsiaTheme="minorEastAsia"/>
                <w:sz w:val="20"/>
                <w:szCs w:val="20"/>
              </w:rPr>
              <w:t>Antenna configuration</w:t>
            </w:r>
          </w:p>
        </w:tc>
        <w:tc>
          <w:tcPr>
            <w:tcW w:w="2710" w:type="dxa"/>
          </w:tcPr>
          <w:p>
            <w:pPr>
              <w:overflowPunct w:val="0"/>
              <w:autoSpaceDE w:val="0"/>
              <w:autoSpaceDN w:val="0"/>
              <w:adjustRightInd w:val="0"/>
              <w:textAlignment w:val="baseline"/>
              <w:rPr>
                <w:rFonts w:ascii="Times New Roman" w:hAnsi="Times New Roman"/>
                <w:sz w:val="20"/>
                <w:szCs w:val="20"/>
              </w:rPr>
            </w:pPr>
            <w:r>
              <w:rPr>
                <w:rFonts w:hint="eastAsia" w:ascii="Times New Roman" w:hAnsi="Times New Roman"/>
                <w:sz w:val="20"/>
                <w:szCs w:val="20"/>
              </w:rPr>
              <w:t>FFS:</w:t>
            </w:r>
          </w:p>
          <w:p>
            <w:pPr>
              <w:overflowPunct w:val="0"/>
              <w:autoSpaceDE w:val="0"/>
              <w:autoSpaceDN w:val="0"/>
              <w:adjustRightInd w:val="0"/>
              <w:textAlignment w:val="baseline"/>
              <w:rPr>
                <w:rFonts w:ascii="Times New Roman" w:hAnsi="Times New Roman" w:eastAsiaTheme="minorEastAsia"/>
                <w:sz w:val="20"/>
                <w:szCs w:val="20"/>
              </w:rPr>
            </w:pPr>
            <w:r>
              <w:rPr>
                <w:rFonts w:hint="eastAsia" w:ascii="Times New Roman" w:hAnsi="Times New Roman"/>
                <w:sz w:val="20"/>
                <w:szCs w:val="20"/>
              </w:rPr>
              <w:t>(M,N,P,Mg,Ng) = (4,1,2,1,1) ? detailed other parameter refer to 38.803?</w:t>
            </w:r>
          </w:p>
        </w:tc>
      </w:tr>
    </w:tbl>
    <w:p>
      <w:pPr>
        <w:tabs>
          <w:tab w:val="left" w:pos="720"/>
        </w:tabs>
        <w:spacing w:after="156" w:afterLines="50"/>
        <w:rPr>
          <w:rFonts w:ascii="Times New Roman" w:hAnsi="Times New Roman"/>
          <w:b/>
          <w:bCs/>
          <w:sz w:val="20"/>
          <w:szCs w:val="20"/>
        </w:rPr>
      </w:pPr>
    </w:p>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Proposal 21: it</w:t>
      </w:r>
      <w:r>
        <w:rPr>
          <w:rFonts w:ascii="Times New Roman" w:hAnsi="Times New Roman"/>
          <w:b/>
          <w:bCs/>
          <w:sz w:val="20"/>
          <w:szCs w:val="20"/>
        </w:rPr>
        <w:t>’</w:t>
      </w:r>
      <w:r>
        <w:rPr>
          <w:rFonts w:hint="eastAsia" w:ascii="Times New Roman" w:hAnsi="Times New Roman"/>
          <w:b/>
          <w:bCs/>
          <w:sz w:val="20"/>
          <w:szCs w:val="20"/>
        </w:rPr>
        <w:t xml:space="preserve">s suggested to use value in above table for NR macro BS. </w:t>
      </w:r>
    </w:p>
    <w:p>
      <w:pPr>
        <w:tabs>
          <w:tab w:val="left" w:pos="720"/>
        </w:tabs>
        <w:spacing w:after="156" w:afterLines="50"/>
        <w:rPr>
          <w:rFonts w:ascii="Times New Roman" w:hAnsi="Times New Roman"/>
          <w:b/>
          <w:bCs/>
          <w:sz w:val="20"/>
          <w:szCs w:val="20"/>
        </w:rPr>
      </w:pPr>
    </w:p>
    <w:tbl>
      <w:tblPr>
        <w:tblStyle w:val="45"/>
        <w:tblW w:w="99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2710"/>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trPr>
        <w:tc>
          <w:tcPr>
            <w:tcW w:w="2960" w:type="dxa"/>
          </w:tcPr>
          <w:p>
            <w:pPr>
              <w:rPr>
                <w:rFonts w:ascii="Times New Roman" w:hAnsi="Times New Roman"/>
                <w:b/>
                <w:bCs/>
                <w:sz w:val="20"/>
                <w:szCs w:val="20"/>
              </w:rPr>
            </w:pPr>
            <w:r>
              <w:rPr>
                <w:rFonts w:ascii="Times New Roman" w:hAnsi="Times New Roman"/>
                <w:b/>
                <w:bCs/>
                <w:sz w:val="20"/>
                <w:szCs w:val="20"/>
              </w:rPr>
              <w:t>NR UE Parameter</w:t>
            </w:r>
          </w:p>
        </w:tc>
        <w:tc>
          <w:tcPr>
            <w:tcW w:w="2710" w:type="dxa"/>
          </w:tcPr>
          <w:p>
            <w:pPr>
              <w:rPr>
                <w:rFonts w:ascii="Times New Roman" w:hAnsi="Times New Roman"/>
                <w:b/>
                <w:bCs/>
                <w:sz w:val="20"/>
                <w:szCs w:val="20"/>
              </w:rPr>
            </w:pPr>
            <w:r>
              <w:rPr>
                <w:rFonts w:ascii="Times New Roman" w:hAnsi="Times New Roman"/>
                <w:b/>
                <w:bCs/>
                <w:sz w:val="20"/>
                <w:szCs w:val="20"/>
              </w:rPr>
              <w:t>Recommended value　</w:t>
            </w:r>
          </w:p>
        </w:tc>
        <w:tc>
          <w:tcPr>
            <w:tcW w:w="4253" w:type="dxa"/>
          </w:tcPr>
          <w:p>
            <w:pPr>
              <w:rPr>
                <w:rFonts w:ascii="Times New Roman" w:hAnsi="Times New Roman"/>
                <w:b/>
                <w:bCs/>
                <w:sz w:val="20"/>
                <w:szCs w:val="20"/>
              </w:rPr>
            </w:pPr>
            <w:r>
              <w:rPr>
                <w:rFonts w:ascii="Times New Roman" w:hAnsi="Times New Roman"/>
                <w:b/>
                <w:bCs/>
                <w:sz w:val="20"/>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UE TX power in dBm</w:t>
            </w:r>
          </w:p>
        </w:tc>
        <w:tc>
          <w:tcPr>
            <w:tcW w:w="2710" w:type="dxa"/>
          </w:tcPr>
          <w:p>
            <w:pPr>
              <w:rPr>
                <w:rFonts w:ascii="Times New Roman" w:hAnsi="Times New Roman"/>
                <w:sz w:val="20"/>
                <w:szCs w:val="20"/>
              </w:rPr>
            </w:pPr>
            <w:r>
              <w:rPr>
                <w:rFonts w:ascii="Times New Roman" w:hAnsi="Times New Roman"/>
                <w:sz w:val="20"/>
                <w:szCs w:val="20"/>
              </w:rPr>
              <w:t>-40 to 23</w:t>
            </w:r>
          </w:p>
        </w:tc>
        <w:tc>
          <w:tcPr>
            <w:tcW w:w="4253" w:type="dxa"/>
          </w:tcPr>
          <w:p>
            <w:pPr>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NR UE Antenna gain (dBi)</w:t>
            </w:r>
          </w:p>
        </w:tc>
        <w:tc>
          <w:tcPr>
            <w:tcW w:w="2710" w:type="dxa"/>
          </w:tcPr>
          <w:p>
            <w:pPr>
              <w:rPr>
                <w:rFonts w:ascii="Times New Roman" w:hAnsi="Times New Roman"/>
                <w:sz w:val="20"/>
                <w:szCs w:val="20"/>
              </w:rPr>
            </w:pPr>
            <w:r>
              <w:rPr>
                <w:rFonts w:ascii="Times New Roman" w:hAnsi="Times New Roman"/>
                <w:sz w:val="20"/>
                <w:szCs w:val="20"/>
              </w:rPr>
              <w:t>0</w:t>
            </w:r>
          </w:p>
        </w:tc>
        <w:tc>
          <w:tcPr>
            <w:tcW w:w="4253" w:type="dxa"/>
          </w:tcPr>
          <w:p>
            <w:pPr>
              <w:rPr>
                <w:rFonts w:ascii="Times New Roman" w:hAnsi="Times New Roman"/>
                <w:sz w:val="20"/>
                <w:szCs w:val="20"/>
              </w:rPr>
            </w:pPr>
            <w:r>
              <w:rPr>
                <w:rFonts w:ascii="Times New Roman" w:hAnsi="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NR UE noise floor (dBm)</w:t>
            </w:r>
          </w:p>
        </w:tc>
        <w:tc>
          <w:tcPr>
            <w:tcW w:w="2710" w:type="dxa"/>
          </w:tcPr>
          <w:p>
            <w:pPr>
              <w:rPr>
                <w:rFonts w:ascii="Times New Roman" w:hAnsi="Times New Roman"/>
                <w:sz w:val="20"/>
                <w:szCs w:val="20"/>
              </w:rPr>
            </w:pPr>
            <w:r>
              <w:rPr>
                <w:rFonts w:ascii="Times New Roman" w:hAnsi="Times New Roman"/>
                <w:sz w:val="20"/>
                <w:szCs w:val="20"/>
              </w:rPr>
              <w:t>-112.4 @ 180kHz</w:t>
            </w:r>
          </w:p>
        </w:tc>
        <w:tc>
          <w:tcPr>
            <w:tcW w:w="4253" w:type="dxa"/>
            <w:noWrap/>
          </w:tcPr>
          <w:p>
            <w:pPr>
              <w:rPr>
                <w:rFonts w:ascii="Times New Roman" w:hAnsi="Times New Roman"/>
                <w:color w:val="C00000"/>
                <w:sz w:val="20"/>
                <w:szCs w:val="20"/>
              </w:rPr>
            </w:pPr>
            <w:r>
              <w:rPr>
                <w:rFonts w:ascii="Times New Roman" w:hAnsi="Times New Roman"/>
                <w:sz w:val="20"/>
                <w:szCs w:val="20"/>
              </w:rPr>
              <w:t>noise floor=-174+10*log (180*1000)+9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NR UE ACLR（dB）</w:t>
            </w:r>
          </w:p>
        </w:tc>
        <w:tc>
          <w:tcPr>
            <w:tcW w:w="2710" w:type="dxa"/>
          </w:tcPr>
          <w:p>
            <w:pPr>
              <w:rPr>
                <w:rFonts w:ascii="Times New Roman" w:hAnsi="Times New Roman"/>
                <w:sz w:val="20"/>
                <w:szCs w:val="20"/>
              </w:rPr>
            </w:pPr>
            <w:r>
              <w:rPr>
                <w:rFonts w:ascii="Times New Roman" w:hAnsi="Times New Roman"/>
                <w:sz w:val="20"/>
                <w:szCs w:val="20"/>
              </w:rPr>
              <w:t>30</w:t>
            </w:r>
          </w:p>
        </w:tc>
        <w:tc>
          <w:tcPr>
            <w:tcW w:w="425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sz w:val="20"/>
                <w:szCs w:val="20"/>
              </w:rPr>
              <w:t>For power class 3 NR UE</w:t>
            </w:r>
          </w:p>
          <w:p>
            <w:pPr>
              <w:overflowPunct w:val="0"/>
              <w:autoSpaceDE w:val="0"/>
              <w:autoSpaceDN w:val="0"/>
              <w:adjustRightInd w:val="0"/>
              <w:textAlignment w:val="baseline"/>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9" w:hRule="atLeast"/>
        </w:trPr>
        <w:tc>
          <w:tcPr>
            <w:tcW w:w="2960" w:type="dxa"/>
          </w:tcPr>
          <w:p>
            <w:pPr>
              <w:rPr>
                <w:rFonts w:ascii="Times New Roman" w:hAnsi="Times New Roman"/>
                <w:sz w:val="20"/>
                <w:szCs w:val="20"/>
              </w:rPr>
            </w:pPr>
            <w:r>
              <w:rPr>
                <w:rFonts w:ascii="Times New Roman" w:hAnsi="Times New Roman"/>
                <w:sz w:val="20"/>
                <w:szCs w:val="20"/>
              </w:rPr>
              <w:t>NR UE Maximum input level（dBm）</w:t>
            </w:r>
          </w:p>
        </w:tc>
        <w:tc>
          <w:tcPr>
            <w:tcW w:w="2710" w:type="dxa"/>
          </w:tcPr>
          <w:p>
            <w:pPr>
              <w:rPr>
                <w:rFonts w:ascii="Times New Roman" w:hAnsi="Times New Roman"/>
                <w:sz w:val="20"/>
                <w:szCs w:val="20"/>
              </w:rPr>
            </w:pPr>
            <w:r>
              <w:rPr>
                <w:rFonts w:ascii="Times New Roman" w:hAnsi="Times New Roman"/>
                <w:sz w:val="20"/>
                <w:szCs w:val="20"/>
              </w:rPr>
              <w:t>-25</w:t>
            </w:r>
          </w:p>
        </w:tc>
        <w:tc>
          <w:tcPr>
            <w:tcW w:w="4253" w:type="dxa"/>
          </w:tcPr>
          <w:p>
            <w:pPr>
              <w:rPr>
                <w:rFonts w:ascii="Times New Roman" w:hAnsi="Times New Roman"/>
                <w:sz w:val="20"/>
                <w:szCs w:val="20"/>
              </w:rPr>
            </w:pPr>
            <w:r>
              <w:rPr>
                <w:rFonts w:ascii="Times New Roman" w:hAnsi="Times New Roman"/>
                <w:sz w:val="20"/>
                <w:szCs w:val="20"/>
              </w:rPr>
              <w:t>TS38101-1 7.4 Maximum input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tcPr>
          <w:p>
            <w:pPr>
              <w:rPr>
                <w:rFonts w:ascii="Times New Roman" w:hAnsi="Times New Roman"/>
                <w:sz w:val="20"/>
                <w:szCs w:val="20"/>
              </w:rPr>
            </w:pPr>
            <w:r>
              <w:rPr>
                <w:rFonts w:ascii="Times New Roman" w:hAnsi="Times New Roman"/>
                <w:sz w:val="20"/>
                <w:szCs w:val="20"/>
              </w:rPr>
              <w:t>NR UE Noise Figure（dB）</w:t>
            </w:r>
          </w:p>
        </w:tc>
        <w:tc>
          <w:tcPr>
            <w:tcW w:w="2710" w:type="dxa"/>
          </w:tcPr>
          <w:p>
            <w:pPr>
              <w:rPr>
                <w:rFonts w:ascii="Times New Roman" w:hAnsi="Times New Roman"/>
                <w:sz w:val="20"/>
                <w:szCs w:val="20"/>
              </w:rPr>
            </w:pPr>
            <w:r>
              <w:rPr>
                <w:rFonts w:hint="eastAsia" w:ascii="Times New Roman" w:hAnsi="Times New Roman"/>
                <w:sz w:val="20"/>
                <w:szCs w:val="20"/>
              </w:rPr>
              <w:t>7</w:t>
            </w:r>
          </w:p>
        </w:tc>
        <w:tc>
          <w:tcPr>
            <w:tcW w:w="4253" w:type="dxa"/>
          </w:tcPr>
          <w:p>
            <w:pPr>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60" w:type="dxa"/>
            <w:vAlign w:val="center"/>
          </w:tcPr>
          <w:p>
            <w:p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Antenna configuration</w:t>
            </w:r>
          </w:p>
        </w:tc>
        <w:tc>
          <w:tcPr>
            <w:tcW w:w="2710" w:type="dxa"/>
            <w:vAlign w:val="center"/>
          </w:tcPr>
          <w:p>
            <w:p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Omni direction antenna</w:t>
            </w:r>
          </w:p>
        </w:tc>
        <w:tc>
          <w:tcPr>
            <w:tcW w:w="4253" w:type="dxa"/>
          </w:tcPr>
          <w:p>
            <w:pPr>
              <w:overflowPunct w:val="0"/>
              <w:autoSpaceDE w:val="0"/>
              <w:autoSpaceDN w:val="0"/>
              <w:adjustRightInd w:val="0"/>
              <w:textAlignment w:val="baseline"/>
              <w:rPr>
                <w:rFonts w:ascii="Times New Roman" w:hAnsi="Times New Roman" w:eastAsia="Yu Mincho"/>
                <w:sz w:val="20"/>
                <w:szCs w:val="20"/>
              </w:rPr>
            </w:pPr>
          </w:p>
        </w:tc>
      </w:tr>
    </w:tbl>
    <w:p>
      <w:pPr>
        <w:tabs>
          <w:tab w:val="left" w:pos="720"/>
        </w:tabs>
        <w:spacing w:after="156" w:afterLines="50"/>
        <w:rPr>
          <w:rFonts w:ascii="Times New Roman" w:hAnsi="Times New Roman"/>
          <w:b/>
          <w:bCs/>
          <w:sz w:val="20"/>
          <w:szCs w:val="20"/>
        </w:rPr>
      </w:pPr>
    </w:p>
    <w:p>
      <w:pPr>
        <w:tabs>
          <w:tab w:val="left" w:pos="720"/>
        </w:tabs>
        <w:spacing w:after="156" w:afterLines="50"/>
        <w:rPr>
          <w:rFonts w:ascii="Times New Roman" w:hAnsi="Times New Roman"/>
          <w:sz w:val="20"/>
          <w:szCs w:val="20"/>
        </w:rPr>
      </w:pPr>
      <w:r>
        <w:rPr>
          <w:rFonts w:hint="eastAsia" w:ascii="Times New Roman" w:hAnsi="Times New Roman"/>
          <w:b/>
          <w:bCs/>
          <w:sz w:val="20"/>
          <w:szCs w:val="20"/>
        </w:rPr>
        <w:t>Proposal 22: it</w:t>
      </w:r>
      <w:r>
        <w:rPr>
          <w:rFonts w:ascii="Times New Roman" w:hAnsi="Times New Roman"/>
          <w:b/>
          <w:bCs/>
          <w:sz w:val="20"/>
          <w:szCs w:val="20"/>
        </w:rPr>
        <w:t>’</w:t>
      </w:r>
      <w:r>
        <w:rPr>
          <w:rFonts w:hint="eastAsia" w:ascii="Times New Roman" w:hAnsi="Times New Roman"/>
          <w:b/>
          <w:bCs/>
          <w:sz w:val="20"/>
          <w:szCs w:val="20"/>
        </w:rPr>
        <w:t xml:space="preserve">s suggested to use value in above table for NR UE. </w:t>
      </w:r>
    </w:p>
    <w:p>
      <w:pPr>
        <w:spacing w:after="156" w:afterLines="50"/>
        <w:rPr>
          <w:rFonts w:ascii="Times New Roman" w:hAnsi="Times New Roman"/>
          <w:b/>
          <w:bCs/>
          <w:sz w:val="20"/>
          <w:szCs w:val="20"/>
        </w:rPr>
      </w:pP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numPr>
          <w:ilvl w:val="0"/>
          <w:numId w:val="15"/>
        </w:numPr>
        <w:tabs>
          <w:tab w:val="right" w:pos="10440"/>
          <w:tab w:val="right" w:pos="13323"/>
        </w:tabs>
        <w:jc w:val="left"/>
        <w:rPr>
          <w:rFonts w:ascii="Times New Roman" w:hAnsi="Times New Roman"/>
          <w:sz w:val="20"/>
          <w:szCs w:val="20"/>
        </w:rPr>
      </w:pPr>
      <w:r>
        <w:rPr>
          <w:rFonts w:ascii="Times New Roman" w:hAnsi="Times New Roman"/>
          <w:sz w:val="20"/>
          <w:szCs w:val="20"/>
        </w:rPr>
        <w:t>R</w:t>
      </w:r>
    </w:p>
    <w:p>
      <w:pPr>
        <w:numPr>
          <w:ilvl w:val="0"/>
          <w:numId w:val="15"/>
        </w:numPr>
        <w:tabs>
          <w:tab w:val="right" w:pos="10440"/>
          <w:tab w:val="right" w:pos="13323"/>
        </w:tabs>
        <w:jc w:val="left"/>
        <w:rPr>
          <w:rFonts w:ascii="Times New Roman" w:hAnsi="Times New Roman"/>
          <w:sz w:val="20"/>
          <w:szCs w:val="20"/>
        </w:rPr>
      </w:pPr>
      <w:r>
        <w:rPr>
          <w:rFonts w:ascii="Times New Roman" w:hAnsi="Times New Roman"/>
          <w:sz w:val="20"/>
          <w:szCs w:val="20"/>
        </w:rPr>
        <w:t>R4-2406714</w:t>
      </w:r>
      <w:r>
        <w:rPr>
          <w:rFonts w:hint="eastAsia" w:ascii="Times New Roman" w:hAnsi="Times New Roman"/>
          <w:sz w:val="20"/>
          <w:szCs w:val="20"/>
        </w:rPr>
        <w:t>, WF on Ambient IoT in NR, CMCC</w:t>
      </w:r>
    </w:p>
    <w:p>
      <w:pPr>
        <w:numPr>
          <w:ilvl w:val="0"/>
          <w:numId w:val="15"/>
        </w:numPr>
        <w:tabs>
          <w:tab w:val="right" w:pos="10440"/>
          <w:tab w:val="right" w:pos="13323"/>
        </w:tabs>
        <w:jc w:val="left"/>
        <w:rPr>
          <w:rFonts w:ascii="Times New Roman" w:hAnsi="Times New Roman"/>
          <w:sz w:val="20"/>
          <w:szCs w:val="20"/>
        </w:rPr>
      </w:pPr>
      <w:r>
        <w:rPr>
          <w:rFonts w:ascii="Times New Roman" w:hAnsi="Times New Roman"/>
          <w:sz w:val="20"/>
          <w:szCs w:val="20"/>
        </w:rPr>
        <w:t>R4-2407008</w:t>
      </w:r>
      <w:r>
        <w:rPr>
          <w:rFonts w:hint="eastAsia" w:ascii="Times New Roman" w:hAnsi="Times New Roman"/>
          <w:sz w:val="20"/>
          <w:szCs w:val="20"/>
        </w:rPr>
        <w:t>, LS on Ambient-IoT evaluation scenarios and assumptions, CMCC</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51B3BA"/>
    <w:multiLevelType w:val="multilevel"/>
    <w:tmpl w:val="B451B3B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B8E13B64"/>
    <w:multiLevelType w:val="multilevel"/>
    <w:tmpl w:val="B8E13B64"/>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宋体"/>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宋体"/>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宋体"/>
      </w:rPr>
    </w:lvl>
    <w:lvl w:ilvl="8" w:tentative="0">
      <w:start w:val="1"/>
      <w:numFmt w:val="bullet"/>
      <w:lvlText w:val=""/>
      <w:lvlJc w:val="left"/>
      <w:pPr>
        <w:ind w:left="6696" w:hanging="360"/>
      </w:pPr>
      <w:rPr>
        <w:rFonts w:hint="default" w:ascii="Wingdings" w:hAnsi="Wingdings"/>
      </w:rPr>
    </w:lvl>
  </w:abstractNum>
  <w:abstractNum w:abstractNumId="2">
    <w:nsid w:val="C37267A3"/>
    <w:multiLevelType w:val="multilevel"/>
    <w:tmpl w:val="C37267A3"/>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宋体"/>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宋体"/>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宋体"/>
      </w:rPr>
    </w:lvl>
    <w:lvl w:ilvl="8" w:tentative="0">
      <w:start w:val="1"/>
      <w:numFmt w:val="bullet"/>
      <w:lvlText w:val=""/>
      <w:lvlJc w:val="left"/>
      <w:pPr>
        <w:ind w:left="6696" w:hanging="360"/>
      </w:pPr>
      <w:rPr>
        <w:rFonts w:hint="default" w:ascii="Wingdings" w:hAnsi="Wingdings"/>
      </w:rPr>
    </w:lvl>
  </w:abstractNum>
  <w:abstractNum w:abstractNumId="3">
    <w:nsid w:val="DFAE1895"/>
    <w:multiLevelType w:val="singleLevel"/>
    <w:tmpl w:val="DFAE1895"/>
    <w:lvl w:ilvl="0" w:tentative="0">
      <w:start w:val="1"/>
      <w:numFmt w:val="decimal"/>
      <w:suff w:val="space"/>
      <w:lvlText w:val="[%1]"/>
      <w:lvlJc w:val="left"/>
    </w:lvl>
  </w:abstractNum>
  <w:abstractNum w:abstractNumId="4">
    <w:nsid w:val="E36BDDE0"/>
    <w:multiLevelType w:val="multilevel"/>
    <w:tmpl w:val="E36BDD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097A406A"/>
    <w:multiLevelType w:val="multilevel"/>
    <w:tmpl w:val="097A40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C3E1A23"/>
    <w:multiLevelType w:val="multilevel"/>
    <w:tmpl w:val="1C3E1A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0AF4D7E"/>
    <w:multiLevelType w:val="singleLevel"/>
    <w:tmpl w:val="30AF4D7E"/>
    <w:lvl w:ilvl="0" w:tentative="0">
      <w:start w:val="1"/>
      <w:numFmt w:val="bullet"/>
      <w:lvlText w:val=""/>
      <w:lvlJc w:val="left"/>
      <w:pPr>
        <w:ind w:left="420" w:hanging="420"/>
      </w:pPr>
      <w:rPr>
        <w:rFonts w:hint="default" w:ascii="Wingdings" w:hAnsi="Wingdings"/>
      </w:rPr>
    </w:lvl>
  </w:abstractNum>
  <w:abstractNum w:abstractNumId="9">
    <w:nsid w:val="331035FA"/>
    <w:multiLevelType w:val="multilevel"/>
    <w:tmpl w:val="331035F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763637D"/>
    <w:multiLevelType w:val="multilevel"/>
    <w:tmpl w:val="3763637D"/>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宋体"/>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宋体"/>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宋体"/>
      </w:rPr>
    </w:lvl>
    <w:lvl w:ilvl="8" w:tentative="0">
      <w:start w:val="1"/>
      <w:numFmt w:val="bullet"/>
      <w:lvlText w:val=""/>
      <w:lvlJc w:val="left"/>
      <w:pPr>
        <w:ind w:left="6696" w:hanging="360"/>
      </w:pPr>
      <w:rPr>
        <w:rFonts w:hint="default" w:ascii="Wingdings" w:hAnsi="Wingdings"/>
      </w:rPr>
    </w:lvl>
  </w:abstractNum>
  <w:abstractNum w:abstractNumId="11">
    <w:nsid w:val="3BEB5E68"/>
    <w:multiLevelType w:val="multilevel"/>
    <w:tmpl w:val="3BEB5E68"/>
    <w:lvl w:ilvl="0" w:tentative="0">
      <w:start w:val="1"/>
      <w:numFmt w:val="bullet"/>
      <w:lvlText w:val="-"/>
      <w:lvlJc w:val="left"/>
      <w:pPr>
        <w:ind w:left="440" w:hanging="440"/>
      </w:pPr>
      <w:rPr>
        <w:rFonts w:hint="default" w:ascii="Arial" w:hAnsi="Arial" w:eastAsia="宋体" w:cs="Arial"/>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49F46858"/>
    <w:multiLevelType w:val="multilevel"/>
    <w:tmpl w:val="49F46858"/>
    <w:lvl w:ilvl="0" w:tentative="0">
      <w:start w:val="2"/>
      <w:numFmt w:val="bullet"/>
      <w:lvlText w:val="-"/>
      <w:lvlJc w:val="left"/>
      <w:pPr>
        <w:ind w:left="420" w:hanging="420"/>
      </w:pPr>
      <w:rPr>
        <w:rFonts w:hint="default" w:ascii="Times New Roman" w:hAnsi="Times New Roman" w:eastAsia="Times New Roman" w:cs="Times New Roman"/>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o"/>
      <w:lvlJc w:val="left"/>
      <w:pPr>
        <w:ind w:left="1280" w:hanging="44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BC34BD1"/>
    <w:multiLevelType w:val="multilevel"/>
    <w:tmpl w:val="4BC34BD1"/>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宋体"/>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宋体"/>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宋体"/>
      </w:rPr>
    </w:lvl>
    <w:lvl w:ilvl="8" w:tentative="0">
      <w:start w:val="1"/>
      <w:numFmt w:val="bullet"/>
      <w:lvlText w:val=""/>
      <w:lvlJc w:val="left"/>
      <w:pPr>
        <w:ind w:left="6696" w:hanging="360"/>
      </w:pPr>
      <w:rPr>
        <w:rFonts w:hint="default" w:ascii="Wingdings" w:hAnsi="Wingdings"/>
      </w:rPr>
    </w:lvl>
  </w:abstractNum>
  <w:abstractNum w:abstractNumId="14">
    <w:nsid w:val="7D343EF9"/>
    <w:multiLevelType w:val="multilevel"/>
    <w:tmpl w:val="7D343EF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4"/>
  </w:num>
  <w:num w:numId="2">
    <w:abstractNumId w:val="5"/>
  </w:num>
  <w:num w:numId="3">
    <w:abstractNumId w:val="7"/>
  </w:num>
  <w:num w:numId="4">
    <w:abstractNumId w:val="9"/>
  </w:num>
  <w:num w:numId="5">
    <w:abstractNumId w:val="6"/>
  </w:num>
  <w:num w:numId="6">
    <w:abstractNumId w:val="0"/>
  </w:num>
  <w:num w:numId="7">
    <w:abstractNumId w:val="2"/>
  </w:num>
  <w:num w:numId="8">
    <w:abstractNumId w:val="12"/>
  </w:num>
  <w:num w:numId="9">
    <w:abstractNumId w:val="14"/>
  </w:num>
  <w:num w:numId="10">
    <w:abstractNumId w:val="10"/>
  </w:num>
  <w:num w:numId="11">
    <w:abstractNumId w:val="11"/>
  </w:num>
  <w:num w:numId="12">
    <w:abstractNumId w:val="1"/>
  </w:num>
  <w:num w:numId="13">
    <w:abstractNumId w:val="8"/>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6FB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25ED"/>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1E3"/>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ADB"/>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B4F"/>
    <w:rsid w:val="00FF3EA9"/>
    <w:rsid w:val="00FF510D"/>
    <w:rsid w:val="00FF5B92"/>
    <w:rsid w:val="00FF5D78"/>
    <w:rsid w:val="00FF7034"/>
    <w:rsid w:val="010334B8"/>
    <w:rsid w:val="01065707"/>
    <w:rsid w:val="010B6346"/>
    <w:rsid w:val="011349EE"/>
    <w:rsid w:val="012F3F7C"/>
    <w:rsid w:val="01314F01"/>
    <w:rsid w:val="017932F1"/>
    <w:rsid w:val="018A0E13"/>
    <w:rsid w:val="01BD0368"/>
    <w:rsid w:val="01DE089D"/>
    <w:rsid w:val="01DF631E"/>
    <w:rsid w:val="020970CA"/>
    <w:rsid w:val="020F48EF"/>
    <w:rsid w:val="0226460D"/>
    <w:rsid w:val="023B43AB"/>
    <w:rsid w:val="02684F7E"/>
    <w:rsid w:val="028E1852"/>
    <w:rsid w:val="02C81B1F"/>
    <w:rsid w:val="03391357"/>
    <w:rsid w:val="035967B1"/>
    <w:rsid w:val="03597E40"/>
    <w:rsid w:val="035B3B3B"/>
    <w:rsid w:val="035D4591"/>
    <w:rsid w:val="03622929"/>
    <w:rsid w:val="03631D1E"/>
    <w:rsid w:val="036A14A4"/>
    <w:rsid w:val="037E5DCB"/>
    <w:rsid w:val="03AB2112"/>
    <w:rsid w:val="03E26584"/>
    <w:rsid w:val="03ED3E80"/>
    <w:rsid w:val="04001C90"/>
    <w:rsid w:val="04492C16"/>
    <w:rsid w:val="045647A9"/>
    <w:rsid w:val="04680BC2"/>
    <w:rsid w:val="046A6CCD"/>
    <w:rsid w:val="047B4D00"/>
    <w:rsid w:val="04A732AF"/>
    <w:rsid w:val="04B527F1"/>
    <w:rsid w:val="04C01C5A"/>
    <w:rsid w:val="04EC5FA1"/>
    <w:rsid w:val="05026E46"/>
    <w:rsid w:val="0504144A"/>
    <w:rsid w:val="053C405B"/>
    <w:rsid w:val="053E5089"/>
    <w:rsid w:val="054F6D3B"/>
    <w:rsid w:val="056F5AD7"/>
    <w:rsid w:val="058916A3"/>
    <w:rsid w:val="059E10D1"/>
    <w:rsid w:val="05A012C8"/>
    <w:rsid w:val="05BF54F8"/>
    <w:rsid w:val="05E277B3"/>
    <w:rsid w:val="05FF6A11"/>
    <w:rsid w:val="060557D7"/>
    <w:rsid w:val="0621639E"/>
    <w:rsid w:val="06305334"/>
    <w:rsid w:val="06391F63"/>
    <w:rsid w:val="06434355"/>
    <w:rsid w:val="06765AA8"/>
    <w:rsid w:val="068C7C4C"/>
    <w:rsid w:val="06963DDF"/>
    <w:rsid w:val="06CC0A35"/>
    <w:rsid w:val="06F408F5"/>
    <w:rsid w:val="07031681"/>
    <w:rsid w:val="070A3CB8"/>
    <w:rsid w:val="071F2A3E"/>
    <w:rsid w:val="07530E8A"/>
    <w:rsid w:val="07537A15"/>
    <w:rsid w:val="0769686A"/>
    <w:rsid w:val="076E27BD"/>
    <w:rsid w:val="076E63D7"/>
    <w:rsid w:val="0770402F"/>
    <w:rsid w:val="078E5270"/>
    <w:rsid w:val="07913C76"/>
    <w:rsid w:val="079E43F1"/>
    <w:rsid w:val="07B42F31"/>
    <w:rsid w:val="07C77EB2"/>
    <w:rsid w:val="07CA6B66"/>
    <w:rsid w:val="07F15671"/>
    <w:rsid w:val="08200491"/>
    <w:rsid w:val="08425E71"/>
    <w:rsid w:val="085D3E3F"/>
    <w:rsid w:val="087912F3"/>
    <w:rsid w:val="088C4ECC"/>
    <w:rsid w:val="08973524"/>
    <w:rsid w:val="08A26EE3"/>
    <w:rsid w:val="08A65D3D"/>
    <w:rsid w:val="08B111EB"/>
    <w:rsid w:val="08DA2D14"/>
    <w:rsid w:val="08F54BC3"/>
    <w:rsid w:val="0900762B"/>
    <w:rsid w:val="09264BC9"/>
    <w:rsid w:val="092D4D1C"/>
    <w:rsid w:val="09626007"/>
    <w:rsid w:val="09670379"/>
    <w:rsid w:val="097C4A9B"/>
    <w:rsid w:val="09891BB3"/>
    <w:rsid w:val="09993AB5"/>
    <w:rsid w:val="09B86E7F"/>
    <w:rsid w:val="09F66D51"/>
    <w:rsid w:val="0A0219DF"/>
    <w:rsid w:val="0A0B6909"/>
    <w:rsid w:val="0A0D1E0C"/>
    <w:rsid w:val="0A894FD9"/>
    <w:rsid w:val="0A9458FA"/>
    <w:rsid w:val="0AA20101"/>
    <w:rsid w:val="0AA60D06"/>
    <w:rsid w:val="0AB70FA0"/>
    <w:rsid w:val="0ABA1F25"/>
    <w:rsid w:val="0ADD2F10"/>
    <w:rsid w:val="0AE113D2"/>
    <w:rsid w:val="0AE962F7"/>
    <w:rsid w:val="0AF67B8B"/>
    <w:rsid w:val="0B0758A7"/>
    <w:rsid w:val="0B1B4548"/>
    <w:rsid w:val="0B223ED3"/>
    <w:rsid w:val="0B3166EB"/>
    <w:rsid w:val="0B4C14AB"/>
    <w:rsid w:val="0B5E04B4"/>
    <w:rsid w:val="0BA41EC9"/>
    <w:rsid w:val="0BBF5056"/>
    <w:rsid w:val="0BE65845"/>
    <w:rsid w:val="0BE92617"/>
    <w:rsid w:val="0BEA0098"/>
    <w:rsid w:val="0BF0521B"/>
    <w:rsid w:val="0BF7455D"/>
    <w:rsid w:val="0BFE4B3A"/>
    <w:rsid w:val="0C296C83"/>
    <w:rsid w:val="0C5C1421"/>
    <w:rsid w:val="0C8D3125"/>
    <w:rsid w:val="0CA61AD0"/>
    <w:rsid w:val="0CB412FB"/>
    <w:rsid w:val="0CE628BA"/>
    <w:rsid w:val="0D0B7276"/>
    <w:rsid w:val="0D545798"/>
    <w:rsid w:val="0D624402"/>
    <w:rsid w:val="0D696CE5"/>
    <w:rsid w:val="0D747B9F"/>
    <w:rsid w:val="0D8F41B3"/>
    <w:rsid w:val="0DD237BC"/>
    <w:rsid w:val="0E037D57"/>
    <w:rsid w:val="0E1D4B35"/>
    <w:rsid w:val="0E241F41"/>
    <w:rsid w:val="0E413A70"/>
    <w:rsid w:val="0E5F68A3"/>
    <w:rsid w:val="0E7813A9"/>
    <w:rsid w:val="0EA35918"/>
    <w:rsid w:val="0EB12ED5"/>
    <w:rsid w:val="0EBC441C"/>
    <w:rsid w:val="0EBD33B9"/>
    <w:rsid w:val="0EBE690E"/>
    <w:rsid w:val="0EDE7171"/>
    <w:rsid w:val="0F1A117A"/>
    <w:rsid w:val="0F1C3F4D"/>
    <w:rsid w:val="0F5116AE"/>
    <w:rsid w:val="0F596ABB"/>
    <w:rsid w:val="0F5B1FBE"/>
    <w:rsid w:val="0F5F09C4"/>
    <w:rsid w:val="0F5F4247"/>
    <w:rsid w:val="0F6273CA"/>
    <w:rsid w:val="0F7D4B34"/>
    <w:rsid w:val="0F824F55"/>
    <w:rsid w:val="0FA124C5"/>
    <w:rsid w:val="0FC419ED"/>
    <w:rsid w:val="0FD9288C"/>
    <w:rsid w:val="0FE850A5"/>
    <w:rsid w:val="0FEE6FAE"/>
    <w:rsid w:val="0FF20B73"/>
    <w:rsid w:val="10003991"/>
    <w:rsid w:val="100565B7"/>
    <w:rsid w:val="101F3001"/>
    <w:rsid w:val="10223F85"/>
    <w:rsid w:val="10254F0A"/>
    <w:rsid w:val="10406DB9"/>
    <w:rsid w:val="107A5C99"/>
    <w:rsid w:val="107B7E97"/>
    <w:rsid w:val="1088585B"/>
    <w:rsid w:val="10994EC9"/>
    <w:rsid w:val="109C4A0E"/>
    <w:rsid w:val="109C57D8"/>
    <w:rsid w:val="10D208A6"/>
    <w:rsid w:val="10D64689"/>
    <w:rsid w:val="10E05471"/>
    <w:rsid w:val="10ED29B0"/>
    <w:rsid w:val="10EF7E56"/>
    <w:rsid w:val="10F66859"/>
    <w:rsid w:val="10FB74EC"/>
    <w:rsid w:val="11321BC4"/>
    <w:rsid w:val="113A6FD0"/>
    <w:rsid w:val="11462FAC"/>
    <w:rsid w:val="11475BCD"/>
    <w:rsid w:val="114C276E"/>
    <w:rsid w:val="1155307D"/>
    <w:rsid w:val="115D3D0D"/>
    <w:rsid w:val="1160140E"/>
    <w:rsid w:val="11797DBA"/>
    <w:rsid w:val="117C38F8"/>
    <w:rsid w:val="117D6EEE"/>
    <w:rsid w:val="11B5219D"/>
    <w:rsid w:val="11BB40A7"/>
    <w:rsid w:val="11C56BB4"/>
    <w:rsid w:val="11DF67EB"/>
    <w:rsid w:val="11E12C61"/>
    <w:rsid w:val="12092989"/>
    <w:rsid w:val="12106FE1"/>
    <w:rsid w:val="121C75C3"/>
    <w:rsid w:val="12213A4B"/>
    <w:rsid w:val="122946DB"/>
    <w:rsid w:val="124A2691"/>
    <w:rsid w:val="12750F57"/>
    <w:rsid w:val="12897C74"/>
    <w:rsid w:val="129C3395"/>
    <w:rsid w:val="12DE2F04"/>
    <w:rsid w:val="12E23B09"/>
    <w:rsid w:val="12E83AF4"/>
    <w:rsid w:val="12E90B10"/>
    <w:rsid w:val="131A26ED"/>
    <w:rsid w:val="136021D9"/>
    <w:rsid w:val="13771DFE"/>
    <w:rsid w:val="138F4439"/>
    <w:rsid w:val="13AB6DD5"/>
    <w:rsid w:val="13F25EC4"/>
    <w:rsid w:val="14245767"/>
    <w:rsid w:val="144A7BD8"/>
    <w:rsid w:val="144A7C4E"/>
    <w:rsid w:val="14520104"/>
    <w:rsid w:val="14563EC6"/>
    <w:rsid w:val="145C23B3"/>
    <w:rsid w:val="149A0C5C"/>
    <w:rsid w:val="149E7662"/>
    <w:rsid w:val="14C0309A"/>
    <w:rsid w:val="1508348E"/>
    <w:rsid w:val="15306BD1"/>
    <w:rsid w:val="15350710"/>
    <w:rsid w:val="153B29E4"/>
    <w:rsid w:val="15447327"/>
    <w:rsid w:val="155F416A"/>
    <w:rsid w:val="156354FD"/>
    <w:rsid w:val="156C0FB4"/>
    <w:rsid w:val="157A51BC"/>
    <w:rsid w:val="157C39D7"/>
    <w:rsid w:val="159557BE"/>
    <w:rsid w:val="159D1989"/>
    <w:rsid w:val="15A85596"/>
    <w:rsid w:val="15CD7D54"/>
    <w:rsid w:val="15D00CD9"/>
    <w:rsid w:val="15E450B5"/>
    <w:rsid w:val="16201D5D"/>
    <w:rsid w:val="16371982"/>
    <w:rsid w:val="163D388B"/>
    <w:rsid w:val="164513B8"/>
    <w:rsid w:val="16456719"/>
    <w:rsid w:val="1683077C"/>
    <w:rsid w:val="16833FFF"/>
    <w:rsid w:val="168B5B89"/>
    <w:rsid w:val="16C005E1"/>
    <w:rsid w:val="16DC2769"/>
    <w:rsid w:val="16E06917"/>
    <w:rsid w:val="16FD0446"/>
    <w:rsid w:val="16FD2BCB"/>
    <w:rsid w:val="171325EA"/>
    <w:rsid w:val="171347E8"/>
    <w:rsid w:val="171E2B79"/>
    <w:rsid w:val="175828CF"/>
    <w:rsid w:val="175862BF"/>
    <w:rsid w:val="179D67CA"/>
    <w:rsid w:val="17B730F8"/>
    <w:rsid w:val="17C26F0A"/>
    <w:rsid w:val="17C65910"/>
    <w:rsid w:val="17C80E13"/>
    <w:rsid w:val="17E44EC0"/>
    <w:rsid w:val="17E603C4"/>
    <w:rsid w:val="17F263D4"/>
    <w:rsid w:val="17F52BDC"/>
    <w:rsid w:val="180D2D20"/>
    <w:rsid w:val="182249A5"/>
    <w:rsid w:val="182269B6"/>
    <w:rsid w:val="182B30B6"/>
    <w:rsid w:val="183A0ACF"/>
    <w:rsid w:val="18642373"/>
    <w:rsid w:val="187831B6"/>
    <w:rsid w:val="18831547"/>
    <w:rsid w:val="18834ED9"/>
    <w:rsid w:val="1890085C"/>
    <w:rsid w:val="18A656AF"/>
    <w:rsid w:val="18CE28C0"/>
    <w:rsid w:val="18E26C79"/>
    <w:rsid w:val="18E55D68"/>
    <w:rsid w:val="18FE0AB6"/>
    <w:rsid w:val="1911682C"/>
    <w:rsid w:val="197C6A0C"/>
    <w:rsid w:val="19813C3F"/>
    <w:rsid w:val="199A0D0F"/>
    <w:rsid w:val="19A17418"/>
    <w:rsid w:val="19B263B5"/>
    <w:rsid w:val="19B93092"/>
    <w:rsid w:val="19DF2D99"/>
    <w:rsid w:val="19EA686E"/>
    <w:rsid w:val="1A0A00C9"/>
    <w:rsid w:val="1A1041D0"/>
    <w:rsid w:val="1A2152BB"/>
    <w:rsid w:val="1A2C204D"/>
    <w:rsid w:val="1A5A58C9"/>
    <w:rsid w:val="1A7D000B"/>
    <w:rsid w:val="1A8670A6"/>
    <w:rsid w:val="1A97657B"/>
    <w:rsid w:val="1A9E2B3B"/>
    <w:rsid w:val="1AAE167A"/>
    <w:rsid w:val="1AB02A55"/>
    <w:rsid w:val="1AF91F50"/>
    <w:rsid w:val="1AFD11C6"/>
    <w:rsid w:val="1B003AD9"/>
    <w:rsid w:val="1B00542F"/>
    <w:rsid w:val="1B0424DF"/>
    <w:rsid w:val="1B22212A"/>
    <w:rsid w:val="1B2F42F1"/>
    <w:rsid w:val="1B301DA5"/>
    <w:rsid w:val="1B3F3E40"/>
    <w:rsid w:val="1B7C00B3"/>
    <w:rsid w:val="1B7C0EA4"/>
    <w:rsid w:val="1BB42683"/>
    <w:rsid w:val="1BBF2C12"/>
    <w:rsid w:val="1BF509C2"/>
    <w:rsid w:val="1BF95FEE"/>
    <w:rsid w:val="1C0D0793"/>
    <w:rsid w:val="1C197E29"/>
    <w:rsid w:val="1C1B332C"/>
    <w:rsid w:val="1C2A6C2E"/>
    <w:rsid w:val="1C363B56"/>
    <w:rsid w:val="1C4F4A80"/>
    <w:rsid w:val="1C527C03"/>
    <w:rsid w:val="1C700838"/>
    <w:rsid w:val="1CAB3B14"/>
    <w:rsid w:val="1CD63A5F"/>
    <w:rsid w:val="1CE56278"/>
    <w:rsid w:val="1CFC261A"/>
    <w:rsid w:val="1CFF6E5D"/>
    <w:rsid w:val="1D0432AA"/>
    <w:rsid w:val="1D0A4412"/>
    <w:rsid w:val="1D0B38F8"/>
    <w:rsid w:val="1D13223F"/>
    <w:rsid w:val="1D1D5776"/>
    <w:rsid w:val="1D2753AE"/>
    <w:rsid w:val="1D3E218A"/>
    <w:rsid w:val="1D41310E"/>
    <w:rsid w:val="1D6D7456"/>
    <w:rsid w:val="1D756A60"/>
    <w:rsid w:val="1D7879E5"/>
    <w:rsid w:val="1D867707"/>
    <w:rsid w:val="1D8A5A12"/>
    <w:rsid w:val="1DE75A9B"/>
    <w:rsid w:val="1E295925"/>
    <w:rsid w:val="1E3D0B9B"/>
    <w:rsid w:val="1E535731"/>
    <w:rsid w:val="1E703800"/>
    <w:rsid w:val="1E81151C"/>
    <w:rsid w:val="1E884DB6"/>
    <w:rsid w:val="1EBF357F"/>
    <w:rsid w:val="1EDC50AE"/>
    <w:rsid w:val="1EE47F3C"/>
    <w:rsid w:val="1EFE1319"/>
    <w:rsid w:val="1F0C367F"/>
    <w:rsid w:val="1F0D1045"/>
    <w:rsid w:val="1F1F489E"/>
    <w:rsid w:val="1F2F076D"/>
    <w:rsid w:val="1F502206"/>
    <w:rsid w:val="1F5749F8"/>
    <w:rsid w:val="1F5B6C81"/>
    <w:rsid w:val="1F81363D"/>
    <w:rsid w:val="1FB0418D"/>
    <w:rsid w:val="1FD6767D"/>
    <w:rsid w:val="1FFB17BC"/>
    <w:rsid w:val="200C3221"/>
    <w:rsid w:val="201828B7"/>
    <w:rsid w:val="203D39F0"/>
    <w:rsid w:val="204123F7"/>
    <w:rsid w:val="20471021"/>
    <w:rsid w:val="20672636"/>
    <w:rsid w:val="20731CCC"/>
    <w:rsid w:val="207B12D7"/>
    <w:rsid w:val="20817033"/>
    <w:rsid w:val="208F37FB"/>
    <w:rsid w:val="20990887"/>
    <w:rsid w:val="20B523B5"/>
    <w:rsid w:val="20E37A02"/>
    <w:rsid w:val="20E833A7"/>
    <w:rsid w:val="20EA2C10"/>
    <w:rsid w:val="21182A73"/>
    <w:rsid w:val="2139298F"/>
    <w:rsid w:val="216C01F4"/>
    <w:rsid w:val="219168A1"/>
    <w:rsid w:val="21B038D2"/>
    <w:rsid w:val="21D06385"/>
    <w:rsid w:val="21D70408"/>
    <w:rsid w:val="2216237D"/>
    <w:rsid w:val="221E7789"/>
    <w:rsid w:val="223076A3"/>
    <w:rsid w:val="227A681E"/>
    <w:rsid w:val="228B3B2E"/>
    <w:rsid w:val="22B06CF8"/>
    <w:rsid w:val="22DC3EDF"/>
    <w:rsid w:val="22E84C54"/>
    <w:rsid w:val="22ED23E8"/>
    <w:rsid w:val="23551A04"/>
    <w:rsid w:val="235E2230"/>
    <w:rsid w:val="2370600B"/>
    <w:rsid w:val="237B1C44"/>
    <w:rsid w:val="23B665A6"/>
    <w:rsid w:val="23CA7445"/>
    <w:rsid w:val="240671CC"/>
    <w:rsid w:val="241B0EB4"/>
    <w:rsid w:val="24337638"/>
    <w:rsid w:val="24513BF6"/>
    <w:rsid w:val="24683E4B"/>
    <w:rsid w:val="246C2851"/>
    <w:rsid w:val="24775DB4"/>
    <w:rsid w:val="24781895"/>
    <w:rsid w:val="24841763"/>
    <w:rsid w:val="2488042D"/>
    <w:rsid w:val="24896A55"/>
    <w:rsid w:val="248A4000"/>
    <w:rsid w:val="24975894"/>
    <w:rsid w:val="24C36C6D"/>
    <w:rsid w:val="24CD15F1"/>
    <w:rsid w:val="24D50BFC"/>
    <w:rsid w:val="254734B9"/>
    <w:rsid w:val="254E0ABD"/>
    <w:rsid w:val="255A4CED"/>
    <w:rsid w:val="25641764"/>
    <w:rsid w:val="257C268E"/>
    <w:rsid w:val="258A21E5"/>
    <w:rsid w:val="25A10883"/>
    <w:rsid w:val="25A94457"/>
    <w:rsid w:val="25D729E7"/>
    <w:rsid w:val="260E417C"/>
    <w:rsid w:val="260F5480"/>
    <w:rsid w:val="261B6D15"/>
    <w:rsid w:val="26382DB8"/>
    <w:rsid w:val="264017D0"/>
    <w:rsid w:val="265C4D5F"/>
    <w:rsid w:val="26644B8A"/>
    <w:rsid w:val="2683355D"/>
    <w:rsid w:val="268A1547"/>
    <w:rsid w:val="268B3CAF"/>
    <w:rsid w:val="268E37D0"/>
    <w:rsid w:val="269243D5"/>
    <w:rsid w:val="26A73075"/>
    <w:rsid w:val="26B2270B"/>
    <w:rsid w:val="26DE0FD1"/>
    <w:rsid w:val="26F853FE"/>
    <w:rsid w:val="270B1F80"/>
    <w:rsid w:val="273803E6"/>
    <w:rsid w:val="274B1605"/>
    <w:rsid w:val="275829CE"/>
    <w:rsid w:val="27706A48"/>
    <w:rsid w:val="27777ECB"/>
    <w:rsid w:val="277D7855"/>
    <w:rsid w:val="27816C71"/>
    <w:rsid w:val="278B3C06"/>
    <w:rsid w:val="27990C94"/>
    <w:rsid w:val="27C61EE6"/>
    <w:rsid w:val="27E33F9B"/>
    <w:rsid w:val="27F23097"/>
    <w:rsid w:val="2805016B"/>
    <w:rsid w:val="281F2C62"/>
    <w:rsid w:val="286036CB"/>
    <w:rsid w:val="28710FA0"/>
    <w:rsid w:val="28824F05"/>
    <w:rsid w:val="288A2311"/>
    <w:rsid w:val="28971627"/>
    <w:rsid w:val="289D572F"/>
    <w:rsid w:val="28A2792A"/>
    <w:rsid w:val="28AA4C8A"/>
    <w:rsid w:val="28CD1B01"/>
    <w:rsid w:val="28DF529E"/>
    <w:rsid w:val="29283114"/>
    <w:rsid w:val="29346F27"/>
    <w:rsid w:val="294A494E"/>
    <w:rsid w:val="29560760"/>
    <w:rsid w:val="295761E2"/>
    <w:rsid w:val="2960326E"/>
    <w:rsid w:val="2975343F"/>
    <w:rsid w:val="297731BB"/>
    <w:rsid w:val="2991297F"/>
    <w:rsid w:val="29922597"/>
    <w:rsid w:val="29B84F82"/>
    <w:rsid w:val="29C71D19"/>
    <w:rsid w:val="29FE3300"/>
    <w:rsid w:val="2A127BAC"/>
    <w:rsid w:val="2A144016"/>
    <w:rsid w:val="2A24682F"/>
    <w:rsid w:val="2A270F8C"/>
    <w:rsid w:val="2A2C74BF"/>
    <w:rsid w:val="2A377A4E"/>
    <w:rsid w:val="2A53737E"/>
    <w:rsid w:val="2A573A81"/>
    <w:rsid w:val="2A704730"/>
    <w:rsid w:val="2A8A52DA"/>
    <w:rsid w:val="2AC70C94"/>
    <w:rsid w:val="2AE354DA"/>
    <w:rsid w:val="2B1E47FB"/>
    <w:rsid w:val="2B226752"/>
    <w:rsid w:val="2B2A3B5F"/>
    <w:rsid w:val="2B6A6B46"/>
    <w:rsid w:val="2B7042D3"/>
    <w:rsid w:val="2B7661DC"/>
    <w:rsid w:val="2B7A5997"/>
    <w:rsid w:val="2B806AEC"/>
    <w:rsid w:val="2B833767"/>
    <w:rsid w:val="2BA37FA5"/>
    <w:rsid w:val="2BA7222F"/>
    <w:rsid w:val="2BAD4138"/>
    <w:rsid w:val="2BC73AD7"/>
    <w:rsid w:val="2BE1373D"/>
    <w:rsid w:val="2C0547C6"/>
    <w:rsid w:val="2C197A3A"/>
    <w:rsid w:val="2C2B1183"/>
    <w:rsid w:val="2C380499"/>
    <w:rsid w:val="2C401128"/>
    <w:rsid w:val="2C8A2F49"/>
    <w:rsid w:val="2C9F3BCE"/>
    <w:rsid w:val="2CA12446"/>
    <w:rsid w:val="2CA64350"/>
    <w:rsid w:val="2CDB1327"/>
    <w:rsid w:val="2CF9108B"/>
    <w:rsid w:val="2D0B6272"/>
    <w:rsid w:val="2D34475F"/>
    <w:rsid w:val="2D4D51B1"/>
    <w:rsid w:val="2D4D79AC"/>
    <w:rsid w:val="2D593F87"/>
    <w:rsid w:val="2DB7418D"/>
    <w:rsid w:val="2DC27F9F"/>
    <w:rsid w:val="2DD00879"/>
    <w:rsid w:val="2DD14D37"/>
    <w:rsid w:val="2DD5373D"/>
    <w:rsid w:val="2DF80479"/>
    <w:rsid w:val="2E075211"/>
    <w:rsid w:val="2E0B52AE"/>
    <w:rsid w:val="2E0E041F"/>
    <w:rsid w:val="2E141396"/>
    <w:rsid w:val="2E2A44CC"/>
    <w:rsid w:val="2E747DC3"/>
    <w:rsid w:val="2E7F3BD6"/>
    <w:rsid w:val="2E8F1C72"/>
    <w:rsid w:val="2E9C0F87"/>
    <w:rsid w:val="2E9F70FE"/>
    <w:rsid w:val="2EA61F97"/>
    <w:rsid w:val="2EB7077F"/>
    <w:rsid w:val="2EB8044F"/>
    <w:rsid w:val="2EC16B9C"/>
    <w:rsid w:val="2ED53072"/>
    <w:rsid w:val="2ED8336B"/>
    <w:rsid w:val="2EDF426C"/>
    <w:rsid w:val="2EEC200B"/>
    <w:rsid w:val="2EEC4E92"/>
    <w:rsid w:val="2F085541"/>
    <w:rsid w:val="2F1A1856"/>
    <w:rsid w:val="2F1C0982"/>
    <w:rsid w:val="2F257BE7"/>
    <w:rsid w:val="2F5B00C1"/>
    <w:rsid w:val="2F63302B"/>
    <w:rsid w:val="2F747966"/>
    <w:rsid w:val="2F94151F"/>
    <w:rsid w:val="2F976C21"/>
    <w:rsid w:val="2FA304B5"/>
    <w:rsid w:val="2FA801C0"/>
    <w:rsid w:val="2FCB6344"/>
    <w:rsid w:val="2FE04DD6"/>
    <w:rsid w:val="2FEC0BD0"/>
    <w:rsid w:val="2FEC1523"/>
    <w:rsid w:val="300D5786"/>
    <w:rsid w:val="3011145B"/>
    <w:rsid w:val="30524DF2"/>
    <w:rsid w:val="306B7868"/>
    <w:rsid w:val="30781792"/>
    <w:rsid w:val="3099089E"/>
    <w:rsid w:val="30D156A4"/>
    <w:rsid w:val="30E346C5"/>
    <w:rsid w:val="30F944D8"/>
    <w:rsid w:val="31062030"/>
    <w:rsid w:val="310A0D01"/>
    <w:rsid w:val="31187F2F"/>
    <w:rsid w:val="311F2A7F"/>
    <w:rsid w:val="31377BE8"/>
    <w:rsid w:val="313B72D2"/>
    <w:rsid w:val="313C4D53"/>
    <w:rsid w:val="31432160"/>
    <w:rsid w:val="31490DA5"/>
    <w:rsid w:val="31570E00"/>
    <w:rsid w:val="315F5D75"/>
    <w:rsid w:val="318D3859"/>
    <w:rsid w:val="31A54783"/>
    <w:rsid w:val="31CA113F"/>
    <w:rsid w:val="31E91E87"/>
    <w:rsid w:val="32013A44"/>
    <w:rsid w:val="32063522"/>
    <w:rsid w:val="320E10B5"/>
    <w:rsid w:val="321A38C2"/>
    <w:rsid w:val="3243059C"/>
    <w:rsid w:val="32635E3A"/>
    <w:rsid w:val="32697D44"/>
    <w:rsid w:val="326D0948"/>
    <w:rsid w:val="328A5CFA"/>
    <w:rsid w:val="32C75B5F"/>
    <w:rsid w:val="32C835E0"/>
    <w:rsid w:val="32D23EF0"/>
    <w:rsid w:val="32DF7982"/>
    <w:rsid w:val="32E70612"/>
    <w:rsid w:val="32F6364C"/>
    <w:rsid w:val="330E25E7"/>
    <w:rsid w:val="331537CD"/>
    <w:rsid w:val="331E4E70"/>
    <w:rsid w:val="33285651"/>
    <w:rsid w:val="332F4289"/>
    <w:rsid w:val="336E17F0"/>
    <w:rsid w:val="33814F8D"/>
    <w:rsid w:val="33C133A6"/>
    <w:rsid w:val="33CC276C"/>
    <w:rsid w:val="33D6491F"/>
    <w:rsid w:val="33E2230D"/>
    <w:rsid w:val="33FB26D9"/>
    <w:rsid w:val="34057765"/>
    <w:rsid w:val="3424001A"/>
    <w:rsid w:val="34291F23"/>
    <w:rsid w:val="34413D46"/>
    <w:rsid w:val="34432ACD"/>
    <w:rsid w:val="344A45A5"/>
    <w:rsid w:val="344B7ED9"/>
    <w:rsid w:val="345C5BF5"/>
    <w:rsid w:val="34692D0C"/>
    <w:rsid w:val="348103B3"/>
    <w:rsid w:val="348E7D02"/>
    <w:rsid w:val="34A76F6E"/>
    <w:rsid w:val="356D5A32"/>
    <w:rsid w:val="356F47B8"/>
    <w:rsid w:val="357C3ACE"/>
    <w:rsid w:val="357D1550"/>
    <w:rsid w:val="35962F2D"/>
    <w:rsid w:val="359E1A84"/>
    <w:rsid w:val="359F2D89"/>
    <w:rsid w:val="35AB6D2D"/>
    <w:rsid w:val="35B629AE"/>
    <w:rsid w:val="35B71496"/>
    <w:rsid w:val="35B73EBF"/>
    <w:rsid w:val="35B8262E"/>
    <w:rsid w:val="35BA5B31"/>
    <w:rsid w:val="35CC12CF"/>
    <w:rsid w:val="35D319E6"/>
    <w:rsid w:val="35D579E0"/>
    <w:rsid w:val="35D72EE3"/>
    <w:rsid w:val="35DD2FB8"/>
    <w:rsid w:val="35E768F5"/>
    <w:rsid w:val="35F559C7"/>
    <w:rsid w:val="36075C31"/>
    <w:rsid w:val="361971D0"/>
    <w:rsid w:val="362D458B"/>
    <w:rsid w:val="36354715"/>
    <w:rsid w:val="36414A73"/>
    <w:rsid w:val="364A0F5C"/>
    <w:rsid w:val="36510879"/>
    <w:rsid w:val="365C6141"/>
    <w:rsid w:val="366F7BDE"/>
    <w:rsid w:val="36A857BA"/>
    <w:rsid w:val="36CB6C73"/>
    <w:rsid w:val="36E16C19"/>
    <w:rsid w:val="37036DCD"/>
    <w:rsid w:val="372F46A7"/>
    <w:rsid w:val="373C0013"/>
    <w:rsid w:val="37726C9D"/>
    <w:rsid w:val="37877191"/>
    <w:rsid w:val="379A1E22"/>
    <w:rsid w:val="37BD6848"/>
    <w:rsid w:val="37CC6816"/>
    <w:rsid w:val="37DE6907"/>
    <w:rsid w:val="37E810A7"/>
    <w:rsid w:val="380E1C87"/>
    <w:rsid w:val="385F290D"/>
    <w:rsid w:val="38994363"/>
    <w:rsid w:val="38A9437C"/>
    <w:rsid w:val="38C2712E"/>
    <w:rsid w:val="38D16127"/>
    <w:rsid w:val="39060B1C"/>
    <w:rsid w:val="391842BA"/>
    <w:rsid w:val="392F3EDF"/>
    <w:rsid w:val="39390072"/>
    <w:rsid w:val="393C0FF6"/>
    <w:rsid w:val="39515718"/>
    <w:rsid w:val="39592B25"/>
    <w:rsid w:val="396A7752"/>
    <w:rsid w:val="39706EC7"/>
    <w:rsid w:val="39741150"/>
    <w:rsid w:val="39787B56"/>
    <w:rsid w:val="39833969"/>
    <w:rsid w:val="398A32F4"/>
    <w:rsid w:val="398E1CFA"/>
    <w:rsid w:val="39923F83"/>
    <w:rsid w:val="399A358E"/>
    <w:rsid w:val="399C6A91"/>
    <w:rsid w:val="39B03534"/>
    <w:rsid w:val="39B62EBE"/>
    <w:rsid w:val="3A0E5ACB"/>
    <w:rsid w:val="3A2A75FA"/>
    <w:rsid w:val="3A3F5379"/>
    <w:rsid w:val="3A436689"/>
    <w:rsid w:val="3A4614A9"/>
    <w:rsid w:val="3A675260"/>
    <w:rsid w:val="3A771C78"/>
    <w:rsid w:val="3A8646CD"/>
    <w:rsid w:val="3AA10332"/>
    <w:rsid w:val="3AAC45FF"/>
    <w:rsid w:val="3AC37B79"/>
    <w:rsid w:val="3AE070A1"/>
    <w:rsid w:val="3AF86D4E"/>
    <w:rsid w:val="3B1E2869"/>
    <w:rsid w:val="3B426025"/>
    <w:rsid w:val="3B4413CB"/>
    <w:rsid w:val="3B530361"/>
    <w:rsid w:val="3B617677"/>
    <w:rsid w:val="3B736697"/>
    <w:rsid w:val="3B757B5E"/>
    <w:rsid w:val="3B883620"/>
    <w:rsid w:val="3B9620CF"/>
    <w:rsid w:val="3B997439"/>
    <w:rsid w:val="3BA65BED"/>
    <w:rsid w:val="3BB70085"/>
    <w:rsid w:val="3BD918BF"/>
    <w:rsid w:val="3BDB4DC2"/>
    <w:rsid w:val="3BE2474D"/>
    <w:rsid w:val="3C090267"/>
    <w:rsid w:val="3C09240E"/>
    <w:rsid w:val="3C146221"/>
    <w:rsid w:val="3C1D10AF"/>
    <w:rsid w:val="3C317D4F"/>
    <w:rsid w:val="3C3C4CFA"/>
    <w:rsid w:val="3C4F72FF"/>
    <w:rsid w:val="3C5C6615"/>
    <w:rsid w:val="3C7360F1"/>
    <w:rsid w:val="3CC365B8"/>
    <w:rsid w:val="3CD51844"/>
    <w:rsid w:val="3CE979FE"/>
    <w:rsid w:val="3D08452F"/>
    <w:rsid w:val="3D3675FD"/>
    <w:rsid w:val="3D3F248B"/>
    <w:rsid w:val="3D5001A7"/>
    <w:rsid w:val="3D55441E"/>
    <w:rsid w:val="3D6B2F4F"/>
    <w:rsid w:val="3D713555"/>
    <w:rsid w:val="3D741DEE"/>
    <w:rsid w:val="3D8253E3"/>
    <w:rsid w:val="3D85737C"/>
    <w:rsid w:val="3D9C3FFF"/>
    <w:rsid w:val="3DA92F31"/>
    <w:rsid w:val="3DB3244A"/>
    <w:rsid w:val="3DC213DF"/>
    <w:rsid w:val="3DDE328E"/>
    <w:rsid w:val="3DF33233"/>
    <w:rsid w:val="3E076650"/>
    <w:rsid w:val="3E0B0DB0"/>
    <w:rsid w:val="3E0C635B"/>
    <w:rsid w:val="3E116F60"/>
    <w:rsid w:val="3E572F58"/>
    <w:rsid w:val="3E636D6A"/>
    <w:rsid w:val="3E872DEF"/>
    <w:rsid w:val="3E962A3C"/>
    <w:rsid w:val="3E9704BE"/>
    <w:rsid w:val="3EE94A45"/>
    <w:rsid w:val="3F043070"/>
    <w:rsid w:val="3F1D2CEE"/>
    <w:rsid w:val="3F401479"/>
    <w:rsid w:val="3F4D6968"/>
    <w:rsid w:val="3F6116ED"/>
    <w:rsid w:val="3F651E10"/>
    <w:rsid w:val="3F8B424E"/>
    <w:rsid w:val="3F934EDE"/>
    <w:rsid w:val="3FA97081"/>
    <w:rsid w:val="3FB14FDF"/>
    <w:rsid w:val="3FCE6ABE"/>
    <w:rsid w:val="40130E98"/>
    <w:rsid w:val="401776B5"/>
    <w:rsid w:val="403501D5"/>
    <w:rsid w:val="40516596"/>
    <w:rsid w:val="407E4ADB"/>
    <w:rsid w:val="40B04E56"/>
    <w:rsid w:val="40C60753"/>
    <w:rsid w:val="40C761D4"/>
    <w:rsid w:val="40D15800"/>
    <w:rsid w:val="40D24565"/>
    <w:rsid w:val="40D74270"/>
    <w:rsid w:val="410113A2"/>
    <w:rsid w:val="415D4149"/>
    <w:rsid w:val="416F143B"/>
    <w:rsid w:val="41880811"/>
    <w:rsid w:val="41932425"/>
    <w:rsid w:val="419633AA"/>
    <w:rsid w:val="41980AAB"/>
    <w:rsid w:val="41B44DE2"/>
    <w:rsid w:val="41C60C56"/>
    <w:rsid w:val="41E9727E"/>
    <w:rsid w:val="41F06F3B"/>
    <w:rsid w:val="41F50509"/>
    <w:rsid w:val="420226D9"/>
    <w:rsid w:val="423563AB"/>
    <w:rsid w:val="42375131"/>
    <w:rsid w:val="42533B5D"/>
    <w:rsid w:val="42557F64"/>
    <w:rsid w:val="42610172"/>
    <w:rsid w:val="426339F7"/>
    <w:rsid w:val="42675C80"/>
    <w:rsid w:val="42705E47"/>
    <w:rsid w:val="42733C91"/>
    <w:rsid w:val="427C45A1"/>
    <w:rsid w:val="428803B3"/>
    <w:rsid w:val="428C76CE"/>
    <w:rsid w:val="42916AC5"/>
    <w:rsid w:val="42A3645B"/>
    <w:rsid w:val="42CE0B28"/>
    <w:rsid w:val="43046EDF"/>
    <w:rsid w:val="432106B2"/>
    <w:rsid w:val="43603542"/>
    <w:rsid w:val="43610097"/>
    <w:rsid w:val="436807A8"/>
    <w:rsid w:val="43790FC1"/>
    <w:rsid w:val="439901E8"/>
    <w:rsid w:val="43A14703"/>
    <w:rsid w:val="43BB74AB"/>
    <w:rsid w:val="43C63034"/>
    <w:rsid w:val="43CD51C7"/>
    <w:rsid w:val="43EC12FF"/>
    <w:rsid w:val="43F11B33"/>
    <w:rsid w:val="43F17986"/>
    <w:rsid w:val="43FF4262"/>
    <w:rsid w:val="44062B2A"/>
    <w:rsid w:val="444678CE"/>
    <w:rsid w:val="444744C8"/>
    <w:rsid w:val="44495B09"/>
    <w:rsid w:val="444B1319"/>
    <w:rsid w:val="44565A46"/>
    <w:rsid w:val="445C041A"/>
    <w:rsid w:val="44604594"/>
    <w:rsid w:val="447E086E"/>
    <w:rsid w:val="44B454C5"/>
    <w:rsid w:val="44C125DD"/>
    <w:rsid w:val="44CA2EEC"/>
    <w:rsid w:val="44D35D7A"/>
    <w:rsid w:val="44DD6689"/>
    <w:rsid w:val="44E7774D"/>
    <w:rsid w:val="45127C50"/>
    <w:rsid w:val="452B6409"/>
    <w:rsid w:val="454416D4"/>
    <w:rsid w:val="45595C53"/>
    <w:rsid w:val="455E7EDC"/>
    <w:rsid w:val="45830A1B"/>
    <w:rsid w:val="458A4224"/>
    <w:rsid w:val="458D51A8"/>
    <w:rsid w:val="459B4244"/>
    <w:rsid w:val="45A33E4B"/>
    <w:rsid w:val="45A94422"/>
    <w:rsid w:val="45B253E8"/>
    <w:rsid w:val="45CC5F92"/>
    <w:rsid w:val="45DF172F"/>
    <w:rsid w:val="45FB3A22"/>
    <w:rsid w:val="460B12FA"/>
    <w:rsid w:val="46236563"/>
    <w:rsid w:val="462C5C13"/>
    <w:rsid w:val="46430BED"/>
    <w:rsid w:val="465C2D4B"/>
    <w:rsid w:val="465C457C"/>
    <w:rsid w:val="467609A9"/>
    <w:rsid w:val="46B86E94"/>
    <w:rsid w:val="46E3355B"/>
    <w:rsid w:val="46E67A01"/>
    <w:rsid w:val="46F87BA3"/>
    <w:rsid w:val="47262D4B"/>
    <w:rsid w:val="474A246F"/>
    <w:rsid w:val="47670737"/>
    <w:rsid w:val="479D620D"/>
    <w:rsid w:val="47BE6742"/>
    <w:rsid w:val="47D927EF"/>
    <w:rsid w:val="47E0217A"/>
    <w:rsid w:val="47F00216"/>
    <w:rsid w:val="47F236FB"/>
    <w:rsid w:val="480F5247"/>
    <w:rsid w:val="481822D3"/>
    <w:rsid w:val="48233EE8"/>
    <w:rsid w:val="4839608B"/>
    <w:rsid w:val="483A3F41"/>
    <w:rsid w:val="485D1370"/>
    <w:rsid w:val="48622CF7"/>
    <w:rsid w:val="486421D3"/>
    <w:rsid w:val="4869465C"/>
    <w:rsid w:val="488678AB"/>
    <w:rsid w:val="488F701E"/>
    <w:rsid w:val="48A766BF"/>
    <w:rsid w:val="48B06FCF"/>
    <w:rsid w:val="48C37CC6"/>
    <w:rsid w:val="48CD65BA"/>
    <w:rsid w:val="48FF25D1"/>
    <w:rsid w:val="49281A93"/>
    <w:rsid w:val="492F313E"/>
    <w:rsid w:val="49495EC9"/>
    <w:rsid w:val="495010D7"/>
    <w:rsid w:val="4955555E"/>
    <w:rsid w:val="49611371"/>
    <w:rsid w:val="49A21DDA"/>
    <w:rsid w:val="49E453DD"/>
    <w:rsid w:val="49EE4458"/>
    <w:rsid w:val="4A1E3E7D"/>
    <w:rsid w:val="4A35264E"/>
    <w:rsid w:val="4A3C21D9"/>
    <w:rsid w:val="4A521971"/>
    <w:rsid w:val="4A597197"/>
    <w:rsid w:val="4A6B5E29"/>
    <w:rsid w:val="4A880DD3"/>
    <w:rsid w:val="4A9C4E28"/>
    <w:rsid w:val="4AEC68F9"/>
    <w:rsid w:val="4AFF7B18"/>
    <w:rsid w:val="4B0F494C"/>
    <w:rsid w:val="4B254325"/>
    <w:rsid w:val="4B26325B"/>
    <w:rsid w:val="4B275459"/>
    <w:rsid w:val="4B2941E0"/>
    <w:rsid w:val="4B454A0A"/>
    <w:rsid w:val="4B7D2F03"/>
    <w:rsid w:val="4BC27856"/>
    <w:rsid w:val="4BE432AF"/>
    <w:rsid w:val="4BE90D9B"/>
    <w:rsid w:val="4BEF2CA4"/>
    <w:rsid w:val="4BFF2F3E"/>
    <w:rsid w:val="4C1D2BE9"/>
    <w:rsid w:val="4C261BDE"/>
    <w:rsid w:val="4C334692"/>
    <w:rsid w:val="4C4A42B7"/>
    <w:rsid w:val="4C660668"/>
    <w:rsid w:val="4C721BF8"/>
    <w:rsid w:val="4C7508A7"/>
    <w:rsid w:val="4C783B02"/>
    <w:rsid w:val="4C816990"/>
    <w:rsid w:val="4CB613E8"/>
    <w:rsid w:val="4CCC6E0F"/>
    <w:rsid w:val="4CD20D18"/>
    <w:rsid w:val="4CE51F37"/>
    <w:rsid w:val="4D1B40EF"/>
    <w:rsid w:val="4D2079EB"/>
    <w:rsid w:val="4D2B4C2A"/>
    <w:rsid w:val="4D3A7443"/>
    <w:rsid w:val="4D570F71"/>
    <w:rsid w:val="4DE1452E"/>
    <w:rsid w:val="4DEE01EB"/>
    <w:rsid w:val="4DF036EE"/>
    <w:rsid w:val="4DF30DF0"/>
    <w:rsid w:val="4DF6271E"/>
    <w:rsid w:val="4DFC16FF"/>
    <w:rsid w:val="4E03108A"/>
    <w:rsid w:val="4E042C86"/>
    <w:rsid w:val="4E2822B5"/>
    <w:rsid w:val="4E5A1A99"/>
    <w:rsid w:val="4E640249"/>
    <w:rsid w:val="4E723844"/>
    <w:rsid w:val="4E7D0D54"/>
    <w:rsid w:val="4E835C30"/>
    <w:rsid w:val="4E85035F"/>
    <w:rsid w:val="4E9E77F7"/>
    <w:rsid w:val="4EB95335"/>
    <w:rsid w:val="4EC933D2"/>
    <w:rsid w:val="4ED33CE1"/>
    <w:rsid w:val="4F01352B"/>
    <w:rsid w:val="4F0679B3"/>
    <w:rsid w:val="4F13254C"/>
    <w:rsid w:val="4F26376B"/>
    <w:rsid w:val="4F423F95"/>
    <w:rsid w:val="4F4C1158"/>
    <w:rsid w:val="4F6279AB"/>
    <w:rsid w:val="4F94051C"/>
    <w:rsid w:val="4FA74FBE"/>
    <w:rsid w:val="4FBF6DE2"/>
    <w:rsid w:val="4FD6783A"/>
    <w:rsid w:val="500243D3"/>
    <w:rsid w:val="501555F2"/>
    <w:rsid w:val="502D7993"/>
    <w:rsid w:val="502E071A"/>
    <w:rsid w:val="504273BB"/>
    <w:rsid w:val="505605DA"/>
    <w:rsid w:val="506A727A"/>
    <w:rsid w:val="50941CF8"/>
    <w:rsid w:val="509636E2"/>
    <w:rsid w:val="50B13272"/>
    <w:rsid w:val="50B6710F"/>
    <w:rsid w:val="50BC2F96"/>
    <w:rsid w:val="50C54111"/>
    <w:rsid w:val="50C75416"/>
    <w:rsid w:val="50D21228"/>
    <w:rsid w:val="50DE7239"/>
    <w:rsid w:val="51092B6B"/>
    <w:rsid w:val="511801A1"/>
    <w:rsid w:val="51435EF0"/>
    <w:rsid w:val="514A216C"/>
    <w:rsid w:val="516A26A0"/>
    <w:rsid w:val="51A227FA"/>
    <w:rsid w:val="51A57002"/>
    <w:rsid w:val="51B95CA3"/>
    <w:rsid w:val="51F65583"/>
    <w:rsid w:val="520A0F25"/>
    <w:rsid w:val="521274CB"/>
    <w:rsid w:val="522265CC"/>
    <w:rsid w:val="523D726B"/>
    <w:rsid w:val="52611333"/>
    <w:rsid w:val="527F164D"/>
    <w:rsid w:val="528278EA"/>
    <w:rsid w:val="529C6C5D"/>
    <w:rsid w:val="52B5070D"/>
    <w:rsid w:val="52E03A67"/>
    <w:rsid w:val="52FC46EA"/>
    <w:rsid w:val="53400FA2"/>
    <w:rsid w:val="534D042C"/>
    <w:rsid w:val="5350703E"/>
    <w:rsid w:val="53523734"/>
    <w:rsid w:val="537A7E82"/>
    <w:rsid w:val="538B07B0"/>
    <w:rsid w:val="538C361F"/>
    <w:rsid w:val="538D10A1"/>
    <w:rsid w:val="53A46AC8"/>
    <w:rsid w:val="53A54549"/>
    <w:rsid w:val="53C25E9B"/>
    <w:rsid w:val="53DB6C22"/>
    <w:rsid w:val="53DC6880"/>
    <w:rsid w:val="53F47B4C"/>
    <w:rsid w:val="5403314B"/>
    <w:rsid w:val="54213B13"/>
    <w:rsid w:val="542A2224"/>
    <w:rsid w:val="544A4CD7"/>
    <w:rsid w:val="54514662"/>
    <w:rsid w:val="545309AA"/>
    <w:rsid w:val="545568EB"/>
    <w:rsid w:val="54BD0940"/>
    <w:rsid w:val="54BF0519"/>
    <w:rsid w:val="54E603D9"/>
    <w:rsid w:val="552072B9"/>
    <w:rsid w:val="552827AD"/>
    <w:rsid w:val="552B1450"/>
    <w:rsid w:val="552C52CA"/>
    <w:rsid w:val="552D6BF5"/>
    <w:rsid w:val="55584783"/>
    <w:rsid w:val="555D389B"/>
    <w:rsid w:val="558127D5"/>
    <w:rsid w:val="55835CD9"/>
    <w:rsid w:val="558E2FA7"/>
    <w:rsid w:val="559B1181"/>
    <w:rsid w:val="55B464A8"/>
    <w:rsid w:val="55B577AC"/>
    <w:rsid w:val="55B7742C"/>
    <w:rsid w:val="55BD2802"/>
    <w:rsid w:val="55F969E7"/>
    <w:rsid w:val="55FD59A2"/>
    <w:rsid w:val="56024028"/>
    <w:rsid w:val="5616190A"/>
    <w:rsid w:val="56391F84"/>
    <w:rsid w:val="56856B80"/>
    <w:rsid w:val="56941399"/>
    <w:rsid w:val="56962361"/>
    <w:rsid w:val="569F71AC"/>
    <w:rsid w:val="56BA15D9"/>
    <w:rsid w:val="56C2222C"/>
    <w:rsid w:val="56E65920"/>
    <w:rsid w:val="56EF3AF5"/>
    <w:rsid w:val="56F23931"/>
    <w:rsid w:val="56F83407"/>
    <w:rsid w:val="571A4227"/>
    <w:rsid w:val="571E54DC"/>
    <w:rsid w:val="572210F5"/>
    <w:rsid w:val="572647A1"/>
    <w:rsid w:val="572A730E"/>
    <w:rsid w:val="57435A05"/>
    <w:rsid w:val="574B7843"/>
    <w:rsid w:val="57520DB4"/>
    <w:rsid w:val="576146B9"/>
    <w:rsid w:val="57677173"/>
    <w:rsid w:val="57702001"/>
    <w:rsid w:val="577865C9"/>
    <w:rsid w:val="578F7CCE"/>
    <w:rsid w:val="579456E3"/>
    <w:rsid w:val="579C1BCB"/>
    <w:rsid w:val="57B04FE9"/>
    <w:rsid w:val="57B74973"/>
    <w:rsid w:val="57D57EBA"/>
    <w:rsid w:val="57E1103B"/>
    <w:rsid w:val="57E23AB5"/>
    <w:rsid w:val="57F020A7"/>
    <w:rsid w:val="580637F9"/>
    <w:rsid w:val="58144D0D"/>
    <w:rsid w:val="58420BB7"/>
    <w:rsid w:val="58467715"/>
    <w:rsid w:val="587B1239"/>
    <w:rsid w:val="58886F75"/>
    <w:rsid w:val="58B65B9B"/>
    <w:rsid w:val="58C91339"/>
    <w:rsid w:val="58E37964"/>
    <w:rsid w:val="592A4855"/>
    <w:rsid w:val="593309E8"/>
    <w:rsid w:val="593C7FF3"/>
    <w:rsid w:val="597823D6"/>
    <w:rsid w:val="598227C6"/>
    <w:rsid w:val="59AD4E2E"/>
    <w:rsid w:val="59B07FB1"/>
    <w:rsid w:val="59BC675C"/>
    <w:rsid w:val="59FB712C"/>
    <w:rsid w:val="59FD262F"/>
    <w:rsid w:val="5A050D40"/>
    <w:rsid w:val="5A09064B"/>
    <w:rsid w:val="5A364636"/>
    <w:rsid w:val="5A4178A0"/>
    <w:rsid w:val="5A5468C1"/>
    <w:rsid w:val="5A5A624C"/>
    <w:rsid w:val="5A770B6E"/>
    <w:rsid w:val="5A7B6781"/>
    <w:rsid w:val="5A8A0BF0"/>
    <w:rsid w:val="5A8A56E2"/>
    <w:rsid w:val="5AB246DC"/>
    <w:rsid w:val="5AB3215E"/>
    <w:rsid w:val="5AB61CF5"/>
    <w:rsid w:val="5AD05E8B"/>
    <w:rsid w:val="5AD42692"/>
    <w:rsid w:val="5AE250B9"/>
    <w:rsid w:val="5AE65E30"/>
    <w:rsid w:val="5B0B05EE"/>
    <w:rsid w:val="5B106C74"/>
    <w:rsid w:val="5B2F7529"/>
    <w:rsid w:val="5B490AD6"/>
    <w:rsid w:val="5B610C4B"/>
    <w:rsid w:val="5B6553FD"/>
    <w:rsid w:val="5B814DBA"/>
    <w:rsid w:val="5B8931D8"/>
    <w:rsid w:val="5BB95E08"/>
    <w:rsid w:val="5BBA168B"/>
    <w:rsid w:val="5BBD01B3"/>
    <w:rsid w:val="5C13779B"/>
    <w:rsid w:val="5C297741"/>
    <w:rsid w:val="5C443BB1"/>
    <w:rsid w:val="5CB660AB"/>
    <w:rsid w:val="5CC611FF"/>
    <w:rsid w:val="5CCF11D3"/>
    <w:rsid w:val="5D187049"/>
    <w:rsid w:val="5D4A309B"/>
    <w:rsid w:val="5D4B0B1D"/>
    <w:rsid w:val="5D655437"/>
    <w:rsid w:val="5D6A315C"/>
    <w:rsid w:val="5D7F7CF2"/>
    <w:rsid w:val="5D851C35"/>
    <w:rsid w:val="5DAA43BA"/>
    <w:rsid w:val="5DBB1104"/>
    <w:rsid w:val="5DBC7B57"/>
    <w:rsid w:val="5DDE7708"/>
    <w:rsid w:val="5DF04B2E"/>
    <w:rsid w:val="5E203FF8"/>
    <w:rsid w:val="5E317B16"/>
    <w:rsid w:val="5E77028A"/>
    <w:rsid w:val="5EB031ED"/>
    <w:rsid w:val="5EB1716B"/>
    <w:rsid w:val="5F187E14"/>
    <w:rsid w:val="5F255EFF"/>
    <w:rsid w:val="5F3C12CD"/>
    <w:rsid w:val="5F3D0F4D"/>
    <w:rsid w:val="5F417953"/>
    <w:rsid w:val="5F5159EF"/>
    <w:rsid w:val="5F7E77B8"/>
    <w:rsid w:val="5F9C6D68"/>
    <w:rsid w:val="5FBE2597"/>
    <w:rsid w:val="5FC559AE"/>
    <w:rsid w:val="5FDA5B33"/>
    <w:rsid w:val="5FDC7E75"/>
    <w:rsid w:val="5FF120B4"/>
    <w:rsid w:val="5FFB3749"/>
    <w:rsid w:val="600317C6"/>
    <w:rsid w:val="60083E99"/>
    <w:rsid w:val="601C2B39"/>
    <w:rsid w:val="603666FB"/>
    <w:rsid w:val="603A596D"/>
    <w:rsid w:val="607B393B"/>
    <w:rsid w:val="6093187E"/>
    <w:rsid w:val="609357F0"/>
    <w:rsid w:val="609B470C"/>
    <w:rsid w:val="60AC4695"/>
    <w:rsid w:val="60BA2331"/>
    <w:rsid w:val="60BE37BE"/>
    <w:rsid w:val="60D45B6B"/>
    <w:rsid w:val="60D6106E"/>
    <w:rsid w:val="60EB32AF"/>
    <w:rsid w:val="6111214D"/>
    <w:rsid w:val="61171AD8"/>
    <w:rsid w:val="612620F2"/>
    <w:rsid w:val="612B657A"/>
    <w:rsid w:val="6142291C"/>
    <w:rsid w:val="614E316C"/>
    <w:rsid w:val="6198332B"/>
    <w:rsid w:val="61B73BDF"/>
    <w:rsid w:val="61BD0796"/>
    <w:rsid w:val="61EE1B3B"/>
    <w:rsid w:val="61FE0917"/>
    <w:rsid w:val="620152D8"/>
    <w:rsid w:val="623E513D"/>
    <w:rsid w:val="62563CE5"/>
    <w:rsid w:val="6260099C"/>
    <w:rsid w:val="62674C7D"/>
    <w:rsid w:val="62E47AC9"/>
    <w:rsid w:val="63097D09"/>
    <w:rsid w:val="6350047D"/>
    <w:rsid w:val="63723EB5"/>
    <w:rsid w:val="63BE0AB1"/>
    <w:rsid w:val="63C11A36"/>
    <w:rsid w:val="63DB6817"/>
    <w:rsid w:val="6412053C"/>
    <w:rsid w:val="64430D0B"/>
    <w:rsid w:val="64646F50"/>
    <w:rsid w:val="648065F1"/>
    <w:rsid w:val="64971BDD"/>
    <w:rsid w:val="64AF4B60"/>
    <w:rsid w:val="64BA3B41"/>
    <w:rsid w:val="64C869E5"/>
    <w:rsid w:val="64F81E92"/>
    <w:rsid w:val="65015C46"/>
    <w:rsid w:val="65046BCA"/>
    <w:rsid w:val="650A2CD2"/>
    <w:rsid w:val="650D32FF"/>
    <w:rsid w:val="651435E1"/>
    <w:rsid w:val="654153AA"/>
    <w:rsid w:val="654D4A40"/>
    <w:rsid w:val="655115A8"/>
    <w:rsid w:val="6566621E"/>
    <w:rsid w:val="65821697"/>
    <w:rsid w:val="65927733"/>
    <w:rsid w:val="65CE6293"/>
    <w:rsid w:val="65D12A9B"/>
    <w:rsid w:val="65D85E53"/>
    <w:rsid w:val="65F740ED"/>
    <w:rsid w:val="66077C6A"/>
    <w:rsid w:val="660A60F8"/>
    <w:rsid w:val="661E7317"/>
    <w:rsid w:val="66495BDD"/>
    <w:rsid w:val="666D4B17"/>
    <w:rsid w:val="669E696B"/>
    <w:rsid w:val="66B94F97"/>
    <w:rsid w:val="66BA4C17"/>
    <w:rsid w:val="66C60005"/>
    <w:rsid w:val="66CA7430"/>
    <w:rsid w:val="66D435C2"/>
    <w:rsid w:val="66ED66EB"/>
    <w:rsid w:val="66F12B72"/>
    <w:rsid w:val="67073D47"/>
    <w:rsid w:val="671E273D"/>
    <w:rsid w:val="672520EB"/>
    <w:rsid w:val="672A6A01"/>
    <w:rsid w:val="67662B31"/>
    <w:rsid w:val="67763396"/>
    <w:rsid w:val="6779274B"/>
    <w:rsid w:val="678A1A6C"/>
    <w:rsid w:val="67926E78"/>
    <w:rsid w:val="679C7788"/>
    <w:rsid w:val="679F070D"/>
    <w:rsid w:val="67A9335C"/>
    <w:rsid w:val="67D44D17"/>
    <w:rsid w:val="68014F2E"/>
    <w:rsid w:val="680B32BF"/>
    <w:rsid w:val="680C4CB4"/>
    <w:rsid w:val="680E2045"/>
    <w:rsid w:val="68334803"/>
    <w:rsid w:val="68374408"/>
    <w:rsid w:val="68400296"/>
    <w:rsid w:val="685811C0"/>
    <w:rsid w:val="68976726"/>
    <w:rsid w:val="68B343A8"/>
    <w:rsid w:val="68C42A6D"/>
    <w:rsid w:val="68EF42FF"/>
    <w:rsid w:val="69133F7E"/>
    <w:rsid w:val="69156EBB"/>
    <w:rsid w:val="692662FA"/>
    <w:rsid w:val="694D4F50"/>
    <w:rsid w:val="69760313"/>
    <w:rsid w:val="698A6FB3"/>
    <w:rsid w:val="69B45BF9"/>
    <w:rsid w:val="69BF0B25"/>
    <w:rsid w:val="69DD483F"/>
    <w:rsid w:val="69F47683"/>
    <w:rsid w:val="69F942E4"/>
    <w:rsid w:val="6A010AFD"/>
    <w:rsid w:val="6A0568FD"/>
    <w:rsid w:val="6A2B6B3C"/>
    <w:rsid w:val="6A5F0290"/>
    <w:rsid w:val="6A865F51"/>
    <w:rsid w:val="6AA40D85"/>
    <w:rsid w:val="6ABB09AA"/>
    <w:rsid w:val="6AD74A57"/>
    <w:rsid w:val="6B187327"/>
    <w:rsid w:val="6B266753"/>
    <w:rsid w:val="6B4F341C"/>
    <w:rsid w:val="6B7845E0"/>
    <w:rsid w:val="6B876DF9"/>
    <w:rsid w:val="6B9F60AC"/>
    <w:rsid w:val="6BA350A4"/>
    <w:rsid w:val="6BBB054D"/>
    <w:rsid w:val="6BFA38B5"/>
    <w:rsid w:val="6C0A3B4F"/>
    <w:rsid w:val="6C254067"/>
    <w:rsid w:val="6C290B81"/>
    <w:rsid w:val="6C327292"/>
    <w:rsid w:val="6C3426E1"/>
    <w:rsid w:val="6C352415"/>
    <w:rsid w:val="6C5703CB"/>
    <w:rsid w:val="6C774F51"/>
    <w:rsid w:val="6C7A1884"/>
    <w:rsid w:val="6CBB3973"/>
    <w:rsid w:val="6CD62F24"/>
    <w:rsid w:val="6CE25DB1"/>
    <w:rsid w:val="6D0A6F75"/>
    <w:rsid w:val="6D11307D"/>
    <w:rsid w:val="6D116900"/>
    <w:rsid w:val="6D201119"/>
    <w:rsid w:val="6D2E4BAB"/>
    <w:rsid w:val="6D4A44DB"/>
    <w:rsid w:val="6D63623C"/>
    <w:rsid w:val="6D812437"/>
    <w:rsid w:val="6D853006"/>
    <w:rsid w:val="6DE82CCD"/>
    <w:rsid w:val="6DEB7F47"/>
    <w:rsid w:val="6E087CA3"/>
    <w:rsid w:val="6E123F24"/>
    <w:rsid w:val="6E3B72E7"/>
    <w:rsid w:val="6E3E606D"/>
    <w:rsid w:val="6E5C02CB"/>
    <w:rsid w:val="6E680DA5"/>
    <w:rsid w:val="6E804558"/>
    <w:rsid w:val="6EA0288E"/>
    <w:rsid w:val="6EE509F4"/>
    <w:rsid w:val="6EFC51A7"/>
    <w:rsid w:val="6F023405"/>
    <w:rsid w:val="6F0A66BA"/>
    <w:rsid w:val="6F0B13DB"/>
    <w:rsid w:val="6F25039A"/>
    <w:rsid w:val="6F376285"/>
    <w:rsid w:val="6F8D3411"/>
    <w:rsid w:val="6FA8783E"/>
    <w:rsid w:val="6FBC2EB1"/>
    <w:rsid w:val="6FDB6D93"/>
    <w:rsid w:val="700346D4"/>
    <w:rsid w:val="70623166"/>
    <w:rsid w:val="70655672"/>
    <w:rsid w:val="70714D08"/>
    <w:rsid w:val="7073020B"/>
    <w:rsid w:val="709C35CE"/>
    <w:rsid w:val="70B17CF0"/>
    <w:rsid w:val="70D127A3"/>
    <w:rsid w:val="70E565DB"/>
    <w:rsid w:val="70F86AD9"/>
    <w:rsid w:val="71032079"/>
    <w:rsid w:val="71236D2A"/>
    <w:rsid w:val="71511DF8"/>
    <w:rsid w:val="71936767"/>
    <w:rsid w:val="719515E7"/>
    <w:rsid w:val="71A26F09"/>
    <w:rsid w:val="720A37A4"/>
    <w:rsid w:val="720F35F2"/>
    <w:rsid w:val="72100F31"/>
    <w:rsid w:val="72287D95"/>
    <w:rsid w:val="72304FDF"/>
    <w:rsid w:val="723356D2"/>
    <w:rsid w:val="72434C03"/>
    <w:rsid w:val="72453989"/>
    <w:rsid w:val="7247717D"/>
    <w:rsid w:val="72543B2A"/>
    <w:rsid w:val="729926C8"/>
    <w:rsid w:val="72DB607B"/>
    <w:rsid w:val="72FE4265"/>
    <w:rsid w:val="73096F4B"/>
    <w:rsid w:val="73131A58"/>
    <w:rsid w:val="73142D5D"/>
    <w:rsid w:val="7317045F"/>
    <w:rsid w:val="732D5E85"/>
    <w:rsid w:val="733D42E3"/>
    <w:rsid w:val="734E1AC2"/>
    <w:rsid w:val="737230F7"/>
    <w:rsid w:val="73854316"/>
    <w:rsid w:val="73950D2D"/>
    <w:rsid w:val="73A57DF9"/>
    <w:rsid w:val="73A744CA"/>
    <w:rsid w:val="73C93B06"/>
    <w:rsid w:val="73CC19D5"/>
    <w:rsid w:val="74126445"/>
    <w:rsid w:val="741A7D2C"/>
    <w:rsid w:val="742E34AA"/>
    <w:rsid w:val="74373A1A"/>
    <w:rsid w:val="74486D25"/>
    <w:rsid w:val="746016FA"/>
    <w:rsid w:val="74694588"/>
    <w:rsid w:val="746C550D"/>
    <w:rsid w:val="74964153"/>
    <w:rsid w:val="74AF2AFE"/>
    <w:rsid w:val="74B54A08"/>
    <w:rsid w:val="74B9560C"/>
    <w:rsid w:val="74CA7B0B"/>
    <w:rsid w:val="74CB0DAA"/>
    <w:rsid w:val="74DA5B41"/>
    <w:rsid w:val="74E146D2"/>
    <w:rsid w:val="74F86B15"/>
    <w:rsid w:val="750B5416"/>
    <w:rsid w:val="75293BF3"/>
    <w:rsid w:val="752E55CB"/>
    <w:rsid w:val="753B0164"/>
    <w:rsid w:val="753C5BE5"/>
    <w:rsid w:val="754D5E80"/>
    <w:rsid w:val="756A3232"/>
    <w:rsid w:val="75745DF5"/>
    <w:rsid w:val="75876F5E"/>
    <w:rsid w:val="75895CE5"/>
    <w:rsid w:val="759901A2"/>
    <w:rsid w:val="759A5F7F"/>
    <w:rsid w:val="759F2407"/>
    <w:rsid w:val="75D02BD6"/>
    <w:rsid w:val="75D82D88"/>
    <w:rsid w:val="75E15270"/>
    <w:rsid w:val="76116EC2"/>
    <w:rsid w:val="762A1FEB"/>
    <w:rsid w:val="76325B80"/>
    <w:rsid w:val="766530C9"/>
    <w:rsid w:val="76B344CD"/>
    <w:rsid w:val="76B72ED4"/>
    <w:rsid w:val="76C07F60"/>
    <w:rsid w:val="76E3721B"/>
    <w:rsid w:val="76F00D88"/>
    <w:rsid w:val="76F529B8"/>
    <w:rsid w:val="771928DB"/>
    <w:rsid w:val="771C067A"/>
    <w:rsid w:val="772032D2"/>
    <w:rsid w:val="772A6AEC"/>
    <w:rsid w:val="772D6395"/>
    <w:rsid w:val="775871DA"/>
    <w:rsid w:val="77693C0F"/>
    <w:rsid w:val="77695CCA"/>
    <w:rsid w:val="776B03F9"/>
    <w:rsid w:val="776C5E7A"/>
    <w:rsid w:val="77785510"/>
    <w:rsid w:val="779415BD"/>
    <w:rsid w:val="779C0BC8"/>
    <w:rsid w:val="779C4C9B"/>
    <w:rsid w:val="77A43A56"/>
    <w:rsid w:val="77A46AB4"/>
    <w:rsid w:val="77C2468B"/>
    <w:rsid w:val="77F834E0"/>
    <w:rsid w:val="780A11FC"/>
    <w:rsid w:val="780B5507"/>
    <w:rsid w:val="781E6BFA"/>
    <w:rsid w:val="782C6806"/>
    <w:rsid w:val="7854684C"/>
    <w:rsid w:val="7855167B"/>
    <w:rsid w:val="788F4999"/>
    <w:rsid w:val="78A53586"/>
    <w:rsid w:val="78A92755"/>
    <w:rsid w:val="78B8009B"/>
    <w:rsid w:val="78B9366E"/>
    <w:rsid w:val="78BC17CD"/>
    <w:rsid w:val="78C5192F"/>
    <w:rsid w:val="78D366C6"/>
    <w:rsid w:val="790B20A3"/>
    <w:rsid w:val="79171739"/>
    <w:rsid w:val="79427FFF"/>
    <w:rsid w:val="79695CC0"/>
    <w:rsid w:val="796C47DC"/>
    <w:rsid w:val="797D3E85"/>
    <w:rsid w:val="799B610F"/>
    <w:rsid w:val="79DB277C"/>
    <w:rsid w:val="79DF2C7C"/>
    <w:rsid w:val="79E47779"/>
    <w:rsid w:val="79F57AA2"/>
    <w:rsid w:val="7A194129"/>
    <w:rsid w:val="7A1F66E8"/>
    <w:rsid w:val="7A361B91"/>
    <w:rsid w:val="7A4C3D34"/>
    <w:rsid w:val="7A7D4CC5"/>
    <w:rsid w:val="7A8D479E"/>
    <w:rsid w:val="7AC04CBB"/>
    <w:rsid w:val="7ACB28B6"/>
    <w:rsid w:val="7AD57A5A"/>
    <w:rsid w:val="7AD9139A"/>
    <w:rsid w:val="7AE21CA9"/>
    <w:rsid w:val="7AE67D87"/>
    <w:rsid w:val="7B484ED1"/>
    <w:rsid w:val="7B4F485C"/>
    <w:rsid w:val="7B540CE3"/>
    <w:rsid w:val="7B6E2211"/>
    <w:rsid w:val="7B8472B4"/>
    <w:rsid w:val="7B8514B2"/>
    <w:rsid w:val="7BC80470"/>
    <w:rsid w:val="7BE0484E"/>
    <w:rsid w:val="7C081A8C"/>
    <w:rsid w:val="7C0972AC"/>
    <w:rsid w:val="7C0A4F8F"/>
    <w:rsid w:val="7C0F40E4"/>
    <w:rsid w:val="7C153320"/>
    <w:rsid w:val="7C1D61AE"/>
    <w:rsid w:val="7C345209"/>
    <w:rsid w:val="7C482875"/>
    <w:rsid w:val="7C513185"/>
    <w:rsid w:val="7C5D3714"/>
    <w:rsid w:val="7C92278E"/>
    <w:rsid w:val="7C970076"/>
    <w:rsid w:val="7C9A6DFC"/>
    <w:rsid w:val="7CA071AB"/>
    <w:rsid w:val="7CD32459"/>
    <w:rsid w:val="7CD94362"/>
    <w:rsid w:val="7CDE07EA"/>
    <w:rsid w:val="7CF22D0E"/>
    <w:rsid w:val="7D0C0035"/>
    <w:rsid w:val="7D0D1339"/>
    <w:rsid w:val="7D3F758A"/>
    <w:rsid w:val="7D4D3494"/>
    <w:rsid w:val="7D9E7791"/>
    <w:rsid w:val="7DA22244"/>
    <w:rsid w:val="7DBC28DE"/>
    <w:rsid w:val="7DC50AE8"/>
    <w:rsid w:val="7DCE3976"/>
    <w:rsid w:val="7DFB0564"/>
    <w:rsid w:val="7E0B59D9"/>
    <w:rsid w:val="7E0C07E5"/>
    <w:rsid w:val="7E1178E2"/>
    <w:rsid w:val="7E1A2770"/>
    <w:rsid w:val="7E4C3A0F"/>
    <w:rsid w:val="7E4C3A98"/>
    <w:rsid w:val="7E4C4244"/>
    <w:rsid w:val="7E4F51C9"/>
    <w:rsid w:val="7E9E07CB"/>
    <w:rsid w:val="7EAB7AE1"/>
    <w:rsid w:val="7EAD2FE4"/>
    <w:rsid w:val="7EDD5D31"/>
    <w:rsid w:val="7F157856"/>
    <w:rsid w:val="7F1A61C1"/>
    <w:rsid w:val="7F23352A"/>
    <w:rsid w:val="7F6C689A"/>
    <w:rsid w:val="7F7207A3"/>
    <w:rsid w:val="7F7D33DC"/>
    <w:rsid w:val="7F8242C1"/>
    <w:rsid w:val="7F843F41"/>
    <w:rsid w:val="7FA06BEF"/>
    <w:rsid w:val="7FAA1790"/>
    <w:rsid w:val="7FAB1C02"/>
    <w:rsid w:val="7FBA7C9E"/>
    <w:rsid w:val="7FBB09CD"/>
    <w:rsid w:val="7FBD539F"/>
    <w:rsid w:val="7FC13DA6"/>
    <w:rsid w:val="7FC4346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4"/>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4"/>
    <w:basedOn w:val="1"/>
    <w:next w:val="1"/>
    <w:unhideWhenUsed/>
    <w:qFormat/>
    <w:uiPriority w:val="9"/>
    <w:pPr>
      <w:keepNext/>
      <w:keepLines/>
      <w:spacing w:before="280" w:after="290" w:line="372" w:lineRule="auto"/>
      <w:outlineLvl w:val="3"/>
    </w:pPr>
    <w:rPr>
      <w:rFonts w:ascii="Arial" w:hAnsi="Arial" w:eastAsia="黑体"/>
      <w:b/>
      <w:sz w:val="28"/>
    </w:rPr>
  </w:style>
  <w:style w:type="paragraph" w:styleId="6">
    <w:name w:val="heading 5"/>
    <w:basedOn w:val="1"/>
    <w:next w:val="1"/>
    <w:link w:val="51"/>
    <w:semiHidden/>
    <w:unhideWhenUsed/>
    <w:qFormat/>
    <w:uiPriority w:val="9"/>
    <w:pPr>
      <w:keepNext/>
      <w:keepLines/>
      <w:spacing w:before="280" w:after="290" w:line="376" w:lineRule="auto"/>
      <w:outlineLvl w:val="4"/>
    </w:pPr>
    <w:rPr>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1"/>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8">
    <w:name w:val="Document Map"/>
    <w:basedOn w:val="1"/>
    <w:link w:val="40"/>
    <w:semiHidden/>
    <w:unhideWhenUsed/>
    <w:qFormat/>
    <w:uiPriority w:val="99"/>
    <w:rPr>
      <w:rFonts w:ascii="宋体"/>
      <w:sz w:val="18"/>
      <w:szCs w:val="18"/>
    </w:rPr>
  </w:style>
  <w:style w:type="paragraph" w:styleId="9">
    <w:name w:val="annotation text"/>
    <w:basedOn w:val="1"/>
    <w:link w:val="38"/>
    <w:unhideWhenUsed/>
    <w:qFormat/>
    <w:uiPriority w:val="0"/>
    <w:pPr>
      <w:jc w:val="left"/>
    </w:pPr>
  </w:style>
  <w:style w:type="paragraph" w:styleId="10">
    <w:name w:val="List 2"/>
    <w:basedOn w:val="11"/>
    <w:qFormat/>
    <w:uiPriority w:val="0"/>
    <w:pPr>
      <w:ind w:left="851"/>
    </w:pPr>
  </w:style>
  <w:style w:type="paragraph" w:styleId="11">
    <w:name w:val="List"/>
    <w:basedOn w:val="1"/>
    <w:semiHidden/>
    <w:unhideWhenUsed/>
    <w:qFormat/>
    <w:uiPriority w:val="99"/>
    <w:pPr>
      <w:ind w:left="200" w:hanging="200" w:hangingChars="200"/>
      <w:contextualSpacing/>
    </w:pPr>
  </w:style>
  <w:style w:type="paragraph" w:styleId="12">
    <w:name w:val="Balloon Text"/>
    <w:basedOn w:val="1"/>
    <w:link w:val="36"/>
    <w:semiHidden/>
    <w:unhideWhenUsed/>
    <w:qFormat/>
    <w:uiPriority w:val="99"/>
    <w:rPr>
      <w:sz w:val="18"/>
      <w:szCs w:val="18"/>
    </w:rPr>
  </w:style>
  <w:style w:type="paragraph" w:styleId="13">
    <w:name w:val="footer"/>
    <w:basedOn w:val="1"/>
    <w:link w:val="23"/>
    <w:unhideWhenUsed/>
    <w:qFormat/>
    <w:uiPriority w:val="99"/>
    <w:pPr>
      <w:tabs>
        <w:tab w:val="center" w:pos="4153"/>
        <w:tab w:val="right" w:pos="8306"/>
      </w:tabs>
      <w:snapToGrid w:val="0"/>
      <w:jc w:val="left"/>
    </w:pPr>
    <w:rPr>
      <w:sz w:val="18"/>
      <w:szCs w:val="18"/>
    </w:rPr>
  </w:style>
  <w:style w:type="paragraph" w:styleId="1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9"/>
    <w:next w:val="9"/>
    <w:link w:val="39"/>
    <w:semiHidden/>
    <w:unhideWhenUsed/>
    <w:qFormat/>
    <w:uiPriority w:val="99"/>
    <w:rPr>
      <w:b/>
      <w:bCs/>
    </w:rPr>
  </w:style>
  <w:style w:type="table" w:styleId="18">
    <w:name w:val="Table Grid"/>
    <w:basedOn w:val="17"/>
    <w:qFormat/>
    <w:uiPriority w:val="0"/>
    <w:pPr>
      <w:spacing w:before="120" w:line="280" w:lineRule="atLeast"/>
      <w:jc w:val="both"/>
    </w:pPr>
    <w:rPr>
      <w:rFonts w:ascii="New York" w:hAnsi="New York"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000FF"/>
      <w:u w:val="single"/>
    </w:rPr>
  </w:style>
  <w:style w:type="character" w:styleId="21">
    <w:name w:val="annotation reference"/>
    <w:basedOn w:val="19"/>
    <w:unhideWhenUsed/>
    <w:qFormat/>
    <w:uiPriority w:val="99"/>
    <w:rPr>
      <w:sz w:val="21"/>
      <w:szCs w:val="21"/>
    </w:rPr>
  </w:style>
  <w:style w:type="character" w:customStyle="1" w:styleId="22">
    <w:name w:val="页眉 字符"/>
    <w:basedOn w:val="19"/>
    <w:link w:val="14"/>
    <w:qFormat/>
    <w:uiPriority w:val="99"/>
    <w:rPr>
      <w:sz w:val="18"/>
      <w:szCs w:val="18"/>
    </w:rPr>
  </w:style>
  <w:style w:type="character" w:customStyle="1" w:styleId="23">
    <w:name w:val="页脚 字符"/>
    <w:basedOn w:val="19"/>
    <w:link w:val="13"/>
    <w:qFormat/>
    <w:uiPriority w:val="99"/>
    <w:rPr>
      <w:sz w:val="18"/>
      <w:szCs w:val="18"/>
    </w:rPr>
  </w:style>
  <w:style w:type="character" w:customStyle="1" w:styleId="24">
    <w:name w:val="Char Char"/>
    <w:link w:val="25"/>
    <w:qFormat/>
    <w:uiPriority w:val="0"/>
    <w:rPr>
      <w:rFonts w:ascii="Arial" w:hAnsi="Arial"/>
      <w:sz w:val="32"/>
      <w:szCs w:val="36"/>
    </w:rPr>
  </w:style>
  <w:style w:type="paragraph" w:customStyle="1" w:styleId="25">
    <w:name w:val="Char"/>
    <w:basedOn w:val="26"/>
    <w:link w:val="24"/>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6">
    <w:name w:val="List Paragraph"/>
    <w:basedOn w:val="1"/>
    <w:link w:val="42"/>
    <w:qFormat/>
    <w:uiPriority w:val="34"/>
    <w:pPr>
      <w:ind w:firstLine="420" w:firstLineChars="200"/>
    </w:pPr>
  </w:style>
  <w:style w:type="character" w:customStyle="1" w:styleId="27">
    <w:name w:val="TAH Car"/>
    <w:link w:val="28"/>
    <w:qFormat/>
    <w:uiPriority w:val="0"/>
    <w:rPr>
      <w:rFonts w:ascii="Arial" w:hAnsi="Arial" w:eastAsia="Times New Roman" w:cs="Times New Roman"/>
      <w:b/>
      <w:kern w:val="0"/>
      <w:sz w:val="18"/>
      <w:szCs w:val="20"/>
      <w:lang w:val="en-GB" w:eastAsia="ja-JP"/>
    </w:rPr>
  </w:style>
  <w:style w:type="paragraph" w:customStyle="1" w:styleId="28">
    <w:name w:val="TAH"/>
    <w:basedOn w:val="29"/>
    <w:link w:val="27"/>
    <w:qFormat/>
    <w:uiPriority w:val="0"/>
    <w:rPr>
      <w:b/>
    </w:rPr>
  </w:style>
  <w:style w:type="paragraph" w:customStyle="1" w:styleId="29">
    <w:name w:val="TAC"/>
    <w:basedOn w:val="30"/>
    <w:link w:val="33"/>
    <w:qFormat/>
    <w:uiPriority w:val="0"/>
    <w:pPr>
      <w:overflowPunct w:val="0"/>
      <w:autoSpaceDE w:val="0"/>
      <w:autoSpaceDN w:val="0"/>
      <w:adjustRightInd w:val="0"/>
      <w:jc w:val="center"/>
      <w:textAlignment w:val="baseline"/>
    </w:pPr>
    <w:rPr>
      <w:lang w:eastAsia="ja-JP"/>
    </w:rPr>
  </w:style>
  <w:style w:type="paragraph" w:customStyle="1" w:styleId="30">
    <w:name w:val="TAL"/>
    <w:basedOn w:val="1"/>
    <w:link w:val="37"/>
    <w:qFormat/>
    <w:uiPriority w:val="0"/>
    <w:pPr>
      <w:keepNext/>
      <w:keepLines/>
      <w:widowControl/>
      <w:jc w:val="left"/>
    </w:pPr>
    <w:rPr>
      <w:rFonts w:ascii="Arial" w:hAnsi="Arial" w:eastAsia="Times New Roman"/>
      <w:kern w:val="0"/>
      <w:sz w:val="18"/>
      <w:szCs w:val="20"/>
      <w:lang w:val="en-GB" w:eastAsia="en-US"/>
    </w:rPr>
  </w:style>
  <w:style w:type="character" w:customStyle="1" w:styleId="31">
    <w:name w:val="B1 Char"/>
    <w:link w:val="32"/>
    <w:qFormat/>
    <w:uiPriority w:val="0"/>
    <w:rPr>
      <w:rFonts w:ascii="Times New Roman" w:hAnsi="Times New Roman" w:eastAsia="MS Mincho"/>
      <w:lang w:val="en-GB" w:eastAsia="de-DE"/>
    </w:rPr>
  </w:style>
  <w:style w:type="paragraph" w:customStyle="1" w:styleId="32">
    <w:name w:val="B1"/>
    <w:basedOn w:val="11"/>
    <w:link w:val="31"/>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3">
    <w:name w:val="TAC Char"/>
    <w:link w:val="29"/>
    <w:qFormat/>
    <w:uiPriority w:val="0"/>
    <w:rPr>
      <w:rFonts w:ascii="Arial" w:hAnsi="Arial" w:eastAsia="Times New Roman" w:cs="Times New Roman"/>
      <w:kern w:val="0"/>
      <w:sz w:val="18"/>
      <w:szCs w:val="20"/>
      <w:lang w:val="en-GB" w:eastAsia="ja-JP"/>
    </w:rPr>
  </w:style>
  <w:style w:type="paragraph" w:styleId="34">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5">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6">
    <w:name w:val="批注框文本 字符"/>
    <w:basedOn w:val="19"/>
    <w:link w:val="12"/>
    <w:semiHidden/>
    <w:qFormat/>
    <w:uiPriority w:val="99"/>
    <w:rPr>
      <w:rFonts w:ascii="CG Times (WN)" w:hAnsi="CG Times (WN)" w:eastAsia="宋体" w:cs="Times New Roman"/>
      <w:sz w:val="18"/>
      <w:szCs w:val="18"/>
    </w:rPr>
  </w:style>
  <w:style w:type="character" w:customStyle="1" w:styleId="37">
    <w:name w:val="TAL Char"/>
    <w:link w:val="30"/>
    <w:qFormat/>
    <w:uiPriority w:val="0"/>
    <w:rPr>
      <w:rFonts w:ascii="Arial" w:hAnsi="Arial" w:eastAsia="Times New Roman" w:cs="Times New Roman"/>
      <w:kern w:val="0"/>
      <w:sz w:val="18"/>
      <w:szCs w:val="20"/>
      <w:lang w:val="en-GB" w:eastAsia="en-US"/>
    </w:rPr>
  </w:style>
  <w:style w:type="character" w:customStyle="1" w:styleId="38">
    <w:name w:val="批注文字 字符"/>
    <w:basedOn w:val="19"/>
    <w:link w:val="9"/>
    <w:qFormat/>
    <w:uiPriority w:val="0"/>
    <w:rPr>
      <w:rFonts w:ascii="CG Times (WN)" w:hAnsi="CG Times (WN)" w:eastAsia="宋体" w:cs="Times New Roman"/>
    </w:rPr>
  </w:style>
  <w:style w:type="character" w:customStyle="1" w:styleId="39">
    <w:name w:val="批注主题 字符"/>
    <w:basedOn w:val="38"/>
    <w:link w:val="16"/>
    <w:semiHidden/>
    <w:qFormat/>
    <w:uiPriority w:val="99"/>
    <w:rPr>
      <w:rFonts w:ascii="CG Times (WN)" w:hAnsi="CG Times (WN)" w:eastAsia="宋体" w:cs="Times New Roman"/>
      <w:b/>
      <w:bCs/>
    </w:rPr>
  </w:style>
  <w:style w:type="character" w:customStyle="1" w:styleId="40">
    <w:name w:val="文档结构图 字符"/>
    <w:basedOn w:val="19"/>
    <w:link w:val="8"/>
    <w:semiHidden/>
    <w:qFormat/>
    <w:uiPriority w:val="99"/>
    <w:rPr>
      <w:rFonts w:ascii="宋体" w:hAnsi="CG Times (WN)" w:eastAsia="宋体" w:cs="Times New Roman"/>
      <w:sz w:val="18"/>
      <w:szCs w:val="18"/>
    </w:rPr>
  </w:style>
  <w:style w:type="character" w:customStyle="1" w:styleId="41">
    <w:name w:val="题注 字符"/>
    <w:link w:val="7"/>
    <w:qFormat/>
    <w:uiPriority w:val="35"/>
    <w:rPr>
      <w:rFonts w:ascii="Times New Roman" w:hAnsi="Times New Roman" w:eastAsia="MS Mincho" w:cs="Times New Roman"/>
      <w:b/>
      <w:kern w:val="0"/>
      <w:sz w:val="20"/>
      <w:szCs w:val="20"/>
      <w:lang w:val="en-GB" w:eastAsia="en-US"/>
    </w:rPr>
  </w:style>
  <w:style w:type="character" w:customStyle="1" w:styleId="42">
    <w:name w:val="列表段落 字符"/>
    <w:link w:val="26"/>
    <w:qFormat/>
    <w:uiPriority w:val="34"/>
    <w:rPr>
      <w:rFonts w:ascii="CG Times (WN)" w:hAnsi="CG Times (WN)" w:eastAsia="宋体" w:cs="Times New Roma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4">
    <w:name w:val="标题 2 字符"/>
    <w:basedOn w:val="19"/>
    <w:link w:val="3"/>
    <w:qFormat/>
    <w:uiPriority w:val="9"/>
    <w:rPr>
      <w:rFonts w:asciiTheme="majorHAnsi" w:hAnsiTheme="majorHAnsi" w:eastAsiaTheme="majorEastAsia" w:cstheme="majorBidi"/>
      <w:b/>
      <w:bCs/>
      <w:sz w:val="32"/>
      <w:szCs w:val="32"/>
    </w:rPr>
  </w:style>
  <w:style w:type="table" w:customStyle="1" w:styleId="45">
    <w:name w:val="网格型1"/>
    <w:basedOn w:val="17"/>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
    <w:name w:val="网格型2"/>
    <w:basedOn w:val="17"/>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标题 3 字符"/>
    <w:basedOn w:val="19"/>
    <w:link w:val="4"/>
    <w:qFormat/>
    <w:uiPriority w:val="9"/>
    <w:rPr>
      <w:rFonts w:ascii="Arial" w:hAnsi="Arial" w:eastAsia="Arial Unicode MS" w:cs="Times New Roman"/>
      <w:bCs/>
      <w:sz w:val="30"/>
      <w:szCs w:val="32"/>
    </w:rPr>
  </w:style>
  <w:style w:type="table" w:customStyle="1" w:styleId="48">
    <w:name w:val="网格型3"/>
    <w:basedOn w:val="17"/>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laceholder Text"/>
    <w:basedOn w:val="19"/>
    <w:semiHidden/>
    <w:qFormat/>
    <w:uiPriority w:val="99"/>
    <w:rPr>
      <w:color w:val="808080"/>
    </w:rPr>
  </w:style>
  <w:style w:type="table" w:customStyle="1" w:styleId="50">
    <w:name w:val="Table Grid1"/>
    <w:basedOn w:val="17"/>
    <w:qFormat/>
    <w:uiPriority w:val="0"/>
    <w:pPr>
      <w:spacing w:before="120" w:line="280" w:lineRule="atLeast"/>
      <w:jc w:val="both"/>
    </w:pPr>
    <w:rPr>
      <w:rFonts w:ascii="New York" w:hAnsi="New York"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标题 5 字符"/>
    <w:basedOn w:val="19"/>
    <w:link w:val="6"/>
    <w:semiHidden/>
    <w:qFormat/>
    <w:uiPriority w:val="9"/>
    <w:rPr>
      <w:rFonts w:ascii="CG Times (WN)" w:hAnsi="CG Times (WN)" w:eastAsia="宋体" w:cs="Times New Roman"/>
      <w:b/>
      <w:bCs/>
      <w:sz w:val="28"/>
      <w:szCs w:val="28"/>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EQ"/>
    <w:basedOn w:val="1"/>
    <w:next w:val="1"/>
    <w:qFormat/>
    <w:uiPriority w:val="0"/>
    <w:pPr>
      <w:keepLines/>
      <w:tabs>
        <w:tab w:val="center" w:pos="4536"/>
        <w:tab w:val="right" w:pos="9072"/>
      </w:tabs>
    </w:pPr>
  </w:style>
  <w:style w:type="paragraph" w:customStyle="1" w:styleId="54">
    <w:name w:val="B2"/>
    <w:basedOn w:val="10"/>
    <w:qFormat/>
    <w:uiPriority w:val="0"/>
  </w:style>
  <w:style w:type="paragraph" w:customStyle="1" w:styleId="55">
    <w:name w:val="TAN"/>
    <w:basedOn w:val="30"/>
    <w:qFormat/>
    <w:uiPriority w:val="0"/>
    <w:pPr>
      <w:ind w:left="851" w:hanging="851"/>
    </w:pPr>
  </w:style>
  <w:style w:type="character" w:customStyle="1" w:styleId="56">
    <w:name w:val="B1 Char1"/>
    <w:qFormat/>
    <w:uiPriority w:val="0"/>
    <w:rPr>
      <w:rFonts w:eastAsia="Times New Roman"/>
    </w:rPr>
  </w:style>
  <w:style w:type="paragraph" w:customStyle="1" w:styleId="57">
    <w:name w:val="enumlev1"/>
    <w:basedOn w:val="1"/>
    <w:qFormat/>
    <w:uiPriority w:val="0"/>
    <w:pPr>
      <w:tabs>
        <w:tab w:val="left" w:pos="1134"/>
        <w:tab w:val="left" w:pos="1871"/>
        <w:tab w:val="left" w:pos="2608"/>
        <w:tab w:val="left" w:pos="3345"/>
      </w:tabs>
      <w:spacing w:before="80"/>
      <w:ind w:left="1134" w:hanging="1134"/>
    </w:pPr>
  </w:style>
  <w:style w:type="paragraph" w:customStyle="1" w:styleId="58">
    <w:name w:val="Table_title"/>
    <w:basedOn w:val="1"/>
    <w:next w:val="5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60">
    <w:name w:val="enumlev2"/>
    <w:basedOn w:val="57"/>
    <w:qFormat/>
    <w:uiPriority w:val="99"/>
    <w:pPr>
      <w:ind w:left="1871" w:hanging="737"/>
    </w:pPr>
  </w:style>
  <w:style w:type="paragraph" w:customStyle="1" w:styleId="61">
    <w:name w:val="enumlev3"/>
    <w:basedOn w:val="60"/>
    <w:qFormat/>
    <w:uiPriority w:val="0"/>
    <w:pPr>
      <w:ind w:left="2268" w:hanging="397"/>
    </w:pPr>
  </w:style>
  <w:style w:type="paragraph" w:customStyle="1" w:styleId="62">
    <w:name w:val="Revision"/>
    <w:hidden/>
    <w:unhideWhenUsed/>
    <w:qFormat/>
    <w:uiPriority w:val="99"/>
    <w:rPr>
      <w:rFonts w:ascii="CG Times (WN)" w:hAnsi="CG Times (W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microsoft.com/office/2007/relationships/hdphoto" Target="media/image4.wdp"/><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19</Pages>
  <Words>4808</Words>
  <Characters>27406</Characters>
  <Lines>228</Lines>
  <Paragraphs>64</Paragraphs>
  <TotalTime>0</TotalTime>
  <ScaleCrop>false</ScaleCrop>
  <LinksUpToDate>false</LinksUpToDate>
  <CharactersWithSpaces>32150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2024-05-13T11:15:00Z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2E140AA4BBCA4F7B9C4F9954EC98193D</vt:lpwstr>
  </property>
</Properties>
</file>