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Arial" w:hAnsi="Arial" w:eastAsia="宋体" w:cs="Arial"/>
          <w:b/>
          <w:bCs/>
          <w:sz w:val="24"/>
          <w:szCs w:val="28"/>
          <w:lang w:eastAsia="zh-CN"/>
        </w:rPr>
      </w:pPr>
      <w:r>
        <w:rPr>
          <w:rFonts w:ascii="Arial" w:hAnsi="Arial" w:eastAsia="宋体" w:cs="Arial"/>
          <w:b/>
          <w:bCs/>
          <w:sz w:val="24"/>
          <w:szCs w:val="28"/>
        </w:rPr>
        <w:t xml:space="preserve">3GPP TSG-RAN WG4 Meeting # 111   </w:t>
      </w:r>
      <w:r>
        <w:rPr>
          <w:rFonts w:hint="eastAsia" w:ascii="Arial" w:hAnsi="Arial" w:eastAsia="宋体" w:cs="Arial"/>
          <w:b/>
          <w:bCs/>
          <w:sz w:val="24"/>
          <w:szCs w:val="28"/>
          <w:lang w:val="en-US" w:eastAsia="zh-CN"/>
        </w:rPr>
        <w:tab/>
      </w:r>
      <w:r>
        <w:rPr>
          <w:rFonts w:hint="eastAsia" w:ascii="Arial" w:hAnsi="Arial" w:eastAsia="宋体" w:cs="Arial"/>
          <w:b/>
          <w:bCs/>
          <w:sz w:val="24"/>
          <w:szCs w:val="28"/>
          <w:lang w:val="en-US" w:eastAsia="zh-CN"/>
        </w:rPr>
        <w:t xml:space="preserve">                </w:t>
      </w:r>
      <w:r>
        <w:rPr>
          <w:rFonts w:hint="eastAsia" w:ascii="Arial" w:hAnsi="Arial" w:eastAsia="宋体" w:cs="Arial"/>
          <w:b/>
          <w:bCs/>
          <w:sz w:val="24"/>
          <w:szCs w:val="28"/>
        </w:rPr>
        <w:t xml:space="preserve">             </w:t>
      </w:r>
      <w:r>
        <w:rPr>
          <w:rFonts w:ascii="Arial" w:hAnsi="Arial" w:eastAsia="宋体" w:cs="Arial"/>
          <w:b/>
          <w:bCs/>
          <w:sz w:val="24"/>
          <w:szCs w:val="28"/>
        </w:rPr>
        <w:t xml:space="preserve">  </w:t>
      </w:r>
      <w:r>
        <w:rPr>
          <w:rFonts w:hint="eastAsia" w:ascii="Arial" w:hAnsi="Arial" w:eastAsia="宋体" w:cs="Arial"/>
          <w:b/>
          <w:bCs/>
          <w:sz w:val="24"/>
          <w:szCs w:val="28"/>
        </w:rPr>
        <w:t>R4-240821</w:t>
      </w:r>
      <w:r>
        <w:rPr>
          <w:rFonts w:hint="eastAsia" w:ascii="Arial" w:hAnsi="Arial" w:eastAsia="宋体" w:cs="Arial"/>
          <w:b/>
          <w:bCs/>
          <w:sz w:val="24"/>
          <w:szCs w:val="28"/>
          <w:lang w:val="en-US" w:eastAsia="zh-CN"/>
        </w:rPr>
        <w:t>7</w:t>
      </w:r>
      <w:bookmarkStart w:id="0" w:name="_GoBack"/>
      <w:bookmarkEnd w:id="0"/>
    </w:p>
    <w:p>
      <w:pPr>
        <w:rPr>
          <w:rFonts w:ascii="Arial" w:hAnsi="Arial" w:eastAsia="宋体" w:cs="Arial"/>
          <w:b/>
          <w:bCs/>
          <w:sz w:val="24"/>
          <w:szCs w:val="28"/>
        </w:rPr>
      </w:pPr>
      <w:r>
        <w:rPr>
          <w:rFonts w:ascii="Arial" w:hAnsi="Arial" w:eastAsia="宋体" w:cs="Arial"/>
          <w:b/>
          <w:bCs/>
          <w:sz w:val="24"/>
          <w:szCs w:val="28"/>
        </w:rPr>
        <w:t>Fukuoka, Japan, 20 May – 24 May, 2024</w:t>
      </w:r>
    </w:p>
    <w:p>
      <w:pPr>
        <w:rPr>
          <w:rFonts w:ascii="Arial" w:hAnsi="Arial" w:cs="Arial"/>
          <w:b/>
          <w:bCs/>
          <w:sz w:val="24"/>
          <w:szCs w:val="28"/>
        </w:rPr>
      </w:pP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rPr>
        <w:t>10.13.3.1</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A-IoT BS RF requirements</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pPr>
        <w:spacing w:after="180"/>
        <w:rPr>
          <w:rFonts w:ascii="Times New Roman" w:hAnsi="Times New Roman"/>
          <w:sz w:val="20"/>
        </w:rPr>
      </w:pPr>
      <w:r>
        <w:rPr>
          <w:rFonts w:hint="eastAsia" w:ascii="Times New Roman" w:hAnsi="Times New Roman"/>
          <w:sz w:val="20"/>
        </w:rPr>
        <w:t>In RAN plenary #102 meeting, a new SID[1] of A-IoT is approved with following RAN4 lead RF part objectives:</w:t>
      </w:r>
    </w:p>
    <w:p>
      <w:pPr>
        <w:numPr>
          <w:ilvl w:val="0"/>
          <w:numId w:val="1"/>
        </w:numPr>
        <w:spacing w:after="180"/>
        <w:rPr>
          <w:rFonts w:ascii="Times New Roman" w:hAnsi="Times New Roman"/>
          <w:sz w:val="20"/>
        </w:rPr>
      </w:pPr>
      <w:r>
        <w:rPr>
          <w:rFonts w:hint="eastAsia" w:ascii="Times New Roman" w:hAnsi="Times New Roman"/>
          <w:sz w:val="20"/>
        </w:rPr>
        <w:t>Coexistence study of Ambient IoT and NR/LTE.</w:t>
      </w:r>
    </w:p>
    <w:p>
      <w:pPr>
        <w:numPr>
          <w:ilvl w:val="0"/>
          <w:numId w:val="1"/>
        </w:numPr>
        <w:spacing w:after="180"/>
        <w:rPr>
          <w:rFonts w:ascii="Times New Roman" w:hAnsi="Times New Roman"/>
          <w:sz w:val="20"/>
        </w:rPr>
      </w:pPr>
      <w:r>
        <w:rPr>
          <w:rFonts w:hint="eastAsia" w:ascii="Times New Roman" w:hAnsi="Times New Roman"/>
          <w:sz w:val="20"/>
        </w:rPr>
        <w:t>RF requirements study for Ambient IoT:</w:t>
      </w:r>
    </w:p>
    <w:p>
      <w:pPr>
        <w:numPr>
          <w:ilvl w:val="1"/>
          <w:numId w:val="1"/>
        </w:numPr>
        <w:spacing w:after="180"/>
        <w:rPr>
          <w:rFonts w:ascii="Times New Roman" w:hAnsi="Times New Roman"/>
          <w:sz w:val="20"/>
        </w:rPr>
      </w:pPr>
      <w:r>
        <w:rPr>
          <w:rFonts w:hint="eastAsia" w:ascii="Times New Roman" w:hAnsi="Times New Roman"/>
          <w:sz w:val="20"/>
        </w:rPr>
        <w:t>Ambient IoT BS transmission and reception</w:t>
      </w:r>
    </w:p>
    <w:p>
      <w:pPr>
        <w:numPr>
          <w:ilvl w:val="1"/>
          <w:numId w:val="1"/>
        </w:numPr>
        <w:spacing w:after="180"/>
        <w:rPr>
          <w:rFonts w:ascii="Times New Roman" w:hAnsi="Times New Roman"/>
          <w:sz w:val="20"/>
        </w:rPr>
      </w:pPr>
      <w:r>
        <w:rPr>
          <w:rFonts w:hint="eastAsia" w:ascii="Times New Roman" w:hAnsi="Times New Roman"/>
          <w:sz w:val="20"/>
        </w:rPr>
        <w:t>Ambient IoT Device, as per the General Scope, transmission and reception</w:t>
      </w:r>
    </w:p>
    <w:p>
      <w:pPr>
        <w:numPr>
          <w:ilvl w:val="1"/>
          <w:numId w:val="1"/>
        </w:numPr>
        <w:spacing w:after="180"/>
        <w:rPr>
          <w:rFonts w:ascii="Times New Roman" w:hAnsi="Times New Roman"/>
          <w:sz w:val="20"/>
        </w:rPr>
      </w:pPr>
      <w:r>
        <w:rPr>
          <w:rFonts w:hint="eastAsia" w:ascii="Times New Roman" w:hAnsi="Times New Roman"/>
          <w:sz w:val="20"/>
        </w:rPr>
        <w:t>Intermediate node (UE), as per the General Scope, transmission and reception</w:t>
      </w:r>
    </w:p>
    <w:p>
      <w:pPr>
        <w:spacing w:before="156" w:beforeLines="50"/>
        <w:rPr>
          <w:rFonts w:ascii="Times New Roman" w:hAnsi="Times New Roman"/>
          <w:sz w:val="20"/>
        </w:rPr>
      </w:pPr>
      <w:r>
        <w:rPr>
          <w:rFonts w:hint="eastAsia" w:ascii="Times New Roman" w:hAnsi="Times New Roman"/>
          <w:bCs/>
          <w:sz w:val="20"/>
          <w:szCs w:val="20"/>
        </w:rPr>
        <w:t xml:space="preserve">This is the first meeting of RF requirements discussion, following we list our analysis for A-IoT reader and CW nodes for topology 1. </w:t>
      </w:r>
    </w:p>
    <w:p>
      <w:pPr>
        <w:keepNext/>
        <w:keepLines/>
        <w:widowControl/>
        <w:numPr>
          <w:ilvl w:val="0"/>
          <w:numId w:val="2"/>
        </w:numPr>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hint="eastAsia" w:ascii="Arial" w:hAnsi="Arial" w:eastAsiaTheme="minorEastAsia" w:cstheme="minorBidi"/>
          <w:sz w:val="32"/>
          <w:szCs w:val="36"/>
        </w:rPr>
        <w:t>Discussion</w:t>
      </w:r>
    </w:p>
    <w:p>
      <w:pPr>
        <w:pStyle w:val="4"/>
        <w:spacing w:before="156" w:after="156"/>
      </w:pPr>
      <w:r>
        <w:rPr>
          <w:rFonts w:hint="eastAsia"/>
        </w:rPr>
        <w:t>2.1 RF energy harvesting</w:t>
      </w:r>
    </w:p>
    <w:p>
      <w:pPr>
        <w:spacing w:after="180"/>
        <w:jc w:val="left"/>
        <w:rPr>
          <w:rFonts w:ascii="Times New Roman" w:hAnsi="Times New Roman"/>
          <w:sz w:val="20"/>
          <w:szCs w:val="20"/>
        </w:rPr>
      </w:pPr>
      <w:r>
        <w:rPr>
          <w:rFonts w:hint="eastAsia" w:ascii="Times New Roman" w:hAnsi="Times New Roman"/>
          <w:sz w:val="20"/>
          <w:szCs w:val="20"/>
        </w:rPr>
        <w:t xml:space="preserve">In last meeting, some companies show the proposal that energy harvesting may have impact for RAN4, e.g. EH sensitivity can be studied in work item phase. </w:t>
      </w:r>
      <w:r>
        <w:rPr>
          <w:rFonts w:ascii="Times New Roman" w:hAnsi="Times New Roman"/>
          <w:sz w:val="20"/>
          <w:szCs w:val="20"/>
        </w:rPr>
        <w:t>According to the following RAN plenary agreement in RAN#103 below, the EH is out of SI scope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after="180" w:line="280" w:lineRule="atLeast"/>
              <w:jc w:val="left"/>
              <w:rPr>
                <w:rFonts w:ascii="Times New Roman" w:hAnsi="Times New Roman"/>
                <w:sz w:val="20"/>
                <w:szCs w:val="20"/>
                <w:lang w:val="en-GB" w:eastAsia="en-GB"/>
              </w:rPr>
            </w:pPr>
            <w:r>
              <w:rPr>
                <w:rFonts w:ascii="Times New Roman" w:hAnsi="Times New Roman"/>
                <w:sz w:val="20"/>
                <w:szCs w:val="20"/>
                <w:lang w:val="en-GB" w:eastAsia="en-GB"/>
              </w:rPr>
              <w:t>Confirm that study of design of energy harvesting signal/waveform is out of SI scope in Rel-19</w:t>
            </w:r>
          </w:p>
        </w:tc>
      </w:tr>
    </w:tbl>
    <w:p>
      <w:pPr>
        <w:spacing w:after="180"/>
        <w:jc w:val="left"/>
        <w:rPr>
          <w:rFonts w:ascii="Times New Roman" w:hAnsi="Times New Roman"/>
          <w:sz w:val="20"/>
          <w:szCs w:val="20"/>
        </w:rPr>
      </w:pPr>
      <w:r>
        <w:rPr>
          <w:rFonts w:ascii="Times New Roman" w:hAnsi="Times New Roman"/>
          <w:sz w:val="20"/>
          <w:szCs w:val="20"/>
        </w:rPr>
        <w:t xml:space="preserve">It </w:t>
      </w:r>
      <w:r>
        <w:rPr>
          <w:rFonts w:hint="eastAsia" w:ascii="Times New Roman" w:hAnsi="Times New Roman"/>
          <w:sz w:val="20"/>
          <w:szCs w:val="20"/>
        </w:rPr>
        <w:t>is suggested to make confirm</w:t>
      </w:r>
      <w:r>
        <w:rPr>
          <w:rFonts w:ascii="Times New Roman" w:hAnsi="Times New Roman"/>
          <w:sz w:val="20"/>
          <w:szCs w:val="20"/>
        </w:rPr>
        <w:t xml:space="preserve"> that RF energy sources or energy harvesting of the tag are not in scope of the study.  </w:t>
      </w:r>
    </w:p>
    <w:p>
      <w:pPr>
        <w:rPr>
          <w:b/>
          <w:bCs/>
        </w:rPr>
      </w:pPr>
      <w:r>
        <w:rPr>
          <w:rFonts w:hint="eastAsia" w:ascii="Times New Roman" w:hAnsi="Times New Roman"/>
          <w:b/>
          <w:bCs/>
          <w:sz w:val="20"/>
          <w:szCs w:val="20"/>
        </w:rPr>
        <w:t xml:space="preserve">Observation 1: </w:t>
      </w:r>
      <w:r>
        <w:rPr>
          <w:rFonts w:ascii="Times New Roman" w:hAnsi="Times New Roman"/>
          <w:b/>
          <w:bCs/>
          <w:sz w:val="20"/>
          <w:szCs w:val="20"/>
        </w:rPr>
        <w:t>RF energy sources or energy harvesting of the tag are not in scope of the study.</w:t>
      </w:r>
    </w:p>
    <w:p>
      <w:pPr>
        <w:pStyle w:val="4"/>
        <w:spacing w:before="156" w:after="156"/>
      </w:pPr>
      <w:r>
        <w:rPr>
          <w:rFonts w:hint="eastAsia"/>
        </w:rPr>
        <w:t>2.2 A-IoT reader for topology 1</w:t>
      </w:r>
    </w:p>
    <w:p>
      <w:pPr>
        <w:numPr>
          <w:ilvl w:val="0"/>
          <w:numId w:val="3"/>
        </w:numPr>
        <w:spacing w:after="180"/>
        <w:jc w:val="left"/>
        <w:rPr>
          <w:rFonts w:ascii="Times New Roman" w:hAnsi="Times New Roman"/>
          <w:sz w:val="20"/>
          <w:szCs w:val="20"/>
        </w:rPr>
      </w:pPr>
      <w:r>
        <w:rPr>
          <w:rFonts w:hint="eastAsia" w:ascii="Times New Roman" w:hAnsi="Times New Roman"/>
          <w:sz w:val="20"/>
          <w:szCs w:val="20"/>
        </w:rPr>
        <w:t>Operation mode</w:t>
      </w:r>
    </w:p>
    <w:p>
      <w:pPr>
        <w:spacing w:after="180"/>
        <w:jc w:val="left"/>
        <w:rPr>
          <w:rFonts w:ascii="Times New Roman" w:hAnsi="Times New Roman"/>
          <w:sz w:val="20"/>
          <w:szCs w:val="20"/>
        </w:rPr>
      </w:pPr>
      <w:r>
        <w:rPr>
          <w:rFonts w:hint="eastAsia" w:ascii="Times New Roman" w:hAnsi="Times New Roman"/>
          <w:sz w:val="20"/>
          <w:szCs w:val="20"/>
        </w:rPr>
        <w:t>In last meeting, during the discussion of evaluation, it is approved to prioritize the spectrum deployment mode that A-IoT is located within a NR transmission bandwidth configuration and the A-IoT operating indoors shares in-band spectrum with outdoor macro BS. But there is no conclusion of whether A-IoT gNB could share the same hardware as legacy gNB. When they share the same hardware, cost of A-IoT could be reduced especially for the co-location case but the power boosting level is limited. When they don</w:t>
      </w:r>
      <w:r>
        <w:rPr>
          <w:rFonts w:ascii="Times New Roman" w:hAnsi="Times New Roman"/>
          <w:sz w:val="20"/>
          <w:szCs w:val="20"/>
        </w:rPr>
        <w:t>’</w:t>
      </w:r>
      <w:r>
        <w:rPr>
          <w:rFonts w:hint="eastAsia" w:ascii="Times New Roman" w:hAnsi="Times New Roman"/>
          <w:sz w:val="20"/>
          <w:szCs w:val="20"/>
        </w:rPr>
        <w:t>t share the same hardware, i.e. the standalone mode as defined for NB-IoT the A-IoT gNB could transmit with higher PSD to reduce interference impact at device receiver side.</w:t>
      </w:r>
    </w:p>
    <w:p>
      <w:pPr>
        <w:spacing w:after="180"/>
        <w:jc w:val="left"/>
        <w:rPr>
          <w:rFonts w:ascii="Times New Roman" w:hAnsi="Times New Roman"/>
          <w:sz w:val="20"/>
          <w:szCs w:val="20"/>
        </w:rPr>
      </w:pPr>
      <w:r>
        <w:rPr>
          <w:rFonts w:hint="eastAsia" w:ascii="Times New Roman" w:hAnsi="Times New Roman"/>
          <w:sz w:val="20"/>
          <w:szCs w:val="20"/>
        </w:rPr>
        <w:t xml:space="preserve">RAN4 </w:t>
      </w:r>
      <w:r>
        <w:rPr>
          <w:rFonts w:ascii="Times New Roman" w:hAnsi="Times New Roman"/>
          <w:sz w:val="20"/>
          <w:szCs w:val="20"/>
        </w:rPr>
        <w:t xml:space="preserve">further discuss whether Reader </w:t>
      </w:r>
      <w:r>
        <w:rPr>
          <w:rFonts w:hint="eastAsia" w:ascii="Times New Roman" w:hAnsi="Times New Roman"/>
          <w:sz w:val="20"/>
          <w:szCs w:val="20"/>
        </w:rPr>
        <w:t>of topology 1</w:t>
      </w:r>
      <w:r>
        <w:rPr>
          <w:rFonts w:ascii="Times New Roman" w:hAnsi="Times New Roman"/>
          <w:sz w:val="20"/>
          <w:szCs w:val="20"/>
        </w:rPr>
        <w:t xml:space="preserve"> and existing gNB </w:t>
      </w:r>
      <w:r>
        <w:rPr>
          <w:rFonts w:hint="eastAsia" w:ascii="Times New Roman" w:hAnsi="Times New Roman"/>
          <w:sz w:val="20"/>
          <w:szCs w:val="20"/>
        </w:rPr>
        <w:t>could</w:t>
      </w:r>
      <w:r>
        <w:rPr>
          <w:rFonts w:ascii="Times New Roman" w:hAnsi="Times New Roman"/>
          <w:sz w:val="20"/>
          <w:szCs w:val="20"/>
        </w:rPr>
        <w:t xml:space="preserve"> share </w:t>
      </w:r>
      <w:r>
        <w:rPr>
          <w:rFonts w:hint="eastAsia" w:ascii="Times New Roman" w:hAnsi="Times New Roman"/>
          <w:sz w:val="20"/>
          <w:szCs w:val="20"/>
        </w:rPr>
        <w:t xml:space="preserve">the </w:t>
      </w:r>
      <w:r>
        <w:rPr>
          <w:rFonts w:ascii="Times New Roman" w:hAnsi="Times New Roman"/>
          <w:sz w:val="20"/>
          <w:szCs w:val="20"/>
        </w:rPr>
        <w:t xml:space="preserve">same hardware or not. </w:t>
      </w:r>
    </w:p>
    <w:p>
      <w:pPr>
        <w:numPr>
          <w:ilvl w:val="0"/>
          <w:numId w:val="4"/>
        </w:numPr>
        <w:spacing w:after="180"/>
        <w:jc w:val="left"/>
        <w:rPr>
          <w:rFonts w:ascii="Times New Roman" w:hAnsi="Times New Roman"/>
          <w:sz w:val="20"/>
          <w:szCs w:val="20"/>
        </w:rPr>
      </w:pPr>
      <w:r>
        <w:rPr>
          <w:rFonts w:hint="eastAsia" w:ascii="Times New Roman" w:hAnsi="Times New Roman"/>
          <w:sz w:val="20"/>
          <w:szCs w:val="20"/>
        </w:rPr>
        <w:t>Option 1: A-IoT reader for topology 1 could share the same hardware with existing gNB</w:t>
      </w:r>
    </w:p>
    <w:p>
      <w:pPr>
        <w:numPr>
          <w:ilvl w:val="0"/>
          <w:numId w:val="4"/>
        </w:numPr>
        <w:spacing w:after="180"/>
        <w:jc w:val="left"/>
        <w:rPr>
          <w:rFonts w:ascii="Times New Roman" w:hAnsi="Times New Roman"/>
          <w:sz w:val="20"/>
          <w:szCs w:val="20"/>
        </w:rPr>
      </w:pPr>
      <w:r>
        <w:rPr>
          <w:rFonts w:hint="eastAsia" w:ascii="Times New Roman" w:hAnsi="Times New Roman"/>
          <w:sz w:val="20"/>
          <w:szCs w:val="20"/>
        </w:rPr>
        <w:t>Option 2: A-IoT reader for topology 1 doesn</w:t>
      </w:r>
      <w:r>
        <w:rPr>
          <w:rFonts w:ascii="Times New Roman" w:hAnsi="Times New Roman"/>
          <w:sz w:val="20"/>
          <w:szCs w:val="20"/>
        </w:rPr>
        <w:t>’</w:t>
      </w:r>
      <w:r>
        <w:rPr>
          <w:rFonts w:hint="eastAsia" w:ascii="Times New Roman" w:hAnsi="Times New Roman"/>
          <w:sz w:val="20"/>
          <w:szCs w:val="20"/>
        </w:rPr>
        <w:t>t share the same hardware with existing gNB</w:t>
      </w:r>
    </w:p>
    <w:p>
      <w:pPr>
        <w:spacing w:after="180"/>
        <w:jc w:val="left"/>
        <w:rPr>
          <w:rFonts w:ascii="Times New Roman" w:hAnsi="Times New Roman"/>
          <w:sz w:val="20"/>
          <w:szCs w:val="20"/>
        </w:rPr>
      </w:pPr>
      <w:r>
        <w:rPr>
          <w:rFonts w:hint="eastAsia" w:ascii="Times New Roman" w:hAnsi="Times New Roman"/>
          <w:sz w:val="20"/>
          <w:szCs w:val="20"/>
        </w:rPr>
        <w:t>It</w:t>
      </w:r>
      <w:r>
        <w:rPr>
          <w:rFonts w:ascii="Times New Roman" w:hAnsi="Times New Roman"/>
          <w:sz w:val="20"/>
          <w:szCs w:val="20"/>
        </w:rPr>
        <w:t>’</w:t>
      </w:r>
      <w:r>
        <w:rPr>
          <w:rFonts w:hint="eastAsia" w:ascii="Times New Roman" w:hAnsi="Times New Roman"/>
          <w:sz w:val="20"/>
          <w:szCs w:val="20"/>
        </w:rPr>
        <w:t>s immature to preclude above option 1 at current stage. One way is to wait for power boosting level analysis and if the power boosting level is challenging for all readers, then maybe we could preclude option 1. at current stage, we should analyze RF requirements based on both option 1 and option 2.</w:t>
      </w:r>
    </w:p>
    <w:p>
      <w:pPr>
        <w:spacing w:after="180"/>
        <w:jc w:val="left"/>
        <w:rPr>
          <w:rFonts w:ascii="Times New Roman" w:hAnsi="Times New Roman"/>
          <w:b/>
          <w:bCs/>
          <w:sz w:val="20"/>
          <w:szCs w:val="20"/>
        </w:rPr>
      </w:pPr>
      <w:r>
        <w:rPr>
          <w:rFonts w:hint="eastAsia" w:ascii="Times New Roman" w:hAnsi="Times New Roman"/>
          <w:b/>
          <w:bCs/>
          <w:sz w:val="20"/>
          <w:szCs w:val="20"/>
        </w:rPr>
        <w:t>Proposal 1: it</w:t>
      </w:r>
      <w:r>
        <w:rPr>
          <w:rFonts w:ascii="Times New Roman" w:hAnsi="Times New Roman"/>
          <w:b/>
          <w:bCs/>
          <w:sz w:val="20"/>
          <w:szCs w:val="20"/>
        </w:rPr>
        <w:t>’</w:t>
      </w:r>
      <w:r>
        <w:rPr>
          <w:rFonts w:hint="eastAsia" w:ascii="Times New Roman" w:hAnsi="Times New Roman"/>
          <w:b/>
          <w:bCs/>
          <w:sz w:val="20"/>
          <w:szCs w:val="20"/>
        </w:rPr>
        <w:t>s suggested to study following two operation modes for in-band spectrum deployment mode at current stage and wait for power boosting requirements discussion to further check whether only option 2 is allowed or not</w:t>
      </w:r>
      <w:r>
        <w:rPr>
          <w:rFonts w:ascii="Times New Roman" w:hAnsi="Times New Roman"/>
          <w:b/>
          <w:bCs/>
          <w:sz w:val="20"/>
          <w:szCs w:val="20"/>
        </w:rPr>
        <w:t xml:space="preserve">. </w:t>
      </w:r>
    </w:p>
    <w:p>
      <w:pPr>
        <w:numPr>
          <w:ilvl w:val="0"/>
          <w:numId w:val="4"/>
        </w:numPr>
        <w:spacing w:after="180"/>
        <w:jc w:val="left"/>
        <w:rPr>
          <w:rFonts w:ascii="Times New Roman" w:hAnsi="Times New Roman"/>
          <w:b/>
          <w:bCs/>
          <w:sz w:val="20"/>
          <w:szCs w:val="20"/>
        </w:rPr>
      </w:pPr>
      <w:r>
        <w:rPr>
          <w:rFonts w:hint="eastAsia" w:ascii="Times New Roman" w:hAnsi="Times New Roman"/>
          <w:b/>
          <w:bCs/>
          <w:sz w:val="20"/>
          <w:szCs w:val="20"/>
        </w:rPr>
        <w:t>Option 1: A-IoT reader for topology 1 could share the same hardware with existing gNB</w:t>
      </w:r>
    </w:p>
    <w:p>
      <w:pPr>
        <w:numPr>
          <w:ilvl w:val="0"/>
          <w:numId w:val="4"/>
        </w:numPr>
        <w:spacing w:after="180"/>
        <w:jc w:val="left"/>
        <w:rPr>
          <w:rFonts w:ascii="Times New Roman" w:hAnsi="Times New Roman"/>
          <w:b/>
          <w:bCs/>
          <w:sz w:val="20"/>
          <w:szCs w:val="20"/>
        </w:rPr>
      </w:pPr>
      <w:r>
        <w:rPr>
          <w:rFonts w:hint="eastAsia" w:ascii="Times New Roman" w:hAnsi="Times New Roman"/>
          <w:b/>
          <w:bCs/>
          <w:sz w:val="20"/>
          <w:szCs w:val="20"/>
        </w:rPr>
        <w:t>Option 2: A-IoT reader for topology 1 doesn</w:t>
      </w:r>
      <w:r>
        <w:rPr>
          <w:rFonts w:ascii="Times New Roman" w:hAnsi="Times New Roman"/>
          <w:b/>
          <w:bCs/>
          <w:sz w:val="20"/>
          <w:szCs w:val="20"/>
        </w:rPr>
        <w:t>’</w:t>
      </w:r>
      <w:r>
        <w:rPr>
          <w:rFonts w:hint="eastAsia" w:ascii="Times New Roman" w:hAnsi="Times New Roman"/>
          <w:b/>
          <w:bCs/>
          <w:sz w:val="20"/>
          <w:szCs w:val="20"/>
        </w:rPr>
        <w:t>t share the same hardware with existing gNB</w:t>
      </w:r>
    </w:p>
    <w:p>
      <w:pPr>
        <w:numPr>
          <w:ilvl w:val="0"/>
          <w:numId w:val="3"/>
        </w:numPr>
        <w:spacing w:after="180"/>
        <w:jc w:val="left"/>
        <w:rPr>
          <w:rFonts w:ascii="Times New Roman" w:hAnsi="Times New Roman"/>
          <w:sz w:val="20"/>
          <w:szCs w:val="20"/>
        </w:rPr>
      </w:pPr>
      <w:r>
        <w:rPr>
          <w:rFonts w:hint="eastAsia" w:ascii="Times New Roman" w:hAnsi="Times New Roman"/>
          <w:sz w:val="20"/>
          <w:szCs w:val="20"/>
        </w:rPr>
        <w:t>Power boosting level for in-band spectrum mode</w:t>
      </w:r>
    </w:p>
    <w:p>
      <w:pPr>
        <w:spacing w:after="180"/>
        <w:jc w:val="left"/>
        <w:rPr>
          <w:rFonts w:ascii="Times New Roman" w:hAnsi="Times New Roman"/>
          <w:sz w:val="20"/>
          <w:szCs w:val="20"/>
        </w:rPr>
      </w:pPr>
      <w:r>
        <w:rPr>
          <w:rFonts w:hint="eastAsia" w:ascii="Times New Roman" w:hAnsi="Times New Roman"/>
          <w:sz w:val="20"/>
          <w:szCs w:val="20"/>
        </w:rPr>
        <w:t xml:space="preserve">Higher PSD of A-IoT reader will lead to better performance at device receiver side, especially for device 1 and 2a. But this will lead to higher interference to legacy UE receiver from co-existence point of view if assume R2D using DL spectrum. Careful evaluation is required for this power boosting requirements. </w:t>
      </w:r>
    </w:p>
    <w:p>
      <w:pPr>
        <w:numPr>
          <w:ilvl w:val="0"/>
          <w:numId w:val="5"/>
        </w:numPr>
        <w:spacing w:after="180"/>
        <w:jc w:val="left"/>
        <w:rPr>
          <w:rFonts w:ascii="Times New Roman" w:hAnsi="Times New Roman"/>
          <w:sz w:val="20"/>
          <w:szCs w:val="20"/>
        </w:rPr>
      </w:pPr>
      <w:r>
        <w:rPr>
          <w:rFonts w:hint="eastAsia" w:ascii="Times New Roman" w:hAnsi="Times New Roman"/>
          <w:sz w:val="20"/>
          <w:szCs w:val="20"/>
        </w:rPr>
        <w:t xml:space="preserve">LLS would help to evaluate required power boosting level under which condition the BLER could meet target value, e.g. 1% or 10% at device side. In last meeting, there is no conclusion of whether this should be performed in RAN1 or RAN4, it's OK to be performed in RAN4. </w:t>
      </w:r>
    </w:p>
    <w:p>
      <w:pPr>
        <w:numPr>
          <w:ilvl w:val="0"/>
          <w:numId w:val="5"/>
        </w:numPr>
        <w:spacing w:after="180"/>
        <w:jc w:val="left"/>
        <w:rPr>
          <w:rFonts w:ascii="Times New Roman" w:hAnsi="Times New Roman"/>
          <w:sz w:val="20"/>
          <w:szCs w:val="20"/>
        </w:rPr>
      </w:pPr>
      <w:r>
        <w:rPr>
          <w:rFonts w:hint="eastAsia" w:ascii="Times New Roman" w:hAnsi="Times New Roman"/>
          <w:sz w:val="20"/>
          <w:szCs w:val="20"/>
        </w:rPr>
        <w:t xml:space="preserve">On the other side, during the co-existence evaluation, we should take care of the PSD assumption for A-IoT reader and co-located legacy gNB, i.e. the power boosting level between A-IoT reader and co-located legacy gNB should be considered in co-existence analysis.  </w:t>
      </w:r>
    </w:p>
    <w:p>
      <w:pPr>
        <w:numPr>
          <w:ilvl w:val="0"/>
          <w:numId w:val="0"/>
        </w:numPr>
        <w:spacing w:after="180"/>
        <w:ind w:left="0" w:firstLine="0"/>
        <w:jc w:val="left"/>
        <w:rPr>
          <w:rFonts w:hint="eastAsia" w:ascii="Times New Roman" w:hAnsi="Times New Roman"/>
          <w:b/>
          <w:bCs/>
          <w:sz w:val="20"/>
          <w:szCs w:val="20"/>
        </w:rPr>
      </w:pPr>
      <w:r>
        <w:rPr>
          <w:rFonts w:hint="eastAsia" w:ascii="Times New Roman" w:hAnsi="Times New Roman"/>
          <w:b/>
          <w:bCs/>
          <w:sz w:val="20"/>
          <w:szCs w:val="20"/>
        </w:rPr>
        <w:t xml:space="preserve">Proposal 2: LLS is required to evaluate required power boosting level for reader of topology 1. </w:t>
      </w:r>
    </w:p>
    <w:p>
      <w:pPr>
        <w:numPr>
          <w:ilvl w:val="0"/>
          <w:numId w:val="3"/>
        </w:numPr>
        <w:spacing w:after="180"/>
        <w:jc w:val="left"/>
        <w:rPr>
          <w:rFonts w:hint="eastAsia" w:ascii="Times New Roman" w:hAnsi="Times New Roman"/>
          <w:sz w:val="20"/>
          <w:szCs w:val="20"/>
        </w:rPr>
      </w:pPr>
      <w:r>
        <w:rPr>
          <w:rFonts w:hint="eastAsia" w:ascii="Times New Roman" w:hAnsi="Times New Roman"/>
          <w:sz w:val="20"/>
          <w:szCs w:val="20"/>
        </w:rPr>
        <w:t>Guard RB for in-band</w:t>
      </w:r>
    </w:p>
    <w:p>
      <w:pPr>
        <w:spacing w:after="180"/>
        <w:jc w:val="left"/>
        <w:rPr>
          <w:rFonts w:ascii="Times New Roman" w:hAnsi="Times New Roman"/>
          <w:sz w:val="20"/>
          <w:szCs w:val="20"/>
        </w:rPr>
      </w:pPr>
      <w:r>
        <w:rPr>
          <w:rFonts w:hint="eastAsia" w:ascii="Times New Roman" w:hAnsi="Times New Roman"/>
          <w:sz w:val="20"/>
          <w:szCs w:val="20"/>
        </w:rPr>
        <w:t xml:space="preserve">For in-band spectrum mode, based on the conclusion of LP-WUS SI, certain guard RB is necessary at device side. This logic still applies for A-IoT device Tx but not applies for A-IoT device Rx. One issue is whether we should define guard RB requirement at reader side or leave this for implementation. gNB like reader will have better sub-band interference suppression capability compared with device. If there is already guard RB at device side Tx side, it seems no need to define guard RB requirements in reader spec and reader remember the guard RB and not use them when transmit CW, i.e. reserve guard RB for device transmitting. </w:t>
      </w:r>
    </w:p>
    <w:p>
      <w:pPr>
        <w:spacing w:after="180"/>
        <w:jc w:val="left"/>
        <w:rPr>
          <w:rFonts w:ascii="Times New Roman" w:hAnsi="Times New Roman"/>
          <w:b/>
          <w:bCs/>
          <w:sz w:val="20"/>
          <w:szCs w:val="20"/>
        </w:rPr>
      </w:pPr>
      <w:r>
        <w:rPr>
          <w:rFonts w:hint="eastAsia" w:ascii="Times New Roman" w:hAnsi="Times New Roman"/>
          <w:b/>
          <w:bCs/>
          <w:sz w:val="20"/>
          <w:szCs w:val="20"/>
        </w:rPr>
        <w:t xml:space="preserve">Observation 2: if we define guard RB at device side for in-band mode, then it seems there is no need to define guard RB requirements at reader side. </w:t>
      </w:r>
    </w:p>
    <w:p>
      <w:pPr>
        <w:spacing w:after="180"/>
        <w:jc w:val="left"/>
        <w:rPr>
          <w:rFonts w:ascii="Times New Roman" w:hAnsi="Times New Roman"/>
          <w:sz w:val="20"/>
          <w:szCs w:val="20"/>
        </w:rPr>
      </w:pPr>
      <w:r>
        <w:rPr>
          <w:rFonts w:hint="eastAsia" w:ascii="Times New Roman" w:hAnsi="Times New Roman"/>
          <w:sz w:val="20"/>
          <w:szCs w:val="20"/>
        </w:rPr>
        <w:t>As discussed during co-existence, IBE and ICS requirements are needed for A-Iot reader.</w:t>
      </w:r>
    </w:p>
    <w:p>
      <w:pPr>
        <w:spacing w:after="180"/>
        <w:jc w:val="left"/>
        <w:rPr>
          <w:rFonts w:ascii="Times New Roman" w:hAnsi="Times New Roman"/>
          <w:b/>
          <w:bCs/>
          <w:sz w:val="20"/>
          <w:szCs w:val="20"/>
        </w:rPr>
      </w:pPr>
      <w:r>
        <w:rPr>
          <w:rFonts w:hint="eastAsia" w:ascii="Times New Roman" w:hAnsi="Times New Roman"/>
          <w:b/>
          <w:bCs/>
          <w:sz w:val="20"/>
          <w:szCs w:val="20"/>
        </w:rPr>
        <w:t>Proposal 3: IBE and ICS requirements are needed for A-Iot reader and detailed value could be based on co-existence analysis.</w:t>
      </w:r>
    </w:p>
    <w:p>
      <w:pPr>
        <w:numPr>
          <w:ilvl w:val="0"/>
          <w:numId w:val="6"/>
        </w:numPr>
        <w:spacing w:after="180"/>
        <w:jc w:val="left"/>
        <w:rPr>
          <w:rFonts w:ascii="Times New Roman" w:hAnsi="Times New Roman"/>
          <w:sz w:val="20"/>
          <w:szCs w:val="20"/>
        </w:rPr>
      </w:pPr>
      <w:r>
        <w:rPr>
          <w:rFonts w:hint="eastAsia" w:ascii="Times New Roman" w:hAnsi="Times New Roman"/>
          <w:sz w:val="20"/>
          <w:szCs w:val="20"/>
        </w:rPr>
        <w:t>reader class</w:t>
      </w:r>
    </w:p>
    <w:p>
      <w:pPr>
        <w:spacing w:after="180"/>
        <w:jc w:val="left"/>
        <w:rPr>
          <w:rFonts w:ascii="Times New Roman" w:hAnsi="Times New Roman"/>
          <w:sz w:val="20"/>
          <w:szCs w:val="20"/>
        </w:rPr>
      </w:pPr>
      <w:r>
        <w:rPr>
          <w:rFonts w:hint="eastAsia" w:ascii="Times New Roman" w:hAnsi="Times New Roman"/>
          <w:sz w:val="20"/>
          <w:szCs w:val="20"/>
        </w:rPr>
        <w:t>There are three kinds of BS classes in current spec</w:t>
      </w:r>
    </w:p>
    <w:p>
      <w:pPr>
        <w:numPr>
          <w:ilvl w:val="0"/>
          <w:numId w:val="7"/>
        </w:numPr>
        <w:spacing w:after="180"/>
        <w:jc w:val="left"/>
        <w:rPr>
          <w:rFonts w:ascii="Times New Roman" w:hAnsi="Times New Roman"/>
          <w:sz w:val="20"/>
          <w:szCs w:val="20"/>
        </w:rPr>
      </w:pPr>
      <w:r>
        <w:rPr>
          <w:rFonts w:hint="eastAsia" w:ascii="Times New Roman" w:hAnsi="Times New Roman"/>
          <w:sz w:val="20"/>
          <w:szCs w:val="20"/>
        </w:rPr>
        <w:t>WA with no max output power limit and requirements are derived from macro cell with minimum distance/MCL requirements</w:t>
      </w:r>
    </w:p>
    <w:p>
      <w:pPr>
        <w:numPr>
          <w:ilvl w:val="0"/>
          <w:numId w:val="7"/>
        </w:numPr>
        <w:spacing w:after="180"/>
        <w:jc w:val="left"/>
        <w:rPr>
          <w:rFonts w:ascii="Times New Roman" w:hAnsi="Times New Roman"/>
          <w:sz w:val="20"/>
          <w:szCs w:val="20"/>
        </w:rPr>
      </w:pPr>
      <w:r>
        <w:rPr>
          <w:rFonts w:hint="eastAsia" w:ascii="Times New Roman" w:hAnsi="Times New Roman"/>
          <w:sz w:val="20"/>
          <w:szCs w:val="20"/>
        </w:rPr>
        <w:t>MR with max output power limit, e.g. 38dBm for 1-C type and requirements are derived from micro cell with minimum distance/MCL requirements</w:t>
      </w:r>
    </w:p>
    <w:p>
      <w:pPr>
        <w:numPr>
          <w:ilvl w:val="0"/>
          <w:numId w:val="7"/>
        </w:numPr>
        <w:spacing w:after="180"/>
        <w:jc w:val="left"/>
        <w:rPr>
          <w:rFonts w:ascii="Times New Roman" w:hAnsi="Times New Roman"/>
          <w:sz w:val="20"/>
          <w:szCs w:val="20"/>
        </w:rPr>
      </w:pPr>
      <w:r>
        <w:rPr>
          <w:rFonts w:hint="eastAsia" w:ascii="Times New Roman" w:hAnsi="Times New Roman"/>
          <w:sz w:val="20"/>
          <w:szCs w:val="20"/>
        </w:rPr>
        <w:t>LA with max output power limit, e.g. 24dBm for 1-C type and requirements are derived from pico cell with minimum distance/MCL requirements. Although there is no explicit description for the pico cell, but LA is deployed indoors.</w:t>
      </w:r>
    </w:p>
    <w:p>
      <w:pPr>
        <w:spacing w:after="180"/>
        <w:jc w:val="left"/>
        <w:rPr>
          <w:rFonts w:ascii="Times New Roman" w:hAnsi="Times New Roman"/>
          <w:sz w:val="20"/>
          <w:szCs w:val="20"/>
        </w:rPr>
      </w:pPr>
      <w:r>
        <w:rPr>
          <w:rFonts w:hint="eastAsia" w:ascii="Times New Roman" w:hAnsi="Times New Roman"/>
          <w:sz w:val="20"/>
          <w:szCs w:val="20"/>
        </w:rPr>
        <w:t>For co-existence analysis, we only simulate the scenario when reader is deployed indoor and there is no analysis of outdoor case. Further discuss whether reader could support other cell type besides micro cell.</w:t>
      </w:r>
    </w:p>
    <w:p>
      <w:pPr>
        <w:spacing w:after="180"/>
        <w:jc w:val="left"/>
        <w:rPr>
          <w:rFonts w:ascii="Times New Roman" w:hAnsi="Times New Roman"/>
          <w:b/>
          <w:bCs/>
          <w:sz w:val="20"/>
          <w:szCs w:val="20"/>
        </w:rPr>
      </w:pPr>
      <w:r>
        <w:rPr>
          <w:rFonts w:hint="eastAsia" w:ascii="Times New Roman" w:hAnsi="Times New Roman"/>
          <w:b/>
          <w:bCs/>
          <w:sz w:val="20"/>
          <w:szCs w:val="20"/>
        </w:rPr>
        <w:t>Proposal 4: further discuss whether reader could support other cell type besides micro cell.</w:t>
      </w:r>
    </w:p>
    <w:p>
      <w:pPr>
        <w:numPr>
          <w:ilvl w:val="0"/>
          <w:numId w:val="3"/>
        </w:numPr>
        <w:spacing w:after="180"/>
        <w:jc w:val="left"/>
        <w:rPr>
          <w:rFonts w:ascii="Times New Roman" w:hAnsi="Times New Roman"/>
          <w:sz w:val="20"/>
          <w:szCs w:val="20"/>
        </w:rPr>
      </w:pPr>
      <w:r>
        <w:rPr>
          <w:rFonts w:hint="eastAsia" w:ascii="Times New Roman" w:hAnsi="Times New Roman"/>
          <w:sz w:val="20"/>
          <w:szCs w:val="20"/>
        </w:rPr>
        <w:t>Self-interference issue</w:t>
      </w:r>
    </w:p>
    <w:p>
      <w:pPr>
        <w:spacing w:after="180"/>
        <w:jc w:val="left"/>
        <w:rPr>
          <w:rFonts w:ascii="Times New Roman" w:hAnsi="Times New Roman"/>
          <w:sz w:val="20"/>
          <w:szCs w:val="20"/>
        </w:rPr>
      </w:pPr>
      <w:r>
        <w:rPr>
          <w:rFonts w:hint="eastAsia" w:ascii="Times New Roman" w:hAnsi="Times New Roman"/>
          <w:sz w:val="20"/>
          <w:szCs w:val="20"/>
        </w:rPr>
        <w:t>Whether the CW uses DL or UL spectrum, self-interference occurs from CW to reader receiver. For the CW inside topology, we can use REFSENSE to reflect residual self-interference.</w:t>
      </w:r>
      <w:r>
        <w:rPr>
          <w:rFonts w:hint="eastAsia"/>
        </w:rPr>
        <w:t xml:space="preserve"> </w:t>
      </w:r>
      <w:r>
        <w:rPr>
          <w:rFonts w:hint="eastAsia" w:ascii="Times New Roman" w:hAnsi="Times New Roman"/>
          <w:sz w:val="20"/>
          <w:szCs w:val="20"/>
        </w:rPr>
        <w:t xml:space="preserve">Usually we assume 1dB REFSENSE desense for SBFD, but for A-IoT, the interference is the CW signal with single tone or multi-tone. the interference bandwidth is very narrow and this will lead following issue. </w:t>
      </w:r>
    </w:p>
    <w:p>
      <w:pPr>
        <w:numPr>
          <w:ilvl w:val="0"/>
          <w:numId w:val="8"/>
        </w:numPr>
        <w:spacing w:after="180"/>
        <w:jc w:val="left"/>
        <w:rPr>
          <w:rFonts w:ascii="Times New Roman" w:hAnsi="Times New Roman"/>
          <w:sz w:val="20"/>
          <w:szCs w:val="20"/>
        </w:rPr>
      </w:pPr>
      <w:r>
        <w:rPr>
          <w:rFonts w:hint="eastAsia" w:ascii="Times New Roman" w:hAnsi="Times New Roman"/>
          <w:sz w:val="20"/>
          <w:szCs w:val="20"/>
        </w:rPr>
        <w:t>how to evaluate the REFSENSE desense especially when the interference bandwidth is such narrow, i.e. whether 1dB desense is still applicable or not</w:t>
      </w:r>
    </w:p>
    <w:p>
      <w:pPr>
        <w:spacing w:after="180"/>
        <w:jc w:val="left"/>
        <w:rPr>
          <w:rFonts w:ascii="Times New Roman" w:hAnsi="Times New Roman"/>
          <w:b/>
          <w:bCs/>
          <w:sz w:val="20"/>
          <w:szCs w:val="20"/>
        </w:rPr>
      </w:pPr>
      <w:r>
        <w:rPr>
          <w:rFonts w:hint="eastAsia" w:ascii="Times New Roman" w:hAnsi="Times New Roman"/>
          <w:b/>
          <w:bCs/>
          <w:sz w:val="20"/>
          <w:szCs w:val="20"/>
        </w:rPr>
        <w:t>Observation 3: due to very narrow bandwidth of CW interference signal, RAN4 needs to further discuss whether 1dB desense self-interference cancellation target is still applicable or not.</w:t>
      </w:r>
    </w:p>
    <w:p>
      <w:pPr>
        <w:spacing w:after="180"/>
        <w:jc w:val="left"/>
        <w:rPr>
          <w:rFonts w:ascii="Times New Roman" w:hAnsi="Times New Roman"/>
          <w:sz w:val="20"/>
          <w:szCs w:val="20"/>
        </w:rPr>
      </w:pPr>
      <w:r>
        <w:rPr>
          <w:rFonts w:hint="eastAsia" w:ascii="Times New Roman" w:hAnsi="Times New Roman"/>
          <w:sz w:val="20"/>
          <w:szCs w:val="20"/>
        </w:rPr>
        <w:t>When CW is outside the topology, additional spatial isolation will contribute to even less self-interference and the final residual self-interference may be negligible. But as analyzed, final residual self-interference is related to spatial isolation between CW and reader, RAN4 may needs some typical assumption before conclude whether to/how to reflect self-interference for outside topology scenario.</w:t>
      </w:r>
    </w:p>
    <w:p>
      <w:pPr>
        <w:spacing w:after="180"/>
        <w:jc w:val="left"/>
        <w:rPr>
          <w:rFonts w:ascii="Times New Roman" w:hAnsi="Times New Roman"/>
          <w:b/>
          <w:bCs/>
          <w:sz w:val="20"/>
          <w:szCs w:val="20"/>
        </w:rPr>
      </w:pPr>
      <w:r>
        <w:rPr>
          <w:rFonts w:hint="eastAsia" w:ascii="Times New Roman" w:hAnsi="Times New Roman"/>
          <w:b/>
          <w:bCs/>
          <w:sz w:val="20"/>
          <w:szCs w:val="20"/>
        </w:rPr>
        <w:t>Observation 4: for CW outside topology, RAN4 needs some typical spatial isolation assumption before conclude whether to/ how to reflect self-interference by RF requirements.</w:t>
      </w:r>
    </w:p>
    <w:p>
      <w:pPr>
        <w:numPr>
          <w:ilvl w:val="0"/>
          <w:numId w:val="9"/>
        </w:numPr>
        <w:spacing w:after="180"/>
        <w:jc w:val="left"/>
        <w:rPr>
          <w:rFonts w:ascii="Times New Roman" w:hAnsi="Times New Roman"/>
          <w:sz w:val="20"/>
          <w:szCs w:val="20"/>
        </w:rPr>
      </w:pPr>
      <w:r>
        <w:rPr>
          <w:rFonts w:ascii="Times New Roman" w:hAnsi="Times New Roman"/>
          <w:sz w:val="20"/>
          <w:szCs w:val="20"/>
        </w:rPr>
        <w:t>IMD product for multiple-tone CW when define Rx requirements for reader</w:t>
      </w:r>
    </w:p>
    <w:p>
      <w:pPr>
        <w:spacing w:after="180"/>
        <w:jc w:val="left"/>
        <w:rPr>
          <w:rFonts w:ascii="Times New Roman" w:hAnsi="Times New Roman"/>
          <w:sz w:val="20"/>
          <w:szCs w:val="20"/>
        </w:rPr>
      </w:pPr>
      <w:r>
        <w:rPr>
          <w:rFonts w:hint="eastAsia" w:ascii="Times New Roman" w:hAnsi="Times New Roman"/>
          <w:sz w:val="20"/>
          <w:szCs w:val="20"/>
        </w:rPr>
        <w:t>The same logic as discussed in BS reader RF requirement also applies for UE reader, UE reader should also consider the IMD product produced at device side for multiple single tone case. This seems like equivalent MSD requirement. We may need to define some additional REFSENSE desense requirement to reflect such IMD product. Anyway, it</w:t>
      </w:r>
      <w:r>
        <w:rPr>
          <w:rFonts w:ascii="Times New Roman" w:hAnsi="Times New Roman"/>
          <w:sz w:val="20"/>
          <w:szCs w:val="20"/>
        </w:rPr>
        <w:t>’</w:t>
      </w:r>
      <w:r>
        <w:rPr>
          <w:rFonts w:hint="eastAsia" w:ascii="Times New Roman" w:hAnsi="Times New Roman"/>
          <w:sz w:val="20"/>
          <w:szCs w:val="20"/>
        </w:rPr>
        <w:t>s better to wait for RAN1 conclusion at first.</w:t>
      </w:r>
    </w:p>
    <w:p>
      <w:pPr>
        <w:spacing w:after="180"/>
        <w:jc w:val="left"/>
        <w:rPr>
          <w:rFonts w:ascii="Times New Roman" w:hAnsi="Times New Roman"/>
          <w:b/>
          <w:bCs/>
          <w:sz w:val="20"/>
          <w:szCs w:val="20"/>
        </w:rPr>
      </w:pPr>
      <w:r>
        <w:rPr>
          <w:rFonts w:hint="eastAsia" w:ascii="Times New Roman" w:hAnsi="Times New Roman"/>
          <w:b/>
          <w:bCs/>
          <w:sz w:val="20"/>
          <w:szCs w:val="20"/>
        </w:rPr>
        <w:t xml:space="preserve">Observation 5: IMD product of multi-tone CW is much hard to be suppressed and filter solution may not work considering there is frequency overlapping between IMD products and wanted data. </w:t>
      </w:r>
    </w:p>
    <w:p>
      <w:pPr>
        <w:spacing w:after="180"/>
        <w:jc w:val="left"/>
        <w:rPr>
          <w:rFonts w:ascii="Times New Roman" w:hAnsi="Times New Roman"/>
          <w:b/>
          <w:bCs/>
          <w:sz w:val="20"/>
          <w:szCs w:val="20"/>
        </w:rPr>
      </w:pPr>
      <w:r>
        <w:rPr>
          <w:rFonts w:hint="eastAsia" w:ascii="Times New Roman" w:hAnsi="Times New Roman"/>
          <w:b/>
          <w:bCs/>
          <w:sz w:val="20"/>
          <w:szCs w:val="20"/>
        </w:rPr>
        <w:t>Proposal 5: RAN4 should wait for RAN1 CW signal design conclusion and then decide whether/how to consider the IMD product of multiple-tone CW when defining Rx requirements for reader.</w:t>
      </w:r>
    </w:p>
    <w:p>
      <w:pPr>
        <w:pStyle w:val="4"/>
        <w:spacing w:before="156" w:after="156"/>
      </w:pPr>
      <w:r>
        <w:rPr>
          <w:rFonts w:hint="eastAsia"/>
        </w:rPr>
        <w:t>2.</w:t>
      </w:r>
      <w:r>
        <w:rPr>
          <w:rFonts w:hint="eastAsia"/>
          <w:lang w:val="en-US" w:eastAsia="zh-CN"/>
        </w:rPr>
        <w:t>3</w:t>
      </w:r>
      <w:r>
        <w:rPr>
          <w:rFonts w:hint="eastAsia"/>
        </w:rPr>
        <w:t xml:space="preserve"> A-IoT CW nodes of outside topology</w:t>
      </w:r>
    </w:p>
    <w:p>
      <w:pPr>
        <w:spacing w:after="180"/>
        <w:jc w:val="left"/>
        <w:rPr>
          <w:rFonts w:ascii="Times New Roman" w:hAnsi="Times New Roman"/>
          <w:sz w:val="20"/>
          <w:szCs w:val="20"/>
        </w:rPr>
      </w:pPr>
      <w:r>
        <w:rPr>
          <w:rFonts w:hint="eastAsia" w:ascii="Times New Roman" w:hAnsi="Times New Roman"/>
          <w:sz w:val="20"/>
          <w:szCs w:val="20"/>
        </w:rPr>
        <w:t>For the A-IoT CW nodes, only Tx requirement are needed. Different from legacy UE waveform, CW is single tone or multiple tone cases. So for CW node, we mainly need to consider the unwanted emission related requirements. system parameters and signal quality related requirements are not needed.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88"/>
        <w:gridCol w:w="4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8"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requirement</w:t>
            </w:r>
          </w:p>
        </w:tc>
        <w:tc>
          <w:tcPr>
            <w:tcW w:w="4774"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Applicable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8"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Operation bands</w:t>
            </w:r>
          </w:p>
        </w:tc>
        <w:tc>
          <w:tcPr>
            <w:tcW w:w="4774"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Single FDD DL or UL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8"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Channel bandwidth related requirements</w:t>
            </w:r>
          </w:p>
        </w:tc>
        <w:tc>
          <w:tcPr>
            <w:tcW w:w="4774"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188"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Channel arrangement related</w:t>
            </w:r>
          </w:p>
        </w:tc>
        <w:tc>
          <w:tcPr>
            <w:tcW w:w="4774"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8"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Transmitter power</w:t>
            </w:r>
          </w:p>
        </w:tc>
        <w:tc>
          <w:tcPr>
            <w:tcW w:w="4774"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Applicable. Further check the power limit</w:t>
            </w:r>
          </w:p>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MPR/A-MPR not applicable</w:t>
            </w:r>
          </w:p>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Configured output power,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8"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Output power dynamic range</w:t>
            </w:r>
          </w:p>
        </w:tc>
        <w:tc>
          <w:tcPr>
            <w:tcW w:w="4774"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Minimum output power: not applicable</w:t>
            </w:r>
          </w:p>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ON/OFF time mask: may not applicable</w:t>
            </w:r>
          </w:p>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Power control: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8"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Transmit signal quality</w:t>
            </w:r>
          </w:p>
        </w:tc>
        <w:tc>
          <w:tcPr>
            <w:tcW w:w="4774"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Frequency error: not applicable</w:t>
            </w:r>
          </w:p>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Transmit modulation quality: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8"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RF spectrum emission</w:t>
            </w:r>
          </w:p>
        </w:tc>
        <w:tc>
          <w:tcPr>
            <w:tcW w:w="4774"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Occupied bandwidth: not applicable</w:t>
            </w:r>
          </w:p>
          <w:p>
            <w:pPr>
              <w:spacing w:before="120" w:after="180" w:line="280" w:lineRule="atLeast"/>
              <w:jc w:val="left"/>
              <w:rPr>
                <w:rFonts w:ascii="Times New Roman" w:hAnsi="Times New Roman"/>
                <w:sz w:val="20"/>
                <w:szCs w:val="20"/>
                <w:highlight w:val="yellow"/>
                <w:lang w:val="en-GB" w:eastAsia="en-GB"/>
              </w:rPr>
            </w:pPr>
            <w:r>
              <w:rPr>
                <w:rFonts w:hint="eastAsia" w:ascii="Times New Roman" w:hAnsi="Times New Roman"/>
                <w:sz w:val="20"/>
                <w:szCs w:val="20"/>
                <w:lang w:val="en-GB" w:eastAsia="en-GB"/>
              </w:rPr>
              <w:t>Out of band emission: not applicable if we assume CW nodes have almost perfect out of band emission?</w:t>
            </w:r>
          </w:p>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Spurious emission: current may still applicable to meet regulatory requirement</w:t>
            </w:r>
          </w:p>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Transmit inter-modulation: applies at least for inside topology case</w:t>
            </w:r>
          </w:p>
        </w:tc>
      </w:tr>
    </w:tbl>
    <w:p>
      <w:pPr>
        <w:spacing w:after="180"/>
        <w:jc w:val="left"/>
        <w:rPr>
          <w:rFonts w:ascii="Times New Roman" w:hAnsi="Times New Roman"/>
          <w:sz w:val="20"/>
          <w:szCs w:val="20"/>
        </w:rPr>
      </w:pPr>
    </w:p>
    <w:p>
      <w:pPr>
        <w:spacing w:after="180"/>
        <w:jc w:val="left"/>
        <w:rPr>
          <w:rFonts w:ascii="Times New Roman" w:hAnsi="Times New Roman"/>
          <w:sz w:val="20"/>
          <w:szCs w:val="20"/>
        </w:rPr>
      </w:pPr>
      <w:r>
        <w:rPr>
          <w:rFonts w:hint="eastAsia" w:ascii="Times New Roman" w:hAnsi="Times New Roman"/>
          <w:sz w:val="20"/>
          <w:szCs w:val="20"/>
        </w:rPr>
        <w:t>If RAN4 define RF requirements for CW outside topology, it seems the RF framework for topology 1 and topology 2 is the same, i.e. only considering max output power and spurious emission requirements.</w:t>
      </w:r>
    </w:p>
    <w:p>
      <w:pPr>
        <w:spacing w:after="180"/>
        <w:jc w:val="left"/>
        <w:rPr>
          <w:rFonts w:ascii="Times New Roman" w:hAnsi="Times New Roman"/>
          <w:b/>
          <w:bCs/>
          <w:sz w:val="20"/>
          <w:szCs w:val="20"/>
        </w:rPr>
      </w:pPr>
      <w:r>
        <w:rPr>
          <w:rFonts w:hint="eastAsia" w:ascii="Times New Roman" w:hAnsi="Times New Roman"/>
          <w:b/>
          <w:bCs/>
          <w:sz w:val="20"/>
          <w:szCs w:val="20"/>
        </w:rPr>
        <w:t>Proposal 6: for CW outside of topology, it seems only max output power and spurious emission requirement is applicable. The same RF framework applies for both topology 1 and topology 2.</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3. Conclusions</w:t>
      </w:r>
    </w:p>
    <w:p>
      <w:pPr>
        <w:spacing w:after="156" w:afterLines="50"/>
        <w:rPr>
          <w:rFonts w:ascii="Times New Roman" w:hAnsi="Times New Roman"/>
          <w:sz w:val="20"/>
          <w:szCs w:val="20"/>
        </w:rPr>
      </w:pPr>
      <w:r>
        <w:rPr>
          <w:rFonts w:ascii="Times New Roman" w:hAnsi="Times New Roman"/>
          <w:sz w:val="20"/>
          <w:szCs w:val="20"/>
        </w:rPr>
        <w:t xml:space="preserve">In this contribution, </w:t>
      </w:r>
      <w:r>
        <w:rPr>
          <w:rFonts w:hint="eastAsia" w:ascii="Times New Roman" w:hAnsi="Times New Roman"/>
          <w:sz w:val="20"/>
          <w:szCs w:val="20"/>
        </w:rPr>
        <w:t>RF requirements for gNB like reader are discussed with following observations and proposals.</w:t>
      </w:r>
    </w:p>
    <w:p>
      <w:pPr>
        <w:rPr>
          <w:rFonts w:ascii="Times New Roman" w:hAnsi="Times New Roman"/>
          <w:b/>
          <w:bCs/>
          <w:sz w:val="20"/>
          <w:szCs w:val="20"/>
        </w:rPr>
      </w:pPr>
      <w:r>
        <w:rPr>
          <w:rFonts w:hint="eastAsia" w:ascii="Times New Roman" w:hAnsi="Times New Roman"/>
          <w:b/>
          <w:bCs/>
          <w:sz w:val="20"/>
          <w:szCs w:val="20"/>
        </w:rPr>
        <w:t xml:space="preserve">Observation 1: </w:t>
      </w:r>
      <w:r>
        <w:rPr>
          <w:rFonts w:ascii="Times New Roman" w:hAnsi="Times New Roman"/>
          <w:b/>
          <w:bCs/>
          <w:sz w:val="20"/>
          <w:szCs w:val="20"/>
        </w:rPr>
        <w:t>RF energy sources or energy harvesting of the tag are not in scope of the study.</w:t>
      </w:r>
    </w:p>
    <w:p>
      <w:pPr>
        <w:rPr>
          <w:rFonts w:ascii="Times New Roman" w:hAnsi="Times New Roman"/>
          <w:b/>
          <w:bCs/>
          <w:sz w:val="20"/>
          <w:szCs w:val="20"/>
        </w:rPr>
      </w:pPr>
    </w:p>
    <w:p>
      <w:pPr>
        <w:spacing w:after="180"/>
        <w:jc w:val="left"/>
        <w:rPr>
          <w:rFonts w:ascii="Times New Roman" w:hAnsi="Times New Roman"/>
          <w:b/>
          <w:bCs/>
          <w:sz w:val="20"/>
          <w:szCs w:val="20"/>
        </w:rPr>
      </w:pPr>
      <w:r>
        <w:rPr>
          <w:rFonts w:hint="eastAsia" w:ascii="Times New Roman" w:hAnsi="Times New Roman"/>
          <w:b/>
          <w:bCs/>
          <w:sz w:val="20"/>
          <w:szCs w:val="20"/>
        </w:rPr>
        <w:t>Proposal 1: it</w:t>
      </w:r>
      <w:r>
        <w:rPr>
          <w:rFonts w:ascii="Times New Roman" w:hAnsi="Times New Roman"/>
          <w:b/>
          <w:bCs/>
          <w:sz w:val="20"/>
          <w:szCs w:val="20"/>
        </w:rPr>
        <w:t>’</w:t>
      </w:r>
      <w:r>
        <w:rPr>
          <w:rFonts w:hint="eastAsia" w:ascii="Times New Roman" w:hAnsi="Times New Roman"/>
          <w:b/>
          <w:bCs/>
          <w:sz w:val="20"/>
          <w:szCs w:val="20"/>
        </w:rPr>
        <w:t>s suggested to study following two operation modes for in-band spectrum deployment mode at current stage and wait for power boosting requirements discussion to further check whether only option 2 is allowed or not</w:t>
      </w:r>
      <w:r>
        <w:rPr>
          <w:rFonts w:ascii="Times New Roman" w:hAnsi="Times New Roman"/>
          <w:b/>
          <w:bCs/>
          <w:sz w:val="20"/>
          <w:szCs w:val="20"/>
        </w:rPr>
        <w:t xml:space="preserve">. </w:t>
      </w:r>
    </w:p>
    <w:p>
      <w:pPr>
        <w:numPr>
          <w:ilvl w:val="0"/>
          <w:numId w:val="4"/>
        </w:numPr>
        <w:spacing w:after="180"/>
        <w:jc w:val="left"/>
        <w:rPr>
          <w:rFonts w:ascii="Times New Roman" w:hAnsi="Times New Roman"/>
          <w:b/>
          <w:bCs/>
          <w:sz w:val="20"/>
          <w:szCs w:val="20"/>
        </w:rPr>
      </w:pPr>
      <w:r>
        <w:rPr>
          <w:rFonts w:hint="eastAsia" w:ascii="Times New Roman" w:hAnsi="Times New Roman"/>
          <w:b/>
          <w:bCs/>
          <w:sz w:val="20"/>
          <w:szCs w:val="20"/>
        </w:rPr>
        <w:t>Option 1: A-IoT reader for topology 1 could share the same hardware with existing gNB</w:t>
      </w:r>
    </w:p>
    <w:p>
      <w:pPr>
        <w:numPr>
          <w:ilvl w:val="0"/>
          <w:numId w:val="4"/>
        </w:numPr>
        <w:spacing w:after="180"/>
        <w:jc w:val="left"/>
        <w:rPr>
          <w:rFonts w:ascii="Times New Roman" w:hAnsi="Times New Roman"/>
          <w:b/>
          <w:bCs/>
          <w:sz w:val="20"/>
          <w:szCs w:val="20"/>
        </w:rPr>
      </w:pPr>
      <w:r>
        <w:rPr>
          <w:rFonts w:hint="eastAsia" w:ascii="Times New Roman" w:hAnsi="Times New Roman"/>
          <w:b/>
          <w:bCs/>
          <w:sz w:val="20"/>
          <w:szCs w:val="20"/>
        </w:rPr>
        <w:t>Option 2: A-IoT reader for topology 1 doesn</w:t>
      </w:r>
      <w:r>
        <w:rPr>
          <w:rFonts w:ascii="Times New Roman" w:hAnsi="Times New Roman"/>
          <w:b/>
          <w:bCs/>
          <w:sz w:val="20"/>
          <w:szCs w:val="20"/>
        </w:rPr>
        <w:t>’</w:t>
      </w:r>
      <w:r>
        <w:rPr>
          <w:rFonts w:hint="eastAsia" w:ascii="Times New Roman" w:hAnsi="Times New Roman"/>
          <w:b/>
          <w:bCs/>
          <w:sz w:val="20"/>
          <w:szCs w:val="20"/>
        </w:rPr>
        <w:t>t share the same hardware with existing gNB</w:t>
      </w:r>
    </w:p>
    <w:p>
      <w:pPr>
        <w:spacing w:after="180"/>
        <w:jc w:val="left"/>
        <w:rPr>
          <w:rFonts w:hint="eastAsia" w:ascii="Times New Roman" w:hAnsi="Times New Roman"/>
          <w:b/>
          <w:bCs/>
          <w:sz w:val="20"/>
          <w:szCs w:val="20"/>
        </w:rPr>
      </w:pPr>
      <w:r>
        <w:rPr>
          <w:rFonts w:hint="eastAsia" w:ascii="Times New Roman" w:hAnsi="Times New Roman"/>
          <w:b/>
          <w:bCs/>
          <w:sz w:val="20"/>
          <w:szCs w:val="20"/>
        </w:rPr>
        <w:t xml:space="preserve">Proposal 2: LLS is required to evaluate required power boosting level for reader of topology 1. </w:t>
      </w:r>
    </w:p>
    <w:p>
      <w:pPr>
        <w:spacing w:after="180"/>
        <w:jc w:val="left"/>
        <w:rPr>
          <w:rFonts w:ascii="Times New Roman" w:hAnsi="Times New Roman"/>
          <w:b/>
          <w:bCs/>
          <w:sz w:val="20"/>
          <w:szCs w:val="20"/>
        </w:rPr>
      </w:pPr>
      <w:r>
        <w:rPr>
          <w:rFonts w:hint="eastAsia" w:ascii="Times New Roman" w:hAnsi="Times New Roman"/>
          <w:b/>
          <w:bCs/>
          <w:sz w:val="20"/>
          <w:szCs w:val="20"/>
        </w:rPr>
        <w:t xml:space="preserve">Observation 2: if we define guard RB at device side for in-band mode, then it seems there is no need to define guard RB requirements at reader side. </w:t>
      </w:r>
    </w:p>
    <w:p>
      <w:pPr>
        <w:spacing w:after="180"/>
        <w:jc w:val="left"/>
        <w:rPr>
          <w:rFonts w:ascii="Times New Roman" w:hAnsi="Times New Roman"/>
          <w:b/>
          <w:bCs/>
          <w:sz w:val="20"/>
          <w:szCs w:val="20"/>
        </w:rPr>
      </w:pPr>
      <w:r>
        <w:rPr>
          <w:rFonts w:hint="eastAsia" w:ascii="Times New Roman" w:hAnsi="Times New Roman"/>
          <w:b/>
          <w:bCs/>
          <w:sz w:val="20"/>
          <w:szCs w:val="20"/>
        </w:rPr>
        <w:t>Proposal 3: IBE and ICS requirements are needed for A-Iot reader and detailed value could be based on co-existence analysis.</w:t>
      </w:r>
    </w:p>
    <w:p>
      <w:pPr>
        <w:spacing w:after="180"/>
        <w:jc w:val="left"/>
        <w:rPr>
          <w:rFonts w:ascii="Times New Roman" w:hAnsi="Times New Roman"/>
          <w:b/>
          <w:bCs/>
          <w:sz w:val="20"/>
          <w:szCs w:val="20"/>
        </w:rPr>
      </w:pPr>
      <w:r>
        <w:rPr>
          <w:rFonts w:hint="eastAsia" w:ascii="Times New Roman" w:hAnsi="Times New Roman"/>
          <w:b/>
          <w:bCs/>
          <w:sz w:val="20"/>
          <w:szCs w:val="20"/>
        </w:rPr>
        <w:t>Proposal 4: further discuss whether reader could support other cell type besides micro cell.</w:t>
      </w:r>
    </w:p>
    <w:p>
      <w:pPr>
        <w:spacing w:after="180"/>
        <w:jc w:val="left"/>
        <w:rPr>
          <w:rFonts w:ascii="Times New Roman" w:hAnsi="Times New Roman"/>
          <w:b/>
          <w:bCs/>
          <w:sz w:val="20"/>
          <w:szCs w:val="20"/>
        </w:rPr>
      </w:pPr>
      <w:r>
        <w:rPr>
          <w:rFonts w:hint="eastAsia" w:ascii="Times New Roman" w:hAnsi="Times New Roman"/>
          <w:b/>
          <w:bCs/>
          <w:sz w:val="20"/>
          <w:szCs w:val="20"/>
        </w:rPr>
        <w:t>Observation 3: due to very narrow bandwidth of CW interference signal, RAN4 needs to further discuss whether 1dB desense self-interference cancellation target is still applicable or not.</w:t>
      </w:r>
    </w:p>
    <w:p>
      <w:pPr>
        <w:spacing w:after="180"/>
        <w:jc w:val="left"/>
        <w:rPr>
          <w:rFonts w:ascii="Times New Roman" w:hAnsi="Times New Roman"/>
          <w:b/>
          <w:bCs/>
          <w:sz w:val="20"/>
          <w:szCs w:val="20"/>
        </w:rPr>
      </w:pPr>
      <w:r>
        <w:rPr>
          <w:rFonts w:hint="eastAsia" w:ascii="Times New Roman" w:hAnsi="Times New Roman"/>
          <w:b/>
          <w:bCs/>
          <w:sz w:val="20"/>
          <w:szCs w:val="20"/>
        </w:rPr>
        <w:t>Observation 4: for CW outside topology, RAN4 needs some typical spatial isolation assumption before conclude whether to/ how to reflect self-interference by RF requirements.</w:t>
      </w:r>
    </w:p>
    <w:p>
      <w:pPr>
        <w:spacing w:after="180"/>
        <w:jc w:val="left"/>
        <w:rPr>
          <w:rFonts w:ascii="Times New Roman" w:hAnsi="Times New Roman"/>
          <w:b/>
          <w:bCs/>
          <w:sz w:val="20"/>
          <w:szCs w:val="20"/>
        </w:rPr>
      </w:pPr>
      <w:r>
        <w:rPr>
          <w:rFonts w:hint="eastAsia" w:ascii="Times New Roman" w:hAnsi="Times New Roman"/>
          <w:b/>
          <w:bCs/>
          <w:sz w:val="20"/>
          <w:szCs w:val="20"/>
        </w:rPr>
        <w:t xml:space="preserve">Observation 5: IMD product of multi-tone CW is much hard to be suppressed and filter solution may not work considering there is frequency overlapping between IMD products and wanted data. </w:t>
      </w:r>
    </w:p>
    <w:p>
      <w:pPr>
        <w:spacing w:after="180"/>
        <w:jc w:val="left"/>
        <w:rPr>
          <w:rFonts w:ascii="Times New Roman" w:hAnsi="Times New Roman"/>
          <w:b/>
          <w:bCs/>
          <w:sz w:val="20"/>
          <w:szCs w:val="20"/>
        </w:rPr>
      </w:pPr>
      <w:r>
        <w:rPr>
          <w:rFonts w:hint="eastAsia" w:ascii="Times New Roman" w:hAnsi="Times New Roman"/>
          <w:b/>
          <w:bCs/>
          <w:sz w:val="20"/>
          <w:szCs w:val="20"/>
        </w:rPr>
        <w:t>Proposal 5: RAN4 should wait for RAN1 CW signal design conclusion and then decide whether/how to consider the IMD product of multiple-tone CW when defining Rx requirements for reader.</w:t>
      </w:r>
    </w:p>
    <w:p>
      <w:pPr>
        <w:spacing w:after="180"/>
        <w:jc w:val="left"/>
        <w:rPr>
          <w:rFonts w:ascii="Times New Roman" w:hAnsi="Times New Roman"/>
          <w:sz w:val="20"/>
          <w:szCs w:val="20"/>
        </w:rPr>
      </w:pPr>
      <w:r>
        <w:rPr>
          <w:rFonts w:hint="eastAsia" w:ascii="Times New Roman" w:hAnsi="Times New Roman"/>
          <w:b/>
          <w:bCs/>
          <w:sz w:val="20"/>
          <w:szCs w:val="20"/>
        </w:rPr>
        <w:t>Proposal 6: for CW outside of topology, it seems only max output power and spurious emission requirement is applicable. The same RF framework applies for both topology 1 and topology 2.</w:t>
      </w:r>
    </w:p>
    <w:p>
      <w:pPr>
        <w:keepNext/>
        <w:keepLines/>
        <w:widowControl/>
        <w:pBdr>
          <w:top w:val="single" w:color="auto" w:sz="12" w:space="1"/>
        </w:pBdr>
        <w:tabs>
          <w:tab w:val="left" w:pos="567"/>
        </w:tabs>
        <w:adjustRightInd w:val="0"/>
        <w:spacing w:before="240" w:after="180"/>
        <w:ind w:left="510" w:hanging="510"/>
        <w:outlineLvl w:val="0"/>
        <w:rPr>
          <w:rFonts w:ascii="Calibri" w:hAnsi="Calibri" w:eastAsiaTheme="minorEastAsia" w:cstheme="minorBidi"/>
          <w:sz w:val="32"/>
          <w:szCs w:val="36"/>
        </w:rPr>
      </w:pPr>
      <w:r>
        <w:rPr>
          <w:rFonts w:ascii="Arial" w:hAnsi="Arial" w:eastAsiaTheme="minorEastAsia" w:cstheme="minorBidi"/>
          <w:sz w:val="32"/>
          <w:szCs w:val="36"/>
        </w:rPr>
        <w:t>4. Reference</w:t>
      </w:r>
    </w:p>
    <w:p>
      <w:pPr>
        <w:numPr>
          <w:ilvl w:val="0"/>
          <w:numId w:val="10"/>
        </w:numPr>
        <w:tabs>
          <w:tab w:val="right" w:pos="10440"/>
          <w:tab w:val="right" w:pos="13323"/>
        </w:tabs>
        <w:jc w:val="left"/>
        <w:rPr>
          <w:rFonts w:ascii="Times New Roman" w:hAnsi="Times New Roman"/>
          <w:sz w:val="20"/>
          <w:szCs w:val="20"/>
        </w:rPr>
      </w:pPr>
      <w:r>
        <w:rPr>
          <w:rFonts w:ascii="Times New Roman" w:hAnsi="Times New Roman"/>
          <w:sz w:val="20"/>
          <w:szCs w:val="20"/>
        </w:rPr>
        <w:t>R</w:t>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auto"/>
    <w:pitch w:val="default"/>
    <w:sig w:usb0="FFFFFFFF" w:usb1="E9FFFFFF" w:usb2="0000003F" w:usb3="00000000" w:csb0="603F01FF" w:csb1="FFFF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MS Gothic"/>
    <w:panose1 w:val="00000000000000000000"/>
    <w:charset w:val="80"/>
    <w:family w:val="roma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53400A"/>
    <w:multiLevelType w:val="singleLevel"/>
    <w:tmpl w:val="B053400A"/>
    <w:lvl w:ilvl="0" w:tentative="0">
      <w:start w:val="1"/>
      <w:numFmt w:val="bullet"/>
      <w:lvlText w:val=""/>
      <w:lvlJc w:val="left"/>
      <w:pPr>
        <w:ind w:left="420" w:hanging="420"/>
      </w:pPr>
      <w:rPr>
        <w:rFonts w:hint="default" w:ascii="Wingdings" w:hAnsi="Wingdings"/>
      </w:rPr>
    </w:lvl>
  </w:abstractNum>
  <w:abstractNum w:abstractNumId="1">
    <w:nsid w:val="DFAE1895"/>
    <w:multiLevelType w:val="singleLevel"/>
    <w:tmpl w:val="DFAE1895"/>
    <w:lvl w:ilvl="0" w:tentative="0">
      <w:start w:val="1"/>
      <w:numFmt w:val="decimal"/>
      <w:suff w:val="space"/>
      <w:lvlText w:val="[%1]"/>
      <w:lvlJc w:val="left"/>
    </w:lvl>
  </w:abstractNum>
  <w:abstractNum w:abstractNumId="2">
    <w:nsid w:val="E36BDDE0"/>
    <w:multiLevelType w:val="multilevel"/>
    <w:tmpl w:val="E36BDDE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
    <w:nsid w:val="FFEB2C90"/>
    <w:multiLevelType w:val="multilevel"/>
    <w:tmpl w:val="FFEB2C90"/>
    <w:lvl w:ilvl="0" w:tentative="0">
      <w:start w:val="1"/>
      <w:numFmt w:val="bullet"/>
      <w:lvlText w:val=""/>
      <w:lvlJc w:val="left"/>
      <w:pPr>
        <w:ind w:left="936" w:hanging="360"/>
      </w:pPr>
      <w:rPr>
        <w:rFonts w:hint="default" w:ascii="Symbol" w:hAnsi="Symbol"/>
        <w:lang w:val="en-GB"/>
      </w:rPr>
    </w:lvl>
    <w:lvl w:ilvl="1" w:tentative="0">
      <w:start w:val="1"/>
      <w:numFmt w:val="bullet"/>
      <w:lvlText w:val="o"/>
      <w:lvlJc w:val="left"/>
      <w:pPr>
        <w:ind w:left="1656" w:hanging="360"/>
      </w:pPr>
      <w:rPr>
        <w:rFonts w:hint="default" w:ascii="Courier New" w:hAnsi="Courier New" w:cs="CG Times (WN)"/>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G Times (WN)"/>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G Times (WN)"/>
      </w:rPr>
    </w:lvl>
    <w:lvl w:ilvl="8" w:tentative="0">
      <w:start w:val="1"/>
      <w:numFmt w:val="bullet"/>
      <w:lvlText w:val=""/>
      <w:lvlJc w:val="left"/>
      <w:pPr>
        <w:ind w:left="6696" w:hanging="360"/>
      </w:pPr>
      <w:rPr>
        <w:rFonts w:hint="default" w:ascii="Wingdings" w:hAnsi="Wingdings"/>
      </w:rPr>
    </w:lvl>
  </w:abstractNum>
  <w:abstractNum w:abstractNumId="4">
    <w:nsid w:val="044EE66C"/>
    <w:multiLevelType w:val="multilevel"/>
    <w:tmpl w:val="044EE66C"/>
    <w:lvl w:ilvl="0" w:tentative="0">
      <w:start w:val="2"/>
      <w:numFmt w:val="decimal"/>
      <w:suff w:val="space"/>
      <w:lvlText w:val="%1."/>
      <w:lvlJc w:val="left"/>
    </w:lvl>
    <w:lvl w:ilvl="1" w:tentative="0">
      <w:start w:val="1"/>
      <w:numFmt w:val="decimal"/>
      <w:suff w:val="space"/>
      <w:lvlText w:val="%1.%2"/>
      <w:lvlJc w:val="left"/>
      <w:pPr>
        <w:ind w:left="4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5">
    <w:nsid w:val="0800CF2C"/>
    <w:multiLevelType w:val="singleLevel"/>
    <w:tmpl w:val="0800CF2C"/>
    <w:lvl w:ilvl="0" w:tentative="0">
      <w:start w:val="1"/>
      <w:numFmt w:val="bullet"/>
      <w:lvlText w:val=""/>
      <w:lvlJc w:val="left"/>
      <w:pPr>
        <w:ind w:left="420" w:hanging="420"/>
      </w:pPr>
      <w:rPr>
        <w:rFonts w:hint="default" w:ascii="Wingdings" w:hAnsi="Wingdings"/>
      </w:rPr>
    </w:lvl>
  </w:abstractNum>
  <w:abstractNum w:abstractNumId="6">
    <w:nsid w:val="14910110"/>
    <w:multiLevelType w:val="multilevel"/>
    <w:tmpl w:val="14910110"/>
    <w:lvl w:ilvl="0" w:tentative="0">
      <w:start w:val="1"/>
      <w:numFmt w:val="bullet"/>
      <w:lvlText w:val=""/>
      <w:lvlJc w:val="left"/>
      <w:pPr>
        <w:ind w:left="936" w:hanging="360"/>
      </w:pPr>
      <w:rPr>
        <w:rFonts w:hint="default" w:ascii="Symbol" w:hAnsi="Symbol"/>
        <w:lang w:val="en-GB"/>
      </w:rPr>
    </w:lvl>
    <w:lvl w:ilvl="1" w:tentative="0">
      <w:start w:val="1"/>
      <w:numFmt w:val="bullet"/>
      <w:lvlText w:val="o"/>
      <w:lvlJc w:val="left"/>
      <w:pPr>
        <w:ind w:left="1656" w:hanging="360"/>
      </w:pPr>
      <w:rPr>
        <w:rFonts w:hint="default" w:ascii="Courier New" w:hAnsi="Courier New" w:cs="CG Times (WN)"/>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G Times (WN)"/>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G Times (WN)"/>
      </w:rPr>
    </w:lvl>
    <w:lvl w:ilvl="8" w:tentative="0">
      <w:start w:val="1"/>
      <w:numFmt w:val="bullet"/>
      <w:lvlText w:val=""/>
      <w:lvlJc w:val="left"/>
      <w:pPr>
        <w:ind w:left="6696" w:hanging="360"/>
      </w:pPr>
      <w:rPr>
        <w:rFonts w:hint="default" w:ascii="Wingdings" w:hAnsi="Wingdings"/>
      </w:rPr>
    </w:lvl>
  </w:abstractNum>
  <w:abstractNum w:abstractNumId="7">
    <w:nsid w:val="59A3EE9E"/>
    <w:multiLevelType w:val="multilevel"/>
    <w:tmpl w:val="59A3EE9E"/>
    <w:lvl w:ilvl="0" w:tentative="0">
      <w:start w:val="1"/>
      <w:numFmt w:val="bullet"/>
      <w:lvlText w:val=""/>
      <w:lvlJc w:val="left"/>
      <w:pPr>
        <w:ind w:left="936" w:hanging="360"/>
      </w:pPr>
      <w:rPr>
        <w:rFonts w:hint="default" w:ascii="Symbol" w:hAnsi="Symbol"/>
        <w:lang w:val="en-GB"/>
      </w:rPr>
    </w:lvl>
    <w:lvl w:ilvl="1" w:tentative="0">
      <w:start w:val="1"/>
      <w:numFmt w:val="bullet"/>
      <w:lvlText w:val="o"/>
      <w:lvlJc w:val="left"/>
      <w:pPr>
        <w:ind w:left="1656" w:hanging="360"/>
      </w:pPr>
      <w:rPr>
        <w:rFonts w:hint="default" w:ascii="Courier New" w:hAnsi="Courier New" w:cs="CG Times (WN)"/>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G Times (WN)"/>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G Times (WN)"/>
      </w:rPr>
    </w:lvl>
    <w:lvl w:ilvl="8" w:tentative="0">
      <w:start w:val="1"/>
      <w:numFmt w:val="bullet"/>
      <w:lvlText w:val=""/>
      <w:lvlJc w:val="left"/>
      <w:pPr>
        <w:ind w:left="6696" w:hanging="360"/>
      </w:pPr>
      <w:rPr>
        <w:rFonts w:hint="default" w:ascii="Wingdings" w:hAnsi="Wingdings"/>
      </w:rPr>
    </w:lvl>
  </w:abstractNum>
  <w:abstractNum w:abstractNumId="8">
    <w:nsid w:val="79A6892F"/>
    <w:multiLevelType w:val="multilevel"/>
    <w:tmpl w:val="79A6892F"/>
    <w:lvl w:ilvl="0" w:tentative="0">
      <w:start w:val="1"/>
      <w:numFmt w:val="bullet"/>
      <w:lvlText w:val=""/>
      <w:lvlJc w:val="left"/>
      <w:pPr>
        <w:ind w:left="936" w:hanging="360"/>
      </w:pPr>
      <w:rPr>
        <w:rFonts w:hint="default" w:ascii="Symbol" w:hAnsi="Symbol"/>
        <w:lang w:val="en-GB"/>
      </w:rPr>
    </w:lvl>
    <w:lvl w:ilvl="1" w:tentative="0">
      <w:start w:val="1"/>
      <w:numFmt w:val="bullet"/>
      <w:lvlText w:val="o"/>
      <w:lvlJc w:val="left"/>
      <w:pPr>
        <w:ind w:left="1656" w:hanging="360"/>
      </w:pPr>
      <w:rPr>
        <w:rFonts w:hint="default" w:ascii="Courier New" w:hAnsi="Courier New" w:cs="CG Times (WN)"/>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G Times (WN)"/>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G Times (WN)"/>
      </w:rPr>
    </w:lvl>
    <w:lvl w:ilvl="8" w:tentative="0">
      <w:start w:val="1"/>
      <w:numFmt w:val="bullet"/>
      <w:lvlText w:val=""/>
      <w:lvlJc w:val="left"/>
      <w:pPr>
        <w:ind w:left="6696" w:hanging="360"/>
      </w:pPr>
      <w:rPr>
        <w:rFonts w:hint="default" w:ascii="Wingdings" w:hAnsi="Wingdings"/>
      </w:rPr>
    </w:lvl>
  </w:abstractNum>
  <w:abstractNum w:abstractNumId="9">
    <w:nsid w:val="79BA65EF"/>
    <w:multiLevelType w:val="singleLevel"/>
    <w:tmpl w:val="79BA65EF"/>
    <w:lvl w:ilvl="0" w:tentative="0">
      <w:start w:val="1"/>
      <w:numFmt w:val="bullet"/>
      <w:lvlText w:val=""/>
      <w:lvlJc w:val="left"/>
      <w:pPr>
        <w:ind w:left="420" w:hanging="420"/>
      </w:pPr>
      <w:rPr>
        <w:rFonts w:hint="default" w:ascii="Wingdings" w:hAnsi="Wingdings"/>
      </w:rPr>
    </w:lvl>
  </w:abstractNum>
  <w:num w:numId="1">
    <w:abstractNumId w:val="2"/>
  </w:num>
  <w:num w:numId="2">
    <w:abstractNumId w:val="4"/>
  </w:num>
  <w:num w:numId="3">
    <w:abstractNumId w:val="5"/>
  </w:num>
  <w:num w:numId="4">
    <w:abstractNumId w:val="3"/>
  </w:num>
  <w:num w:numId="5">
    <w:abstractNumId w:val="7"/>
  </w:num>
  <w:num w:numId="6">
    <w:abstractNumId w:val="0"/>
  </w:num>
  <w:num w:numId="7">
    <w:abstractNumId w:val="6"/>
  </w:num>
  <w:num w:numId="8">
    <w:abstractNumId w:val="8"/>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058"/>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2911"/>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491"/>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489"/>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79C"/>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047"/>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4E9"/>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219A"/>
    <w:rsid w:val="00A24C2D"/>
    <w:rsid w:val="00A24E75"/>
    <w:rsid w:val="00A24F28"/>
    <w:rsid w:val="00A25102"/>
    <w:rsid w:val="00A27728"/>
    <w:rsid w:val="00A27A2C"/>
    <w:rsid w:val="00A27A67"/>
    <w:rsid w:val="00A27C56"/>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3EC"/>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1E1"/>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0B6346"/>
    <w:rsid w:val="012F3F7C"/>
    <w:rsid w:val="017932F1"/>
    <w:rsid w:val="018A0E13"/>
    <w:rsid w:val="01A65CE3"/>
    <w:rsid w:val="01BD0368"/>
    <w:rsid w:val="01DE089D"/>
    <w:rsid w:val="0203408A"/>
    <w:rsid w:val="020970CA"/>
    <w:rsid w:val="0226460D"/>
    <w:rsid w:val="023B43AB"/>
    <w:rsid w:val="028E1852"/>
    <w:rsid w:val="02C81B1F"/>
    <w:rsid w:val="02E5364E"/>
    <w:rsid w:val="03151C1F"/>
    <w:rsid w:val="03391357"/>
    <w:rsid w:val="035967B1"/>
    <w:rsid w:val="03597E40"/>
    <w:rsid w:val="035D4591"/>
    <w:rsid w:val="03631D1E"/>
    <w:rsid w:val="037E5DCB"/>
    <w:rsid w:val="03E26584"/>
    <w:rsid w:val="04492C16"/>
    <w:rsid w:val="045647A9"/>
    <w:rsid w:val="04680BC2"/>
    <w:rsid w:val="046A6CCD"/>
    <w:rsid w:val="047B4D00"/>
    <w:rsid w:val="04A732AF"/>
    <w:rsid w:val="04B527F1"/>
    <w:rsid w:val="05014C42"/>
    <w:rsid w:val="05026E46"/>
    <w:rsid w:val="053C405B"/>
    <w:rsid w:val="056F5AD7"/>
    <w:rsid w:val="057B51DE"/>
    <w:rsid w:val="058916A3"/>
    <w:rsid w:val="059E10D1"/>
    <w:rsid w:val="05A012C8"/>
    <w:rsid w:val="05AA7D54"/>
    <w:rsid w:val="05BF54F8"/>
    <w:rsid w:val="05E277B3"/>
    <w:rsid w:val="05FF6A11"/>
    <w:rsid w:val="060557D7"/>
    <w:rsid w:val="06305334"/>
    <w:rsid w:val="0636723D"/>
    <w:rsid w:val="06434355"/>
    <w:rsid w:val="068C7C4C"/>
    <w:rsid w:val="06963DDF"/>
    <w:rsid w:val="06CC0A35"/>
    <w:rsid w:val="07031681"/>
    <w:rsid w:val="070A3CB8"/>
    <w:rsid w:val="07530E8A"/>
    <w:rsid w:val="0769686A"/>
    <w:rsid w:val="076E27BD"/>
    <w:rsid w:val="076E63D7"/>
    <w:rsid w:val="0770402F"/>
    <w:rsid w:val="078E5270"/>
    <w:rsid w:val="07913C76"/>
    <w:rsid w:val="07B42F31"/>
    <w:rsid w:val="07CA6B66"/>
    <w:rsid w:val="07F15671"/>
    <w:rsid w:val="08200491"/>
    <w:rsid w:val="08425E71"/>
    <w:rsid w:val="085D3E3F"/>
    <w:rsid w:val="087912F3"/>
    <w:rsid w:val="088C4ECC"/>
    <w:rsid w:val="08973524"/>
    <w:rsid w:val="08A26EE3"/>
    <w:rsid w:val="08A65D3D"/>
    <w:rsid w:val="08F822C4"/>
    <w:rsid w:val="0900762B"/>
    <w:rsid w:val="09264BC9"/>
    <w:rsid w:val="092D4D1C"/>
    <w:rsid w:val="09626007"/>
    <w:rsid w:val="09670379"/>
    <w:rsid w:val="097C4A9B"/>
    <w:rsid w:val="09993AB5"/>
    <w:rsid w:val="09B86E7F"/>
    <w:rsid w:val="09BA2F22"/>
    <w:rsid w:val="09C147BD"/>
    <w:rsid w:val="09F66D51"/>
    <w:rsid w:val="0A0219DF"/>
    <w:rsid w:val="0A6367BB"/>
    <w:rsid w:val="0A894FD9"/>
    <w:rsid w:val="0A9458FA"/>
    <w:rsid w:val="0AA20101"/>
    <w:rsid w:val="0ABA1F25"/>
    <w:rsid w:val="0ADD2F10"/>
    <w:rsid w:val="0AE113D2"/>
    <w:rsid w:val="0AF67B8B"/>
    <w:rsid w:val="0B0758A7"/>
    <w:rsid w:val="0B1B4548"/>
    <w:rsid w:val="0B3166EB"/>
    <w:rsid w:val="0BBF5056"/>
    <w:rsid w:val="0BE65845"/>
    <w:rsid w:val="0BE92617"/>
    <w:rsid w:val="0BEA0098"/>
    <w:rsid w:val="0BF0521B"/>
    <w:rsid w:val="0BF7455D"/>
    <w:rsid w:val="0BFE4B3A"/>
    <w:rsid w:val="0C296C83"/>
    <w:rsid w:val="0C5C1421"/>
    <w:rsid w:val="0C691E9F"/>
    <w:rsid w:val="0C8D3125"/>
    <w:rsid w:val="0CDD41A8"/>
    <w:rsid w:val="0D545798"/>
    <w:rsid w:val="0D5D37FD"/>
    <w:rsid w:val="0D624402"/>
    <w:rsid w:val="0D696CE5"/>
    <w:rsid w:val="0D747B9F"/>
    <w:rsid w:val="0D8F41B3"/>
    <w:rsid w:val="0DD237BC"/>
    <w:rsid w:val="0E037D57"/>
    <w:rsid w:val="0E1D4B35"/>
    <w:rsid w:val="0E241F41"/>
    <w:rsid w:val="0E413A70"/>
    <w:rsid w:val="0E5E63A7"/>
    <w:rsid w:val="0E5F68A3"/>
    <w:rsid w:val="0E7813A9"/>
    <w:rsid w:val="0EBC441C"/>
    <w:rsid w:val="0EBD33B9"/>
    <w:rsid w:val="0EBE690E"/>
    <w:rsid w:val="0F1A117A"/>
    <w:rsid w:val="0F1C3F4D"/>
    <w:rsid w:val="0F5116AE"/>
    <w:rsid w:val="0F596ABB"/>
    <w:rsid w:val="0F5F09C4"/>
    <w:rsid w:val="0F5F4247"/>
    <w:rsid w:val="0F6273CA"/>
    <w:rsid w:val="0F7D4B34"/>
    <w:rsid w:val="0FC419ED"/>
    <w:rsid w:val="0FCB3577"/>
    <w:rsid w:val="0FD9288C"/>
    <w:rsid w:val="0FEE6FAE"/>
    <w:rsid w:val="0FF20B73"/>
    <w:rsid w:val="10003991"/>
    <w:rsid w:val="100565B7"/>
    <w:rsid w:val="101F3001"/>
    <w:rsid w:val="10254F0A"/>
    <w:rsid w:val="10337AA3"/>
    <w:rsid w:val="10406DB9"/>
    <w:rsid w:val="105E6369"/>
    <w:rsid w:val="107A5C99"/>
    <w:rsid w:val="107B7E97"/>
    <w:rsid w:val="10991D9E"/>
    <w:rsid w:val="10994EC9"/>
    <w:rsid w:val="109C57D8"/>
    <w:rsid w:val="10D64689"/>
    <w:rsid w:val="10E05471"/>
    <w:rsid w:val="10ED29B0"/>
    <w:rsid w:val="10EF7E56"/>
    <w:rsid w:val="10FB74EC"/>
    <w:rsid w:val="11321BC4"/>
    <w:rsid w:val="1139154F"/>
    <w:rsid w:val="113A6FD0"/>
    <w:rsid w:val="11462FAC"/>
    <w:rsid w:val="11475BCD"/>
    <w:rsid w:val="1155307D"/>
    <w:rsid w:val="1160140E"/>
    <w:rsid w:val="11797DBA"/>
    <w:rsid w:val="117C38F8"/>
    <w:rsid w:val="117D6EEE"/>
    <w:rsid w:val="11B5219D"/>
    <w:rsid w:val="11DF67EB"/>
    <w:rsid w:val="12106FE1"/>
    <w:rsid w:val="12213A4B"/>
    <w:rsid w:val="122946DB"/>
    <w:rsid w:val="12750F57"/>
    <w:rsid w:val="12897C74"/>
    <w:rsid w:val="129C3395"/>
    <w:rsid w:val="12E83AF4"/>
    <w:rsid w:val="131A26ED"/>
    <w:rsid w:val="134273A6"/>
    <w:rsid w:val="13771DFE"/>
    <w:rsid w:val="138F4439"/>
    <w:rsid w:val="13F25EC4"/>
    <w:rsid w:val="14245767"/>
    <w:rsid w:val="144A7BD8"/>
    <w:rsid w:val="144A7C4E"/>
    <w:rsid w:val="145A45EF"/>
    <w:rsid w:val="145C23B3"/>
    <w:rsid w:val="149A0C5C"/>
    <w:rsid w:val="149E7662"/>
    <w:rsid w:val="1508348E"/>
    <w:rsid w:val="15127621"/>
    <w:rsid w:val="15350710"/>
    <w:rsid w:val="155F416A"/>
    <w:rsid w:val="156354FD"/>
    <w:rsid w:val="156C0FB4"/>
    <w:rsid w:val="157902CA"/>
    <w:rsid w:val="157A51BC"/>
    <w:rsid w:val="157A5D4B"/>
    <w:rsid w:val="159557BE"/>
    <w:rsid w:val="15A85596"/>
    <w:rsid w:val="15CD7D54"/>
    <w:rsid w:val="15D00CD9"/>
    <w:rsid w:val="15E450B5"/>
    <w:rsid w:val="16371982"/>
    <w:rsid w:val="163D388B"/>
    <w:rsid w:val="16456719"/>
    <w:rsid w:val="1683077C"/>
    <w:rsid w:val="168B5B89"/>
    <w:rsid w:val="16C005E1"/>
    <w:rsid w:val="16D51FE2"/>
    <w:rsid w:val="16E06917"/>
    <w:rsid w:val="16FD2BCB"/>
    <w:rsid w:val="173B7F2B"/>
    <w:rsid w:val="175862BF"/>
    <w:rsid w:val="17912EB8"/>
    <w:rsid w:val="179D67CA"/>
    <w:rsid w:val="17B730F8"/>
    <w:rsid w:val="17C46B8A"/>
    <w:rsid w:val="17C65910"/>
    <w:rsid w:val="17C80E13"/>
    <w:rsid w:val="17E44EC0"/>
    <w:rsid w:val="17F263D4"/>
    <w:rsid w:val="17F52BDC"/>
    <w:rsid w:val="180D2D20"/>
    <w:rsid w:val="180E3E11"/>
    <w:rsid w:val="18197DDC"/>
    <w:rsid w:val="182249A5"/>
    <w:rsid w:val="182269B6"/>
    <w:rsid w:val="183A0ACF"/>
    <w:rsid w:val="18642373"/>
    <w:rsid w:val="187831B6"/>
    <w:rsid w:val="18834ED9"/>
    <w:rsid w:val="18A656AF"/>
    <w:rsid w:val="18CE28C0"/>
    <w:rsid w:val="18E26C79"/>
    <w:rsid w:val="18E55D68"/>
    <w:rsid w:val="18FE0AB6"/>
    <w:rsid w:val="1911682C"/>
    <w:rsid w:val="19330066"/>
    <w:rsid w:val="19813C3F"/>
    <w:rsid w:val="19A17418"/>
    <w:rsid w:val="19B263B5"/>
    <w:rsid w:val="19B93092"/>
    <w:rsid w:val="19DF2D99"/>
    <w:rsid w:val="19EA686E"/>
    <w:rsid w:val="1A0A00C9"/>
    <w:rsid w:val="1A7D000B"/>
    <w:rsid w:val="1A8670A6"/>
    <w:rsid w:val="1A97657B"/>
    <w:rsid w:val="1A9E2B3B"/>
    <w:rsid w:val="1AAE167A"/>
    <w:rsid w:val="1AB02A55"/>
    <w:rsid w:val="1AF91F50"/>
    <w:rsid w:val="1AFD11C6"/>
    <w:rsid w:val="1B00542F"/>
    <w:rsid w:val="1B2F42F1"/>
    <w:rsid w:val="1B301DA5"/>
    <w:rsid w:val="1B3F3E40"/>
    <w:rsid w:val="1B7C00B3"/>
    <w:rsid w:val="1B7C0EA4"/>
    <w:rsid w:val="1BB42683"/>
    <w:rsid w:val="1BC416C3"/>
    <w:rsid w:val="1BCC31A1"/>
    <w:rsid w:val="1BF509C2"/>
    <w:rsid w:val="1BF95FEE"/>
    <w:rsid w:val="1C0D0793"/>
    <w:rsid w:val="1C1B332C"/>
    <w:rsid w:val="1C2A6C2E"/>
    <w:rsid w:val="1C363B56"/>
    <w:rsid w:val="1C527C03"/>
    <w:rsid w:val="1C700838"/>
    <w:rsid w:val="1CAB3B14"/>
    <w:rsid w:val="1CE56278"/>
    <w:rsid w:val="1CFC261A"/>
    <w:rsid w:val="1CFF6E5D"/>
    <w:rsid w:val="1D0432AA"/>
    <w:rsid w:val="1D0A4412"/>
    <w:rsid w:val="1D0B38F8"/>
    <w:rsid w:val="1D1D5776"/>
    <w:rsid w:val="1D2753AE"/>
    <w:rsid w:val="1D3E218A"/>
    <w:rsid w:val="1D41310E"/>
    <w:rsid w:val="1D67479E"/>
    <w:rsid w:val="1D6D7456"/>
    <w:rsid w:val="1D7879E5"/>
    <w:rsid w:val="1D867707"/>
    <w:rsid w:val="1DCD4643"/>
    <w:rsid w:val="1DE75A9B"/>
    <w:rsid w:val="1E295925"/>
    <w:rsid w:val="1E3D0B9B"/>
    <w:rsid w:val="1E535731"/>
    <w:rsid w:val="1E81151C"/>
    <w:rsid w:val="1E884DB6"/>
    <w:rsid w:val="1EBF357F"/>
    <w:rsid w:val="1EDC50AE"/>
    <w:rsid w:val="1EFE1319"/>
    <w:rsid w:val="1F0C367F"/>
    <w:rsid w:val="1F0D1045"/>
    <w:rsid w:val="1F1F489E"/>
    <w:rsid w:val="1F2F076D"/>
    <w:rsid w:val="1F5B6C81"/>
    <w:rsid w:val="1F8B19CE"/>
    <w:rsid w:val="1FFB17BC"/>
    <w:rsid w:val="200C3221"/>
    <w:rsid w:val="201828B7"/>
    <w:rsid w:val="203D39F0"/>
    <w:rsid w:val="20471021"/>
    <w:rsid w:val="204B2D06"/>
    <w:rsid w:val="20672636"/>
    <w:rsid w:val="20731CCC"/>
    <w:rsid w:val="20817033"/>
    <w:rsid w:val="208F37FB"/>
    <w:rsid w:val="20990887"/>
    <w:rsid w:val="20B523B5"/>
    <w:rsid w:val="20C65ED3"/>
    <w:rsid w:val="20E833A7"/>
    <w:rsid w:val="20EA2C10"/>
    <w:rsid w:val="21182A73"/>
    <w:rsid w:val="2139298F"/>
    <w:rsid w:val="216C01F4"/>
    <w:rsid w:val="219168A1"/>
    <w:rsid w:val="21B038D2"/>
    <w:rsid w:val="21D70408"/>
    <w:rsid w:val="2216237D"/>
    <w:rsid w:val="221E7789"/>
    <w:rsid w:val="223076A3"/>
    <w:rsid w:val="228B3B2E"/>
    <w:rsid w:val="22A144DF"/>
    <w:rsid w:val="22CE62A8"/>
    <w:rsid w:val="22E55ECD"/>
    <w:rsid w:val="22E84C54"/>
    <w:rsid w:val="22ED23E8"/>
    <w:rsid w:val="235E2230"/>
    <w:rsid w:val="2370600B"/>
    <w:rsid w:val="237B1C44"/>
    <w:rsid w:val="23CA7445"/>
    <w:rsid w:val="240671CC"/>
    <w:rsid w:val="241B0EB4"/>
    <w:rsid w:val="24513BF6"/>
    <w:rsid w:val="24683E4B"/>
    <w:rsid w:val="246C2851"/>
    <w:rsid w:val="24775DB4"/>
    <w:rsid w:val="24841763"/>
    <w:rsid w:val="2488042D"/>
    <w:rsid w:val="24896A55"/>
    <w:rsid w:val="248A4000"/>
    <w:rsid w:val="24C36C6D"/>
    <w:rsid w:val="24CD15F1"/>
    <w:rsid w:val="24D50BFC"/>
    <w:rsid w:val="254734B9"/>
    <w:rsid w:val="254E0ABD"/>
    <w:rsid w:val="25641764"/>
    <w:rsid w:val="257C268E"/>
    <w:rsid w:val="258A21E5"/>
    <w:rsid w:val="25A10883"/>
    <w:rsid w:val="25D729E7"/>
    <w:rsid w:val="260E417C"/>
    <w:rsid w:val="260F5480"/>
    <w:rsid w:val="26382DB8"/>
    <w:rsid w:val="264017D0"/>
    <w:rsid w:val="265C4D5F"/>
    <w:rsid w:val="26644B8A"/>
    <w:rsid w:val="2683355D"/>
    <w:rsid w:val="268A1547"/>
    <w:rsid w:val="268B3CAF"/>
    <w:rsid w:val="269243D5"/>
    <w:rsid w:val="26A73075"/>
    <w:rsid w:val="26B2270B"/>
    <w:rsid w:val="26E718E0"/>
    <w:rsid w:val="26F853FE"/>
    <w:rsid w:val="270B1F80"/>
    <w:rsid w:val="274B1605"/>
    <w:rsid w:val="27706A48"/>
    <w:rsid w:val="277D7855"/>
    <w:rsid w:val="27816C71"/>
    <w:rsid w:val="278B3C06"/>
    <w:rsid w:val="27990C94"/>
    <w:rsid w:val="27C61EE6"/>
    <w:rsid w:val="27E33F9B"/>
    <w:rsid w:val="27F23097"/>
    <w:rsid w:val="2805016B"/>
    <w:rsid w:val="281F2C62"/>
    <w:rsid w:val="286036CB"/>
    <w:rsid w:val="2896161D"/>
    <w:rsid w:val="28A2792A"/>
    <w:rsid w:val="28AA4C8A"/>
    <w:rsid w:val="28DF529E"/>
    <w:rsid w:val="28E30421"/>
    <w:rsid w:val="294A494E"/>
    <w:rsid w:val="29560760"/>
    <w:rsid w:val="2960326E"/>
    <w:rsid w:val="296A7401"/>
    <w:rsid w:val="2970130A"/>
    <w:rsid w:val="2975343F"/>
    <w:rsid w:val="297731BB"/>
    <w:rsid w:val="29922597"/>
    <w:rsid w:val="29AE0DEF"/>
    <w:rsid w:val="29B84F82"/>
    <w:rsid w:val="29C71D19"/>
    <w:rsid w:val="29F87F6A"/>
    <w:rsid w:val="29FE3300"/>
    <w:rsid w:val="2A144016"/>
    <w:rsid w:val="2A241E56"/>
    <w:rsid w:val="2A24682F"/>
    <w:rsid w:val="2A270F8C"/>
    <w:rsid w:val="2A2C74BF"/>
    <w:rsid w:val="2A377A4E"/>
    <w:rsid w:val="2A53737E"/>
    <w:rsid w:val="2A573A81"/>
    <w:rsid w:val="2A704730"/>
    <w:rsid w:val="2A8A52DA"/>
    <w:rsid w:val="2AC70C94"/>
    <w:rsid w:val="2AE354DA"/>
    <w:rsid w:val="2AE83C9F"/>
    <w:rsid w:val="2B1E47FB"/>
    <w:rsid w:val="2B2A3B5F"/>
    <w:rsid w:val="2B6A6B46"/>
    <w:rsid w:val="2B7042D3"/>
    <w:rsid w:val="2B7A5997"/>
    <w:rsid w:val="2B833767"/>
    <w:rsid w:val="2BCE466D"/>
    <w:rsid w:val="2C0547C6"/>
    <w:rsid w:val="2C380499"/>
    <w:rsid w:val="2C401128"/>
    <w:rsid w:val="2C8A2F49"/>
    <w:rsid w:val="2C9F3BCE"/>
    <w:rsid w:val="2CA12446"/>
    <w:rsid w:val="2CA64350"/>
    <w:rsid w:val="2CDB1327"/>
    <w:rsid w:val="2CF9108B"/>
    <w:rsid w:val="2CFB0BBA"/>
    <w:rsid w:val="2D0B6272"/>
    <w:rsid w:val="2D34475F"/>
    <w:rsid w:val="2D4D51B1"/>
    <w:rsid w:val="2D4D79AC"/>
    <w:rsid w:val="2D593F87"/>
    <w:rsid w:val="2D5F79DA"/>
    <w:rsid w:val="2D976090"/>
    <w:rsid w:val="2DA873F6"/>
    <w:rsid w:val="2DB7418D"/>
    <w:rsid w:val="2DD00879"/>
    <w:rsid w:val="2DD5373D"/>
    <w:rsid w:val="2DF80479"/>
    <w:rsid w:val="2E0B52AE"/>
    <w:rsid w:val="2E0E041F"/>
    <w:rsid w:val="2E141396"/>
    <w:rsid w:val="2E2A44CC"/>
    <w:rsid w:val="2E4317F2"/>
    <w:rsid w:val="2E747DC3"/>
    <w:rsid w:val="2E8F1C72"/>
    <w:rsid w:val="2E9C0F87"/>
    <w:rsid w:val="2EA61F97"/>
    <w:rsid w:val="2EB7077F"/>
    <w:rsid w:val="2EB8044F"/>
    <w:rsid w:val="2EC16B9C"/>
    <w:rsid w:val="2ED53072"/>
    <w:rsid w:val="2ED8336B"/>
    <w:rsid w:val="2EDF426C"/>
    <w:rsid w:val="2EEC200B"/>
    <w:rsid w:val="2EEC4E92"/>
    <w:rsid w:val="2F1A1856"/>
    <w:rsid w:val="2F1C0982"/>
    <w:rsid w:val="2F357E81"/>
    <w:rsid w:val="2F5B00C1"/>
    <w:rsid w:val="2F63302B"/>
    <w:rsid w:val="2F747966"/>
    <w:rsid w:val="2FA801C0"/>
    <w:rsid w:val="2FCB6344"/>
    <w:rsid w:val="2FE04DD6"/>
    <w:rsid w:val="2FEC0BD0"/>
    <w:rsid w:val="2FEC1523"/>
    <w:rsid w:val="300D5786"/>
    <w:rsid w:val="3011145B"/>
    <w:rsid w:val="30163006"/>
    <w:rsid w:val="30524DF2"/>
    <w:rsid w:val="305E446B"/>
    <w:rsid w:val="306B7868"/>
    <w:rsid w:val="30781792"/>
    <w:rsid w:val="3099089E"/>
    <w:rsid w:val="30A563A3"/>
    <w:rsid w:val="30B97FFD"/>
    <w:rsid w:val="30E346C5"/>
    <w:rsid w:val="31187F2F"/>
    <w:rsid w:val="313C4D53"/>
    <w:rsid w:val="31432160"/>
    <w:rsid w:val="31490DA5"/>
    <w:rsid w:val="31570E00"/>
    <w:rsid w:val="315F185A"/>
    <w:rsid w:val="315F5D75"/>
    <w:rsid w:val="31A54783"/>
    <w:rsid w:val="31CA113F"/>
    <w:rsid w:val="31E91E87"/>
    <w:rsid w:val="320E10B5"/>
    <w:rsid w:val="3243059C"/>
    <w:rsid w:val="32697D44"/>
    <w:rsid w:val="326D0948"/>
    <w:rsid w:val="328A5CFA"/>
    <w:rsid w:val="32C835E0"/>
    <w:rsid w:val="32D23EF0"/>
    <w:rsid w:val="32DF7982"/>
    <w:rsid w:val="331537CD"/>
    <w:rsid w:val="331B1D66"/>
    <w:rsid w:val="331E4E70"/>
    <w:rsid w:val="33285651"/>
    <w:rsid w:val="332F4289"/>
    <w:rsid w:val="336E17F0"/>
    <w:rsid w:val="33814F8D"/>
    <w:rsid w:val="33C133A6"/>
    <w:rsid w:val="33CC276C"/>
    <w:rsid w:val="33E2230D"/>
    <w:rsid w:val="33FB26D9"/>
    <w:rsid w:val="3424001A"/>
    <w:rsid w:val="34291F23"/>
    <w:rsid w:val="34413D46"/>
    <w:rsid w:val="34432ACD"/>
    <w:rsid w:val="344A45A5"/>
    <w:rsid w:val="345C5BF5"/>
    <w:rsid w:val="34692D0C"/>
    <w:rsid w:val="348103B3"/>
    <w:rsid w:val="34A76F6E"/>
    <w:rsid w:val="34E116D1"/>
    <w:rsid w:val="356F47B8"/>
    <w:rsid w:val="357C3ACE"/>
    <w:rsid w:val="357D1550"/>
    <w:rsid w:val="35962F2D"/>
    <w:rsid w:val="359F2D89"/>
    <w:rsid w:val="35AB6D2D"/>
    <w:rsid w:val="35B629AE"/>
    <w:rsid w:val="35B71496"/>
    <w:rsid w:val="35B73EBF"/>
    <w:rsid w:val="35B8262E"/>
    <w:rsid w:val="35BA5B31"/>
    <w:rsid w:val="35C74E47"/>
    <w:rsid w:val="35CC12CF"/>
    <w:rsid w:val="35D319E6"/>
    <w:rsid w:val="35D72EE3"/>
    <w:rsid w:val="35E768F5"/>
    <w:rsid w:val="35F559C7"/>
    <w:rsid w:val="36075C31"/>
    <w:rsid w:val="36286165"/>
    <w:rsid w:val="362A4EEC"/>
    <w:rsid w:val="362D458B"/>
    <w:rsid w:val="36354715"/>
    <w:rsid w:val="36414A73"/>
    <w:rsid w:val="364A0F5C"/>
    <w:rsid w:val="36510879"/>
    <w:rsid w:val="36E16C19"/>
    <w:rsid w:val="37036DCD"/>
    <w:rsid w:val="372F46A7"/>
    <w:rsid w:val="37726C9D"/>
    <w:rsid w:val="379A1E22"/>
    <w:rsid w:val="37BD6848"/>
    <w:rsid w:val="37CC6816"/>
    <w:rsid w:val="37DE6907"/>
    <w:rsid w:val="37E47740"/>
    <w:rsid w:val="37E810A7"/>
    <w:rsid w:val="380E1C87"/>
    <w:rsid w:val="38994363"/>
    <w:rsid w:val="38A9437C"/>
    <w:rsid w:val="38C2712E"/>
    <w:rsid w:val="38D16127"/>
    <w:rsid w:val="390B4FA4"/>
    <w:rsid w:val="391842BA"/>
    <w:rsid w:val="39390072"/>
    <w:rsid w:val="393C0FF6"/>
    <w:rsid w:val="39515718"/>
    <w:rsid w:val="39592B25"/>
    <w:rsid w:val="39706EC7"/>
    <w:rsid w:val="39741150"/>
    <w:rsid w:val="39787B56"/>
    <w:rsid w:val="398E1CFA"/>
    <w:rsid w:val="39923F83"/>
    <w:rsid w:val="399A358E"/>
    <w:rsid w:val="39B62EBE"/>
    <w:rsid w:val="3A2A75FA"/>
    <w:rsid w:val="3A3F5379"/>
    <w:rsid w:val="3A436689"/>
    <w:rsid w:val="3A4614A9"/>
    <w:rsid w:val="3A675260"/>
    <w:rsid w:val="3A8646CD"/>
    <w:rsid w:val="3AAC45FF"/>
    <w:rsid w:val="3AC37B79"/>
    <w:rsid w:val="3AE070A1"/>
    <w:rsid w:val="3AED09BD"/>
    <w:rsid w:val="3AF86D4E"/>
    <w:rsid w:val="3B1E2869"/>
    <w:rsid w:val="3B4413CB"/>
    <w:rsid w:val="3B617677"/>
    <w:rsid w:val="3B757B5E"/>
    <w:rsid w:val="3B882DB9"/>
    <w:rsid w:val="3B883620"/>
    <w:rsid w:val="3B997439"/>
    <w:rsid w:val="3BA65BED"/>
    <w:rsid w:val="3BA96B71"/>
    <w:rsid w:val="3BDB4DC2"/>
    <w:rsid w:val="3BE47C50"/>
    <w:rsid w:val="3C090267"/>
    <w:rsid w:val="3C09240E"/>
    <w:rsid w:val="3C146221"/>
    <w:rsid w:val="3C1D10AF"/>
    <w:rsid w:val="3C277440"/>
    <w:rsid w:val="3C317D4F"/>
    <w:rsid w:val="3C5C6615"/>
    <w:rsid w:val="3C7360F1"/>
    <w:rsid w:val="3CC365B8"/>
    <w:rsid w:val="3CD51844"/>
    <w:rsid w:val="3CE979FE"/>
    <w:rsid w:val="3D08452F"/>
    <w:rsid w:val="3D0F1AC5"/>
    <w:rsid w:val="3D3675FD"/>
    <w:rsid w:val="3D5001A7"/>
    <w:rsid w:val="3D55441E"/>
    <w:rsid w:val="3D6B2F4F"/>
    <w:rsid w:val="3D713555"/>
    <w:rsid w:val="3D741DEE"/>
    <w:rsid w:val="3D85737C"/>
    <w:rsid w:val="3D9C3FFF"/>
    <w:rsid w:val="3DA92F31"/>
    <w:rsid w:val="3DB3244A"/>
    <w:rsid w:val="3DC213DF"/>
    <w:rsid w:val="3DDE328E"/>
    <w:rsid w:val="3E0B0DB0"/>
    <w:rsid w:val="3E0C635B"/>
    <w:rsid w:val="3E116F60"/>
    <w:rsid w:val="3E2204FF"/>
    <w:rsid w:val="3E572F58"/>
    <w:rsid w:val="3E636D6A"/>
    <w:rsid w:val="3E872DEF"/>
    <w:rsid w:val="3E962A3C"/>
    <w:rsid w:val="3E9704BE"/>
    <w:rsid w:val="3EE94A45"/>
    <w:rsid w:val="3F043070"/>
    <w:rsid w:val="3F1D2CEE"/>
    <w:rsid w:val="3F4D6968"/>
    <w:rsid w:val="3F572AFA"/>
    <w:rsid w:val="3F6116ED"/>
    <w:rsid w:val="3F8B424E"/>
    <w:rsid w:val="3F934EDE"/>
    <w:rsid w:val="3FA97081"/>
    <w:rsid w:val="3FB14FDF"/>
    <w:rsid w:val="3FC0585C"/>
    <w:rsid w:val="3FC71ED2"/>
    <w:rsid w:val="3FCE6ABE"/>
    <w:rsid w:val="40130E98"/>
    <w:rsid w:val="401776B5"/>
    <w:rsid w:val="403501D5"/>
    <w:rsid w:val="40516596"/>
    <w:rsid w:val="407E4ADB"/>
    <w:rsid w:val="408966EF"/>
    <w:rsid w:val="408D7F6C"/>
    <w:rsid w:val="40B04E56"/>
    <w:rsid w:val="40C60753"/>
    <w:rsid w:val="40C761D4"/>
    <w:rsid w:val="40D01062"/>
    <w:rsid w:val="40D15800"/>
    <w:rsid w:val="40D24565"/>
    <w:rsid w:val="40D74270"/>
    <w:rsid w:val="410113A2"/>
    <w:rsid w:val="415D4149"/>
    <w:rsid w:val="416F143B"/>
    <w:rsid w:val="41880811"/>
    <w:rsid w:val="419633AA"/>
    <w:rsid w:val="41B44DE2"/>
    <w:rsid w:val="41C60C56"/>
    <w:rsid w:val="41D72F2F"/>
    <w:rsid w:val="41E9727E"/>
    <w:rsid w:val="41F50509"/>
    <w:rsid w:val="420226D9"/>
    <w:rsid w:val="42375131"/>
    <w:rsid w:val="42610172"/>
    <w:rsid w:val="426339F7"/>
    <w:rsid w:val="42705E47"/>
    <w:rsid w:val="42733C91"/>
    <w:rsid w:val="427C45A1"/>
    <w:rsid w:val="428803B3"/>
    <w:rsid w:val="428C76CE"/>
    <w:rsid w:val="42916AC5"/>
    <w:rsid w:val="42A3645B"/>
    <w:rsid w:val="42CE0B28"/>
    <w:rsid w:val="42D37514"/>
    <w:rsid w:val="42E874D3"/>
    <w:rsid w:val="43046EDF"/>
    <w:rsid w:val="432106B2"/>
    <w:rsid w:val="43603542"/>
    <w:rsid w:val="436807A8"/>
    <w:rsid w:val="43790FC1"/>
    <w:rsid w:val="43942E55"/>
    <w:rsid w:val="439901E8"/>
    <w:rsid w:val="43A14703"/>
    <w:rsid w:val="43BB74AB"/>
    <w:rsid w:val="43CD51C7"/>
    <w:rsid w:val="43EC12FF"/>
    <w:rsid w:val="43F11B33"/>
    <w:rsid w:val="43F17986"/>
    <w:rsid w:val="43FF4262"/>
    <w:rsid w:val="44062B2A"/>
    <w:rsid w:val="440875AB"/>
    <w:rsid w:val="444678CE"/>
    <w:rsid w:val="444744C8"/>
    <w:rsid w:val="44495B09"/>
    <w:rsid w:val="444A3897"/>
    <w:rsid w:val="44565A46"/>
    <w:rsid w:val="445C041A"/>
    <w:rsid w:val="44604594"/>
    <w:rsid w:val="447E086E"/>
    <w:rsid w:val="449A491B"/>
    <w:rsid w:val="44A42F93"/>
    <w:rsid w:val="44B454C5"/>
    <w:rsid w:val="44C125DD"/>
    <w:rsid w:val="44CA2EEC"/>
    <w:rsid w:val="44D35D7A"/>
    <w:rsid w:val="44DD6689"/>
    <w:rsid w:val="44E7774D"/>
    <w:rsid w:val="45127C50"/>
    <w:rsid w:val="45177768"/>
    <w:rsid w:val="452B6409"/>
    <w:rsid w:val="454221FD"/>
    <w:rsid w:val="454416D4"/>
    <w:rsid w:val="45595C53"/>
    <w:rsid w:val="455E7EDC"/>
    <w:rsid w:val="45830A1B"/>
    <w:rsid w:val="458A4224"/>
    <w:rsid w:val="458D51A8"/>
    <w:rsid w:val="459B4244"/>
    <w:rsid w:val="45A33E4B"/>
    <w:rsid w:val="45A94422"/>
    <w:rsid w:val="45B253E8"/>
    <w:rsid w:val="45CC5F92"/>
    <w:rsid w:val="46236563"/>
    <w:rsid w:val="465C2D4B"/>
    <w:rsid w:val="465C457C"/>
    <w:rsid w:val="46641988"/>
    <w:rsid w:val="467609A9"/>
    <w:rsid w:val="469842A4"/>
    <w:rsid w:val="46B86E94"/>
    <w:rsid w:val="46CB2631"/>
    <w:rsid w:val="46E67A01"/>
    <w:rsid w:val="46F87BA3"/>
    <w:rsid w:val="470F78A3"/>
    <w:rsid w:val="47262D4B"/>
    <w:rsid w:val="474A246F"/>
    <w:rsid w:val="47524F9F"/>
    <w:rsid w:val="47670737"/>
    <w:rsid w:val="47810CBA"/>
    <w:rsid w:val="47BE6742"/>
    <w:rsid w:val="47D927EF"/>
    <w:rsid w:val="47F00216"/>
    <w:rsid w:val="47F236FB"/>
    <w:rsid w:val="48066B36"/>
    <w:rsid w:val="480F5247"/>
    <w:rsid w:val="4839608B"/>
    <w:rsid w:val="483A3F41"/>
    <w:rsid w:val="485D1370"/>
    <w:rsid w:val="485E2A48"/>
    <w:rsid w:val="48622CF7"/>
    <w:rsid w:val="4869465C"/>
    <w:rsid w:val="488678AB"/>
    <w:rsid w:val="48B06FCF"/>
    <w:rsid w:val="48C37CC6"/>
    <w:rsid w:val="48FF25D1"/>
    <w:rsid w:val="49281A93"/>
    <w:rsid w:val="492F313E"/>
    <w:rsid w:val="495010D7"/>
    <w:rsid w:val="4955555E"/>
    <w:rsid w:val="49611371"/>
    <w:rsid w:val="497027BF"/>
    <w:rsid w:val="49A21DDA"/>
    <w:rsid w:val="49E453DD"/>
    <w:rsid w:val="49EE4458"/>
    <w:rsid w:val="4A2137F9"/>
    <w:rsid w:val="4A3C21D9"/>
    <w:rsid w:val="4A521971"/>
    <w:rsid w:val="4A880DD3"/>
    <w:rsid w:val="4A9B7DF4"/>
    <w:rsid w:val="4A9C4E28"/>
    <w:rsid w:val="4AEC68F9"/>
    <w:rsid w:val="4AF41787"/>
    <w:rsid w:val="4AFF7B18"/>
    <w:rsid w:val="4B254325"/>
    <w:rsid w:val="4B275459"/>
    <w:rsid w:val="4B2941E0"/>
    <w:rsid w:val="4B7D2F03"/>
    <w:rsid w:val="4BE90D9B"/>
    <w:rsid w:val="4BEF2CA4"/>
    <w:rsid w:val="4BFF2F3E"/>
    <w:rsid w:val="4C261BDE"/>
    <w:rsid w:val="4C334692"/>
    <w:rsid w:val="4C660668"/>
    <w:rsid w:val="4C6F730B"/>
    <w:rsid w:val="4C816990"/>
    <w:rsid w:val="4CB613E8"/>
    <w:rsid w:val="4CCC6E0F"/>
    <w:rsid w:val="4CE51F37"/>
    <w:rsid w:val="4CEA6D66"/>
    <w:rsid w:val="4D1B40EF"/>
    <w:rsid w:val="4D2079EB"/>
    <w:rsid w:val="4D2B4C2A"/>
    <w:rsid w:val="4D2F6526"/>
    <w:rsid w:val="4D3A7443"/>
    <w:rsid w:val="4D570F71"/>
    <w:rsid w:val="4D6F7F85"/>
    <w:rsid w:val="4DB12905"/>
    <w:rsid w:val="4DE1452E"/>
    <w:rsid w:val="4DEE01EB"/>
    <w:rsid w:val="4DF036EE"/>
    <w:rsid w:val="4DF30DF0"/>
    <w:rsid w:val="4DF6271E"/>
    <w:rsid w:val="4DF73079"/>
    <w:rsid w:val="4DFC16FF"/>
    <w:rsid w:val="4E03108A"/>
    <w:rsid w:val="4E042C86"/>
    <w:rsid w:val="4E2822B5"/>
    <w:rsid w:val="4E5A1A99"/>
    <w:rsid w:val="4E640249"/>
    <w:rsid w:val="4E723844"/>
    <w:rsid w:val="4E7D0D54"/>
    <w:rsid w:val="4E835C30"/>
    <w:rsid w:val="4E85035F"/>
    <w:rsid w:val="4E9E77F7"/>
    <w:rsid w:val="4EB95335"/>
    <w:rsid w:val="4ED33CE1"/>
    <w:rsid w:val="4F01352B"/>
    <w:rsid w:val="4F13254C"/>
    <w:rsid w:val="4F26376B"/>
    <w:rsid w:val="4F423F95"/>
    <w:rsid w:val="4F4C1158"/>
    <w:rsid w:val="4F6279AB"/>
    <w:rsid w:val="4FA74FBE"/>
    <w:rsid w:val="4FBF6DE2"/>
    <w:rsid w:val="501555F2"/>
    <w:rsid w:val="502D7993"/>
    <w:rsid w:val="502E071A"/>
    <w:rsid w:val="504273BB"/>
    <w:rsid w:val="505605DA"/>
    <w:rsid w:val="506A727A"/>
    <w:rsid w:val="50941CF8"/>
    <w:rsid w:val="509636E2"/>
    <w:rsid w:val="50B13272"/>
    <w:rsid w:val="50B6710F"/>
    <w:rsid w:val="50BC2F96"/>
    <w:rsid w:val="50DE7239"/>
    <w:rsid w:val="51435EF0"/>
    <w:rsid w:val="51A227FA"/>
    <w:rsid w:val="51A57002"/>
    <w:rsid w:val="51B95CA3"/>
    <w:rsid w:val="51F65583"/>
    <w:rsid w:val="520A0F25"/>
    <w:rsid w:val="521274CB"/>
    <w:rsid w:val="522265CC"/>
    <w:rsid w:val="523D726B"/>
    <w:rsid w:val="52611333"/>
    <w:rsid w:val="528278EA"/>
    <w:rsid w:val="52B5070D"/>
    <w:rsid w:val="52B719B0"/>
    <w:rsid w:val="52E03A67"/>
    <w:rsid w:val="52FC46EA"/>
    <w:rsid w:val="53427D28"/>
    <w:rsid w:val="534D042C"/>
    <w:rsid w:val="5350703E"/>
    <w:rsid w:val="538B07B0"/>
    <w:rsid w:val="538C361F"/>
    <w:rsid w:val="538D10A1"/>
    <w:rsid w:val="53A46AC8"/>
    <w:rsid w:val="53A54549"/>
    <w:rsid w:val="53C25E9B"/>
    <w:rsid w:val="53DC6880"/>
    <w:rsid w:val="53F47B4C"/>
    <w:rsid w:val="5403314B"/>
    <w:rsid w:val="54213B13"/>
    <w:rsid w:val="542A2224"/>
    <w:rsid w:val="544A4CD7"/>
    <w:rsid w:val="545309AA"/>
    <w:rsid w:val="54782323"/>
    <w:rsid w:val="54BF0519"/>
    <w:rsid w:val="54E603D9"/>
    <w:rsid w:val="552827AD"/>
    <w:rsid w:val="552B1450"/>
    <w:rsid w:val="552D6BF5"/>
    <w:rsid w:val="555317F4"/>
    <w:rsid w:val="55584783"/>
    <w:rsid w:val="55835CD9"/>
    <w:rsid w:val="558E2FA7"/>
    <w:rsid w:val="55922A70"/>
    <w:rsid w:val="559B1181"/>
    <w:rsid w:val="55B464A8"/>
    <w:rsid w:val="55B577AC"/>
    <w:rsid w:val="55B7742C"/>
    <w:rsid w:val="55BD2802"/>
    <w:rsid w:val="55F969E7"/>
    <w:rsid w:val="56024028"/>
    <w:rsid w:val="5616190A"/>
    <w:rsid w:val="563F7711"/>
    <w:rsid w:val="56856B80"/>
    <w:rsid w:val="56941399"/>
    <w:rsid w:val="56962361"/>
    <w:rsid w:val="569F71AC"/>
    <w:rsid w:val="56BA15D9"/>
    <w:rsid w:val="56E65920"/>
    <w:rsid w:val="56EF3AF5"/>
    <w:rsid w:val="56F23931"/>
    <w:rsid w:val="56F83407"/>
    <w:rsid w:val="571A4227"/>
    <w:rsid w:val="571E54DC"/>
    <w:rsid w:val="572210F5"/>
    <w:rsid w:val="572A730E"/>
    <w:rsid w:val="57435A05"/>
    <w:rsid w:val="5744373B"/>
    <w:rsid w:val="574B7843"/>
    <w:rsid w:val="576146B9"/>
    <w:rsid w:val="57677173"/>
    <w:rsid w:val="577865C9"/>
    <w:rsid w:val="578F7CCE"/>
    <w:rsid w:val="579C1BCB"/>
    <w:rsid w:val="579D1528"/>
    <w:rsid w:val="57B74973"/>
    <w:rsid w:val="57E1103B"/>
    <w:rsid w:val="57E23AB5"/>
    <w:rsid w:val="57F020A7"/>
    <w:rsid w:val="580637F9"/>
    <w:rsid w:val="58144D0D"/>
    <w:rsid w:val="58244FA7"/>
    <w:rsid w:val="58420BB7"/>
    <w:rsid w:val="58467715"/>
    <w:rsid w:val="587B1239"/>
    <w:rsid w:val="58886F75"/>
    <w:rsid w:val="58965BC6"/>
    <w:rsid w:val="58B65B9B"/>
    <w:rsid w:val="593309E8"/>
    <w:rsid w:val="598227C6"/>
    <w:rsid w:val="59907A7D"/>
    <w:rsid w:val="599F3D55"/>
    <w:rsid w:val="59AD4E2E"/>
    <w:rsid w:val="59B07FB1"/>
    <w:rsid w:val="59EB5450"/>
    <w:rsid w:val="59FB712C"/>
    <w:rsid w:val="59FD262F"/>
    <w:rsid w:val="5A050D40"/>
    <w:rsid w:val="5A09064B"/>
    <w:rsid w:val="5A364636"/>
    <w:rsid w:val="5A5468C1"/>
    <w:rsid w:val="5A5A624C"/>
    <w:rsid w:val="5A770B6E"/>
    <w:rsid w:val="5A7B6781"/>
    <w:rsid w:val="5A8A0BF0"/>
    <w:rsid w:val="5AB246DC"/>
    <w:rsid w:val="5AB3215E"/>
    <w:rsid w:val="5AB61CF5"/>
    <w:rsid w:val="5AD05E8B"/>
    <w:rsid w:val="5AD42692"/>
    <w:rsid w:val="5AE250B9"/>
    <w:rsid w:val="5AE65E30"/>
    <w:rsid w:val="5B122177"/>
    <w:rsid w:val="5B2F7529"/>
    <w:rsid w:val="5B81246B"/>
    <w:rsid w:val="5B814DBA"/>
    <w:rsid w:val="5B8931D8"/>
    <w:rsid w:val="5BBA168B"/>
    <w:rsid w:val="5BBD01B3"/>
    <w:rsid w:val="5C13779B"/>
    <w:rsid w:val="5C297741"/>
    <w:rsid w:val="5C443BB1"/>
    <w:rsid w:val="5CB660AB"/>
    <w:rsid w:val="5CC611FF"/>
    <w:rsid w:val="5CCF11D3"/>
    <w:rsid w:val="5D4A309B"/>
    <w:rsid w:val="5D6A315C"/>
    <w:rsid w:val="5D7F7CF2"/>
    <w:rsid w:val="5D851C35"/>
    <w:rsid w:val="5DAA43BA"/>
    <w:rsid w:val="5DBB1104"/>
    <w:rsid w:val="5DBC7B57"/>
    <w:rsid w:val="5DDE7708"/>
    <w:rsid w:val="5DF04B2E"/>
    <w:rsid w:val="5E0C0BDB"/>
    <w:rsid w:val="5E203FF8"/>
    <w:rsid w:val="5E77028A"/>
    <w:rsid w:val="5F187E14"/>
    <w:rsid w:val="5F255EFF"/>
    <w:rsid w:val="5F3C12CD"/>
    <w:rsid w:val="5F3D0F4D"/>
    <w:rsid w:val="5F5159EF"/>
    <w:rsid w:val="5FBE2597"/>
    <w:rsid w:val="5FC559AE"/>
    <w:rsid w:val="5FDA5B33"/>
    <w:rsid w:val="5FDC7E75"/>
    <w:rsid w:val="5FF120B4"/>
    <w:rsid w:val="60083E99"/>
    <w:rsid w:val="603A596D"/>
    <w:rsid w:val="607B393B"/>
    <w:rsid w:val="609B470C"/>
    <w:rsid w:val="60AC4695"/>
    <w:rsid w:val="60BA2331"/>
    <w:rsid w:val="60D45B6B"/>
    <w:rsid w:val="60D6106E"/>
    <w:rsid w:val="60EB32AF"/>
    <w:rsid w:val="61051BBD"/>
    <w:rsid w:val="61171AD8"/>
    <w:rsid w:val="61187559"/>
    <w:rsid w:val="612620F2"/>
    <w:rsid w:val="612B657A"/>
    <w:rsid w:val="6142291C"/>
    <w:rsid w:val="614E316C"/>
    <w:rsid w:val="61B606DC"/>
    <w:rsid w:val="61B73BDF"/>
    <w:rsid w:val="61EE1B3B"/>
    <w:rsid w:val="61FE0917"/>
    <w:rsid w:val="620152D8"/>
    <w:rsid w:val="621F3A14"/>
    <w:rsid w:val="623E513D"/>
    <w:rsid w:val="62563CE5"/>
    <w:rsid w:val="62E47AC9"/>
    <w:rsid w:val="63097D09"/>
    <w:rsid w:val="63192522"/>
    <w:rsid w:val="6350047D"/>
    <w:rsid w:val="63723EB5"/>
    <w:rsid w:val="63BB0C13"/>
    <w:rsid w:val="6412053C"/>
    <w:rsid w:val="64430D0B"/>
    <w:rsid w:val="648065F1"/>
    <w:rsid w:val="64971BDD"/>
    <w:rsid w:val="64B607D2"/>
    <w:rsid w:val="64BA3B41"/>
    <w:rsid w:val="64F81E92"/>
    <w:rsid w:val="65015C46"/>
    <w:rsid w:val="65046BCA"/>
    <w:rsid w:val="650A2CD2"/>
    <w:rsid w:val="650B0753"/>
    <w:rsid w:val="650D32FF"/>
    <w:rsid w:val="651435E1"/>
    <w:rsid w:val="651B09EE"/>
    <w:rsid w:val="654153AA"/>
    <w:rsid w:val="654D4A40"/>
    <w:rsid w:val="6566621E"/>
    <w:rsid w:val="656746D9"/>
    <w:rsid w:val="65821697"/>
    <w:rsid w:val="65CE6293"/>
    <w:rsid w:val="65F740ED"/>
    <w:rsid w:val="66077C6A"/>
    <w:rsid w:val="660A60F8"/>
    <w:rsid w:val="661E7317"/>
    <w:rsid w:val="66495BDD"/>
    <w:rsid w:val="666D4B17"/>
    <w:rsid w:val="669E696B"/>
    <w:rsid w:val="66B94F97"/>
    <w:rsid w:val="66BA4C17"/>
    <w:rsid w:val="66C60005"/>
    <w:rsid w:val="66D435C2"/>
    <w:rsid w:val="66ED66EB"/>
    <w:rsid w:val="671E273D"/>
    <w:rsid w:val="67763396"/>
    <w:rsid w:val="6779274B"/>
    <w:rsid w:val="6784366C"/>
    <w:rsid w:val="678A1A6C"/>
    <w:rsid w:val="67926E78"/>
    <w:rsid w:val="679F070D"/>
    <w:rsid w:val="67A9335C"/>
    <w:rsid w:val="67D44D17"/>
    <w:rsid w:val="68014F2E"/>
    <w:rsid w:val="6802310C"/>
    <w:rsid w:val="68033CB4"/>
    <w:rsid w:val="680B32BF"/>
    <w:rsid w:val="680C4CB4"/>
    <w:rsid w:val="680E2045"/>
    <w:rsid w:val="68123743"/>
    <w:rsid w:val="68334803"/>
    <w:rsid w:val="68374408"/>
    <w:rsid w:val="68400296"/>
    <w:rsid w:val="686739D9"/>
    <w:rsid w:val="68706867"/>
    <w:rsid w:val="68976726"/>
    <w:rsid w:val="69156EBB"/>
    <w:rsid w:val="69760313"/>
    <w:rsid w:val="698A6FB3"/>
    <w:rsid w:val="69DD483F"/>
    <w:rsid w:val="69F47683"/>
    <w:rsid w:val="69F942E4"/>
    <w:rsid w:val="6A010AFD"/>
    <w:rsid w:val="6A0568FD"/>
    <w:rsid w:val="6A2B6B3C"/>
    <w:rsid w:val="6A2F5543"/>
    <w:rsid w:val="6A5F0290"/>
    <w:rsid w:val="6A865F51"/>
    <w:rsid w:val="6A92342E"/>
    <w:rsid w:val="6AA40D85"/>
    <w:rsid w:val="6ABB09AA"/>
    <w:rsid w:val="6AD74A57"/>
    <w:rsid w:val="6B266753"/>
    <w:rsid w:val="6B4F341C"/>
    <w:rsid w:val="6B7845E0"/>
    <w:rsid w:val="6B7A7AE3"/>
    <w:rsid w:val="6B9F60AC"/>
    <w:rsid w:val="6BA350A4"/>
    <w:rsid w:val="6BC52A2B"/>
    <w:rsid w:val="6BFA38B5"/>
    <w:rsid w:val="6C0A3B4F"/>
    <w:rsid w:val="6C254067"/>
    <w:rsid w:val="6C3426E1"/>
    <w:rsid w:val="6C5703CB"/>
    <w:rsid w:val="6C61455E"/>
    <w:rsid w:val="6C68196A"/>
    <w:rsid w:val="6C774F51"/>
    <w:rsid w:val="6C7A1884"/>
    <w:rsid w:val="6CD62F24"/>
    <w:rsid w:val="6D0A6F75"/>
    <w:rsid w:val="6D2E4BAB"/>
    <w:rsid w:val="6D4A44DB"/>
    <w:rsid w:val="6D63623C"/>
    <w:rsid w:val="6D812437"/>
    <w:rsid w:val="6D853006"/>
    <w:rsid w:val="6DE82CCD"/>
    <w:rsid w:val="6DEB7F47"/>
    <w:rsid w:val="6E087CA3"/>
    <w:rsid w:val="6E123F24"/>
    <w:rsid w:val="6E3B72E7"/>
    <w:rsid w:val="6E5C02CB"/>
    <w:rsid w:val="6E680DA5"/>
    <w:rsid w:val="6E804558"/>
    <w:rsid w:val="6EA0288E"/>
    <w:rsid w:val="6EE509F4"/>
    <w:rsid w:val="6EF0198C"/>
    <w:rsid w:val="6EFC51A7"/>
    <w:rsid w:val="6F023405"/>
    <w:rsid w:val="6F0B13DB"/>
    <w:rsid w:val="6F25039A"/>
    <w:rsid w:val="6F376285"/>
    <w:rsid w:val="6F607449"/>
    <w:rsid w:val="6F8040FB"/>
    <w:rsid w:val="6F8D3411"/>
    <w:rsid w:val="6FA8783E"/>
    <w:rsid w:val="6FBC2EB1"/>
    <w:rsid w:val="6FDB6D93"/>
    <w:rsid w:val="700346D4"/>
    <w:rsid w:val="70457B4C"/>
    <w:rsid w:val="7046232B"/>
    <w:rsid w:val="70623166"/>
    <w:rsid w:val="70714D08"/>
    <w:rsid w:val="7073020B"/>
    <w:rsid w:val="709C35CE"/>
    <w:rsid w:val="70D127A3"/>
    <w:rsid w:val="70F86AD9"/>
    <w:rsid w:val="71032079"/>
    <w:rsid w:val="718B39D1"/>
    <w:rsid w:val="71936767"/>
    <w:rsid w:val="71A26F09"/>
    <w:rsid w:val="71C032CE"/>
    <w:rsid w:val="720F35F2"/>
    <w:rsid w:val="72100F31"/>
    <w:rsid w:val="7220374A"/>
    <w:rsid w:val="72287D95"/>
    <w:rsid w:val="72304FDF"/>
    <w:rsid w:val="723356D2"/>
    <w:rsid w:val="72434C03"/>
    <w:rsid w:val="7247717D"/>
    <w:rsid w:val="726E237F"/>
    <w:rsid w:val="729926C8"/>
    <w:rsid w:val="72DB607B"/>
    <w:rsid w:val="73096F4B"/>
    <w:rsid w:val="73131A58"/>
    <w:rsid w:val="73142D5D"/>
    <w:rsid w:val="7317045F"/>
    <w:rsid w:val="732D5E85"/>
    <w:rsid w:val="733D42E3"/>
    <w:rsid w:val="734E1AC2"/>
    <w:rsid w:val="737230F7"/>
    <w:rsid w:val="73854316"/>
    <w:rsid w:val="73950D2D"/>
    <w:rsid w:val="73A57DF9"/>
    <w:rsid w:val="73A744CA"/>
    <w:rsid w:val="73AC617D"/>
    <w:rsid w:val="73CC19D5"/>
    <w:rsid w:val="74126445"/>
    <w:rsid w:val="741A7D2C"/>
    <w:rsid w:val="74486D25"/>
    <w:rsid w:val="746016FA"/>
    <w:rsid w:val="74694588"/>
    <w:rsid w:val="746C550D"/>
    <w:rsid w:val="74AF2AFE"/>
    <w:rsid w:val="74B54A08"/>
    <w:rsid w:val="74CB0DAA"/>
    <w:rsid w:val="74E146D2"/>
    <w:rsid w:val="74F86B15"/>
    <w:rsid w:val="750F0599"/>
    <w:rsid w:val="75394C61"/>
    <w:rsid w:val="754D5E80"/>
    <w:rsid w:val="756A3232"/>
    <w:rsid w:val="75745DF5"/>
    <w:rsid w:val="75876F5E"/>
    <w:rsid w:val="75895CE5"/>
    <w:rsid w:val="759901A2"/>
    <w:rsid w:val="759F2407"/>
    <w:rsid w:val="75D02BD6"/>
    <w:rsid w:val="75E15270"/>
    <w:rsid w:val="76116EC2"/>
    <w:rsid w:val="76325B80"/>
    <w:rsid w:val="768A3309"/>
    <w:rsid w:val="76B72ED4"/>
    <w:rsid w:val="76C07F60"/>
    <w:rsid w:val="76E3721B"/>
    <w:rsid w:val="76F00D88"/>
    <w:rsid w:val="771928DB"/>
    <w:rsid w:val="771C067A"/>
    <w:rsid w:val="772032D2"/>
    <w:rsid w:val="772A6AEC"/>
    <w:rsid w:val="77693C0F"/>
    <w:rsid w:val="77695CCA"/>
    <w:rsid w:val="776C5E7A"/>
    <w:rsid w:val="77785510"/>
    <w:rsid w:val="779415BD"/>
    <w:rsid w:val="779C0BC8"/>
    <w:rsid w:val="779C4C9B"/>
    <w:rsid w:val="77B25750"/>
    <w:rsid w:val="77C2468B"/>
    <w:rsid w:val="780A11FC"/>
    <w:rsid w:val="780B5507"/>
    <w:rsid w:val="7855167B"/>
    <w:rsid w:val="788F4999"/>
    <w:rsid w:val="78A53586"/>
    <w:rsid w:val="78A92755"/>
    <w:rsid w:val="78B8009B"/>
    <w:rsid w:val="78B9366E"/>
    <w:rsid w:val="78BC17CD"/>
    <w:rsid w:val="78C5192F"/>
    <w:rsid w:val="78D366C6"/>
    <w:rsid w:val="78FC6C88"/>
    <w:rsid w:val="790B20A3"/>
    <w:rsid w:val="79171739"/>
    <w:rsid w:val="796C47DC"/>
    <w:rsid w:val="7980361D"/>
    <w:rsid w:val="799B610F"/>
    <w:rsid w:val="799D7414"/>
    <w:rsid w:val="79D85F74"/>
    <w:rsid w:val="79DF2C7C"/>
    <w:rsid w:val="79E47779"/>
    <w:rsid w:val="79F57AA2"/>
    <w:rsid w:val="7A194129"/>
    <w:rsid w:val="7A1F66E8"/>
    <w:rsid w:val="7A361B91"/>
    <w:rsid w:val="7A4C3D34"/>
    <w:rsid w:val="7A7C0DAF"/>
    <w:rsid w:val="7A7D4CC5"/>
    <w:rsid w:val="7AC04CBB"/>
    <w:rsid w:val="7AD57A5A"/>
    <w:rsid w:val="7AD9139A"/>
    <w:rsid w:val="7AE67D87"/>
    <w:rsid w:val="7AE83BB3"/>
    <w:rsid w:val="7B484ED1"/>
    <w:rsid w:val="7B6E2211"/>
    <w:rsid w:val="7B8472B4"/>
    <w:rsid w:val="7BC80470"/>
    <w:rsid w:val="7BE0484E"/>
    <w:rsid w:val="7C081A8C"/>
    <w:rsid w:val="7C0A4F8F"/>
    <w:rsid w:val="7C0F40E4"/>
    <w:rsid w:val="7C153320"/>
    <w:rsid w:val="7C207132"/>
    <w:rsid w:val="7C345209"/>
    <w:rsid w:val="7C362168"/>
    <w:rsid w:val="7C482875"/>
    <w:rsid w:val="7C513185"/>
    <w:rsid w:val="7C5D3714"/>
    <w:rsid w:val="7C823224"/>
    <w:rsid w:val="7C92278E"/>
    <w:rsid w:val="7C970076"/>
    <w:rsid w:val="7CD32459"/>
    <w:rsid w:val="7CDE07EA"/>
    <w:rsid w:val="7CE271F0"/>
    <w:rsid w:val="7CEF1D89"/>
    <w:rsid w:val="7CF22D0E"/>
    <w:rsid w:val="7D0C0035"/>
    <w:rsid w:val="7D407A70"/>
    <w:rsid w:val="7D42434A"/>
    <w:rsid w:val="7D4D3494"/>
    <w:rsid w:val="7D9E7791"/>
    <w:rsid w:val="7DA22244"/>
    <w:rsid w:val="7DBC28DE"/>
    <w:rsid w:val="7DC50AE8"/>
    <w:rsid w:val="7DCE3976"/>
    <w:rsid w:val="7DFB0564"/>
    <w:rsid w:val="7E0B59D9"/>
    <w:rsid w:val="7E1178E2"/>
    <w:rsid w:val="7E4C3A0F"/>
    <w:rsid w:val="7E4C3A98"/>
    <w:rsid w:val="7E4C4244"/>
    <w:rsid w:val="7E4F51C9"/>
    <w:rsid w:val="7E9E07CB"/>
    <w:rsid w:val="7EDD5D31"/>
    <w:rsid w:val="7F1A61C1"/>
    <w:rsid w:val="7F23352A"/>
    <w:rsid w:val="7F2C38B2"/>
    <w:rsid w:val="7F6C689A"/>
    <w:rsid w:val="7F7D33DC"/>
    <w:rsid w:val="7F7E58BB"/>
    <w:rsid w:val="7F8242C1"/>
    <w:rsid w:val="7FA06BEF"/>
    <w:rsid w:val="7FAA1790"/>
    <w:rsid w:val="7FAB1C02"/>
    <w:rsid w:val="7FBD539F"/>
    <w:rsid w:val="7FC13DA6"/>
    <w:rsid w:val="7FD3213E"/>
    <w:rsid w:val="7FD8724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43"/>
    <w:unhideWhenUsed/>
    <w:qFormat/>
    <w:uiPriority w:val="9"/>
    <w:pPr>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6"/>
    <w:unhideWhenUsed/>
    <w:qFormat/>
    <w:uiPriority w:val="9"/>
    <w:pPr>
      <w:keepNext/>
      <w:keepLines/>
      <w:spacing w:before="50" w:beforeLines="50" w:after="50" w:afterLines="50"/>
      <w:outlineLvl w:val="2"/>
    </w:pPr>
    <w:rPr>
      <w:rFonts w:ascii="Arial" w:hAnsi="Arial" w:eastAsia="Arial Unicode MS"/>
      <w:bCs/>
      <w:sz w:val="30"/>
      <w:szCs w:val="32"/>
    </w:rPr>
  </w:style>
  <w:style w:type="paragraph" w:styleId="5">
    <w:name w:val="heading 5"/>
    <w:basedOn w:val="1"/>
    <w:next w:val="1"/>
    <w:link w:val="50"/>
    <w:semiHidden/>
    <w:unhideWhenUsed/>
    <w:qFormat/>
    <w:uiPriority w:val="9"/>
    <w:pPr>
      <w:keepNext/>
      <w:keepLines/>
      <w:spacing w:before="280" w:after="290" w:line="376" w:lineRule="auto"/>
      <w:outlineLvl w:val="4"/>
    </w:pPr>
    <w:rPr>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0"/>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7">
    <w:name w:val="Document Map"/>
    <w:basedOn w:val="1"/>
    <w:link w:val="39"/>
    <w:semiHidden/>
    <w:unhideWhenUsed/>
    <w:qFormat/>
    <w:uiPriority w:val="99"/>
    <w:rPr>
      <w:rFonts w:ascii="宋体"/>
      <w:sz w:val="18"/>
      <w:szCs w:val="18"/>
    </w:rPr>
  </w:style>
  <w:style w:type="paragraph" w:styleId="8">
    <w:name w:val="annotation text"/>
    <w:basedOn w:val="1"/>
    <w:link w:val="37"/>
    <w:unhideWhenUsed/>
    <w:qFormat/>
    <w:uiPriority w:val="0"/>
    <w:pPr>
      <w:jc w:val="left"/>
    </w:pPr>
  </w:style>
  <w:style w:type="paragraph" w:styleId="9">
    <w:name w:val="List 2"/>
    <w:basedOn w:val="10"/>
    <w:qFormat/>
    <w:uiPriority w:val="0"/>
    <w:pPr>
      <w:ind w:left="851"/>
    </w:pPr>
  </w:style>
  <w:style w:type="paragraph" w:styleId="10">
    <w:name w:val="List"/>
    <w:basedOn w:val="1"/>
    <w:semiHidden/>
    <w:unhideWhenUsed/>
    <w:qFormat/>
    <w:uiPriority w:val="99"/>
    <w:pPr>
      <w:ind w:left="200" w:hanging="200" w:hangingChars="200"/>
      <w:contextualSpacing/>
    </w:pPr>
  </w:style>
  <w:style w:type="paragraph" w:styleId="11">
    <w:name w:val="Balloon Text"/>
    <w:basedOn w:val="1"/>
    <w:link w:val="35"/>
    <w:semiHidden/>
    <w:unhideWhenUsed/>
    <w:qFormat/>
    <w:uiPriority w:val="99"/>
    <w:rPr>
      <w:sz w:val="18"/>
      <w:szCs w:val="18"/>
    </w:rPr>
  </w:style>
  <w:style w:type="paragraph" w:styleId="12">
    <w:name w:val="footer"/>
    <w:basedOn w:val="1"/>
    <w:link w:val="22"/>
    <w:unhideWhenUsed/>
    <w:qFormat/>
    <w:uiPriority w:val="99"/>
    <w:pPr>
      <w:tabs>
        <w:tab w:val="center" w:pos="4153"/>
        <w:tab w:val="right" w:pos="8306"/>
      </w:tabs>
      <w:snapToGrid w:val="0"/>
      <w:jc w:val="left"/>
    </w:pPr>
    <w:rPr>
      <w:sz w:val="18"/>
      <w:szCs w:val="18"/>
    </w:rPr>
  </w:style>
  <w:style w:type="paragraph" w:styleId="13">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5">
    <w:name w:val="annotation subject"/>
    <w:basedOn w:val="8"/>
    <w:next w:val="8"/>
    <w:link w:val="38"/>
    <w:semiHidden/>
    <w:unhideWhenUsed/>
    <w:qFormat/>
    <w:uiPriority w:val="99"/>
    <w:rPr>
      <w:b/>
      <w:bCs/>
    </w:rPr>
  </w:style>
  <w:style w:type="table" w:styleId="17">
    <w:name w:val="Table Grid"/>
    <w:basedOn w:val="16"/>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unhideWhenUsed/>
    <w:qFormat/>
    <w:uiPriority w:val="99"/>
    <w:rPr>
      <w:color w:val="0000FF"/>
      <w:u w:val="single"/>
    </w:rPr>
  </w:style>
  <w:style w:type="character" w:styleId="20">
    <w:name w:val="annotation reference"/>
    <w:basedOn w:val="18"/>
    <w:unhideWhenUsed/>
    <w:qFormat/>
    <w:uiPriority w:val="99"/>
    <w:rPr>
      <w:sz w:val="21"/>
      <w:szCs w:val="21"/>
    </w:rPr>
  </w:style>
  <w:style w:type="character" w:customStyle="1" w:styleId="21">
    <w:name w:val="页眉 字符"/>
    <w:basedOn w:val="18"/>
    <w:link w:val="13"/>
    <w:qFormat/>
    <w:uiPriority w:val="99"/>
    <w:rPr>
      <w:sz w:val="18"/>
      <w:szCs w:val="18"/>
    </w:rPr>
  </w:style>
  <w:style w:type="character" w:customStyle="1" w:styleId="22">
    <w:name w:val="页脚 字符"/>
    <w:basedOn w:val="18"/>
    <w:link w:val="12"/>
    <w:qFormat/>
    <w:uiPriority w:val="99"/>
    <w:rPr>
      <w:sz w:val="18"/>
      <w:szCs w:val="18"/>
    </w:rPr>
  </w:style>
  <w:style w:type="character" w:customStyle="1" w:styleId="23">
    <w:name w:val="Char Char"/>
    <w:link w:val="24"/>
    <w:qFormat/>
    <w:uiPriority w:val="0"/>
    <w:rPr>
      <w:rFonts w:ascii="Arial" w:hAnsi="Arial"/>
      <w:sz w:val="32"/>
      <w:szCs w:val="36"/>
    </w:rPr>
  </w:style>
  <w:style w:type="paragraph" w:customStyle="1" w:styleId="24">
    <w:name w:val="Char"/>
    <w:basedOn w:val="25"/>
    <w:link w:val="23"/>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5">
    <w:name w:val="List Paragraph"/>
    <w:basedOn w:val="1"/>
    <w:link w:val="41"/>
    <w:qFormat/>
    <w:uiPriority w:val="34"/>
    <w:pPr>
      <w:ind w:firstLine="420" w:firstLineChars="200"/>
    </w:pPr>
  </w:style>
  <w:style w:type="character" w:customStyle="1" w:styleId="26">
    <w:name w:val="TAH Car"/>
    <w:link w:val="27"/>
    <w:qFormat/>
    <w:uiPriority w:val="0"/>
    <w:rPr>
      <w:rFonts w:ascii="Arial" w:hAnsi="Arial" w:eastAsia="Times New Roman" w:cs="Times New Roman"/>
      <w:b/>
      <w:kern w:val="0"/>
      <w:sz w:val="18"/>
      <w:szCs w:val="20"/>
      <w:lang w:val="en-GB" w:eastAsia="ja-JP"/>
    </w:rPr>
  </w:style>
  <w:style w:type="paragraph" w:customStyle="1" w:styleId="27">
    <w:name w:val="TAH"/>
    <w:basedOn w:val="28"/>
    <w:link w:val="26"/>
    <w:qFormat/>
    <w:uiPriority w:val="0"/>
    <w:rPr>
      <w:b/>
    </w:rPr>
  </w:style>
  <w:style w:type="paragraph" w:customStyle="1" w:styleId="28">
    <w:name w:val="TAC"/>
    <w:basedOn w:val="29"/>
    <w:link w:val="32"/>
    <w:qFormat/>
    <w:uiPriority w:val="0"/>
    <w:pPr>
      <w:overflowPunct w:val="0"/>
      <w:autoSpaceDE w:val="0"/>
      <w:autoSpaceDN w:val="0"/>
      <w:adjustRightInd w:val="0"/>
      <w:jc w:val="center"/>
      <w:textAlignment w:val="baseline"/>
    </w:pPr>
    <w:rPr>
      <w:lang w:eastAsia="ja-JP"/>
    </w:rPr>
  </w:style>
  <w:style w:type="paragraph" w:customStyle="1" w:styleId="29">
    <w:name w:val="TAL"/>
    <w:basedOn w:val="1"/>
    <w:link w:val="36"/>
    <w:qFormat/>
    <w:uiPriority w:val="0"/>
    <w:pPr>
      <w:keepNext/>
      <w:keepLines/>
      <w:widowControl/>
      <w:jc w:val="left"/>
    </w:pPr>
    <w:rPr>
      <w:rFonts w:ascii="Arial" w:hAnsi="Arial" w:eastAsia="Times New Roman"/>
      <w:kern w:val="0"/>
      <w:sz w:val="18"/>
      <w:szCs w:val="20"/>
      <w:lang w:val="en-GB" w:eastAsia="en-US"/>
    </w:rPr>
  </w:style>
  <w:style w:type="character" w:customStyle="1" w:styleId="30">
    <w:name w:val="B1 Char"/>
    <w:link w:val="31"/>
    <w:qFormat/>
    <w:uiPriority w:val="0"/>
    <w:rPr>
      <w:rFonts w:ascii="Times New Roman" w:hAnsi="Times New Roman" w:eastAsia="MS Mincho"/>
      <w:lang w:val="en-GB" w:eastAsia="de-DE"/>
    </w:rPr>
  </w:style>
  <w:style w:type="paragraph" w:customStyle="1" w:styleId="31">
    <w:name w:val="B1"/>
    <w:basedOn w:val="10"/>
    <w:link w:val="30"/>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2">
    <w:name w:val="TAC Char"/>
    <w:link w:val="28"/>
    <w:qFormat/>
    <w:uiPriority w:val="0"/>
    <w:rPr>
      <w:rFonts w:ascii="Arial" w:hAnsi="Arial" w:eastAsia="Times New Roman" w:cs="Times New Roman"/>
      <w:kern w:val="0"/>
      <w:sz w:val="18"/>
      <w:szCs w:val="20"/>
      <w:lang w:val="en-GB" w:eastAsia="ja-JP"/>
    </w:rPr>
  </w:style>
  <w:style w:type="paragraph" w:styleId="33">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4">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5">
    <w:name w:val="批注框文本 字符"/>
    <w:basedOn w:val="18"/>
    <w:link w:val="11"/>
    <w:semiHidden/>
    <w:qFormat/>
    <w:uiPriority w:val="99"/>
    <w:rPr>
      <w:rFonts w:ascii="CG Times (WN)" w:hAnsi="CG Times (WN)" w:eastAsia="宋体" w:cs="Times New Roman"/>
      <w:sz w:val="18"/>
      <w:szCs w:val="18"/>
    </w:rPr>
  </w:style>
  <w:style w:type="character" w:customStyle="1" w:styleId="36">
    <w:name w:val="TAL Char"/>
    <w:link w:val="29"/>
    <w:qFormat/>
    <w:uiPriority w:val="0"/>
    <w:rPr>
      <w:rFonts w:ascii="Arial" w:hAnsi="Arial" w:eastAsia="Times New Roman" w:cs="Times New Roman"/>
      <w:kern w:val="0"/>
      <w:sz w:val="18"/>
      <w:szCs w:val="20"/>
      <w:lang w:val="en-GB" w:eastAsia="en-US"/>
    </w:rPr>
  </w:style>
  <w:style w:type="character" w:customStyle="1" w:styleId="37">
    <w:name w:val="批注文字 字符"/>
    <w:basedOn w:val="18"/>
    <w:link w:val="8"/>
    <w:qFormat/>
    <w:uiPriority w:val="0"/>
    <w:rPr>
      <w:rFonts w:ascii="CG Times (WN)" w:hAnsi="CG Times (WN)" w:eastAsia="宋体" w:cs="Times New Roman"/>
    </w:rPr>
  </w:style>
  <w:style w:type="character" w:customStyle="1" w:styleId="38">
    <w:name w:val="批注主题 字符"/>
    <w:basedOn w:val="37"/>
    <w:link w:val="15"/>
    <w:semiHidden/>
    <w:qFormat/>
    <w:uiPriority w:val="99"/>
    <w:rPr>
      <w:rFonts w:ascii="CG Times (WN)" w:hAnsi="CG Times (WN)" w:eastAsia="宋体" w:cs="Times New Roman"/>
      <w:b/>
      <w:bCs/>
    </w:rPr>
  </w:style>
  <w:style w:type="character" w:customStyle="1" w:styleId="39">
    <w:name w:val="文档结构图 字符"/>
    <w:basedOn w:val="18"/>
    <w:link w:val="7"/>
    <w:semiHidden/>
    <w:qFormat/>
    <w:uiPriority w:val="99"/>
    <w:rPr>
      <w:rFonts w:ascii="宋体" w:hAnsi="CG Times (WN)" w:eastAsia="宋体" w:cs="Times New Roman"/>
      <w:sz w:val="18"/>
      <w:szCs w:val="18"/>
    </w:rPr>
  </w:style>
  <w:style w:type="character" w:customStyle="1" w:styleId="40">
    <w:name w:val="题注 字符"/>
    <w:link w:val="6"/>
    <w:qFormat/>
    <w:uiPriority w:val="35"/>
    <w:rPr>
      <w:rFonts w:ascii="Times New Roman" w:hAnsi="Times New Roman" w:eastAsia="MS Mincho" w:cs="Times New Roman"/>
      <w:b/>
      <w:kern w:val="0"/>
      <w:sz w:val="20"/>
      <w:szCs w:val="20"/>
      <w:lang w:val="en-GB" w:eastAsia="en-US"/>
    </w:rPr>
  </w:style>
  <w:style w:type="character" w:customStyle="1" w:styleId="41">
    <w:name w:val="列表段落 字符"/>
    <w:link w:val="25"/>
    <w:qFormat/>
    <w:uiPriority w:val="34"/>
    <w:rPr>
      <w:rFonts w:ascii="CG Times (WN)" w:hAnsi="CG Times (WN)" w:eastAsia="宋体" w:cs="Times New Roma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3">
    <w:name w:val="标题 2 字符"/>
    <w:basedOn w:val="18"/>
    <w:link w:val="3"/>
    <w:qFormat/>
    <w:uiPriority w:val="9"/>
    <w:rPr>
      <w:rFonts w:asciiTheme="majorHAnsi" w:hAnsiTheme="majorHAnsi" w:eastAsiaTheme="majorEastAsia" w:cstheme="majorBidi"/>
      <w:b/>
      <w:bCs/>
      <w:sz w:val="32"/>
      <w:szCs w:val="32"/>
    </w:rPr>
  </w:style>
  <w:style w:type="table" w:customStyle="1" w:styleId="44">
    <w:name w:val="网格型1"/>
    <w:basedOn w:val="16"/>
    <w:qFormat/>
    <w:uiPriority w:val="39"/>
    <w:rPr>
      <w:rFonts w:ascii="Calibri" w:hAnsi="Calibri"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
    <w:name w:val="网格型2"/>
    <w:basedOn w:val="16"/>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
    <w:name w:val="标题 3 字符"/>
    <w:basedOn w:val="18"/>
    <w:link w:val="4"/>
    <w:qFormat/>
    <w:uiPriority w:val="9"/>
    <w:rPr>
      <w:rFonts w:ascii="Arial" w:hAnsi="Arial" w:eastAsia="Arial Unicode MS" w:cs="Times New Roman"/>
      <w:bCs/>
      <w:sz w:val="30"/>
      <w:szCs w:val="32"/>
    </w:rPr>
  </w:style>
  <w:style w:type="table" w:customStyle="1" w:styleId="47">
    <w:name w:val="网格型3"/>
    <w:basedOn w:val="16"/>
    <w:qFormat/>
    <w:uiPriority w:val="0"/>
    <w:pPr>
      <w:overflowPunct w:val="0"/>
      <w:autoSpaceDE w:val="0"/>
      <w:autoSpaceDN w:val="0"/>
      <w:adjustRightInd w:val="0"/>
      <w:spacing w:after="180"/>
      <w:textAlignment w:val="baseline"/>
    </w:pPr>
    <w:rPr>
      <w:rFonts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laceholder Text"/>
    <w:basedOn w:val="18"/>
    <w:semiHidden/>
    <w:qFormat/>
    <w:uiPriority w:val="99"/>
    <w:rPr>
      <w:color w:val="808080"/>
    </w:rPr>
  </w:style>
  <w:style w:type="table" w:customStyle="1" w:styleId="49">
    <w:name w:val="Table Grid1"/>
    <w:basedOn w:val="16"/>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标题 5 字符"/>
    <w:basedOn w:val="18"/>
    <w:link w:val="5"/>
    <w:semiHidden/>
    <w:qFormat/>
    <w:uiPriority w:val="9"/>
    <w:rPr>
      <w:rFonts w:ascii="CG Times (WN)" w:hAnsi="CG Times (WN)" w:eastAsia="宋体" w:cs="Times New Roman"/>
      <w:b/>
      <w:bCs/>
      <w:sz w:val="28"/>
      <w:szCs w:val="28"/>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EQ"/>
    <w:basedOn w:val="1"/>
    <w:next w:val="1"/>
    <w:qFormat/>
    <w:uiPriority w:val="0"/>
    <w:pPr>
      <w:keepLines/>
      <w:tabs>
        <w:tab w:val="center" w:pos="4536"/>
        <w:tab w:val="right" w:pos="9072"/>
      </w:tabs>
    </w:pPr>
  </w:style>
  <w:style w:type="paragraph" w:customStyle="1" w:styleId="53">
    <w:name w:val="B2"/>
    <w:basedOn w:val="9"/>
    <w:qFormat/>
    <w:uiPriority w:val="0"/>
  </w:style>
  <w:style w:type="paragraph" w:customStyle="1" w:styleId="54">
    <w:name w:val="TAN"/>
    <w:basedOn w:val="29"/>
    <w:qFormat/>
    <w:uiPriority w:val="0"/>
    <w:pPr>
      <w:ind w:left="851" w:hanging="851"/>
    </w:pPr>
  </w:style>
  <w:style w:type="character" w:customStyle="1" w:styleId="55">
    <w:name w:val="B1 Char1"/>
    <w:qFormat/>
    <w:uiPriority w:val="0"/>
    <w:rPr>
      <w:rFonts w:eastAsia="Times New Roman"/>
    </w:rPr>
  </w:style>
  <w:style w:type="paragraph" w:customStyle="1" w:styleId="56">
    <w:name w:val="enumlev1"/>
    <w:basedOn w:val="1"/>
    <w:qFormat/>
    <w:uiPriority w:val="0"/>
    <w:pPr>
      <w:tabs>
        <w:tab w:val="left" w:pos="1134"/>
        <w:tab w:val="left" w:pos="1871"/>
        <w:tab w:val="left" w:pos="2608"/>
        <w:tab w:val="left" w:pos="3345"/>
      </w:tabs>
      <w:spacing w:before="80"/>
      <w:ind w:left="1134" w:hanging="1134"/>
    </w:pPr>
  </w:style>
  <w:style w:type="paragraph" w:customStyle="1" w:styleId="57">
    <w:name w:val="Table_title"/>
    <w:basedOn w:val="1"/>
    <w:next w:val="58"/>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58">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59">
    <w:name w:val="enumlev2"/>
    <w:basedOn w:val="56"/>
    <w:qFormat/>
    <w:uiPriority w:val="99"/>
    <w:pPr>
      <w:ind w:left="1871" w:hanging="737"/>
    </w:pPr>
  </w:style>
  <w:style w:type="paragraph" w:customStyle="1" w:styleId="60">
    <w:name w:val="enumlev3"/>
    <w:basedOn w:val="59"/>
    <w:qFormat/>
    <w:uiPriority w:val="0"/>
    <w:pPr>
      <w:ind w:left="2268" w:hanging="397"/>
    </w:pPr>
  </w:style>
  <w:style w:type="paragraph" w:customStyle="1" w:styleId="61">
    <w:name w:val="Revision"/>
    <w:hidden/>
    <w:unhideWhenUsed/>
    <w:qFormat/>
    <w:uiPriority w:val="99"/>
    <w:rPr>
      <w:rFonts w:ascii="CG Times (WN)" w:hAnsi="CG Times (W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Template>
  <Pages>5</Pages>
  <Words>1753</Words>
  <Characters>9994</Characters>
  <Lines>83</Lines>
  <Paragraphs>23</Paragraphs>
  <TotalTime>0</TotalTime>
  <ScaleCrop>false</ScaleCrop>
  <LinksUpToDate>false</LinksUpToDate>
  <CharactersWithSpaces>11724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2022-04-25T02:55:00Z</dcterms:created>
  <dc:creator>cmcc</dc:creator>
  <cp:lastModifiedBy>cmcc-chunxia Guo</cp:lastModifiedBy>
  <dcterms:modified xsi:type="dcterms:W3CDTF">2024-05-13T11:14:02Z</dcterms:modified>
  <cp:revision>183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AEB22CED19B24D88BF430C87E5190495</vt:lpwstr>
  </property>
</Properties>
</file>