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68F012A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CC598E">
        <w:rPr>
          <w:b/>
          <w:noProof/>
          <w:sz w:val="24"/>
        </w:rPr>
        <w:t>1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62AA2">
        <w:rPr>
          <w:b/>
          <w:noProof/>
          <w:sz w:val="24"/>
        </w:rPr>
        <w:t>4</w:t>
      </w:r>
      <w:r w:rsidR="002A702D">
        <w:rPr>
          <w:b/>
          <w:noProof/>
          <w:sz w:val="24"/>
        </w:rPr>
        <w:t>08036</w:t>
      </w:r>
    </w:p>
    <w:p w14:paraId="63C63B34" w14:textId="24A22DC4" w:rsidR="001512D7" w:rsidRPr="0010618D" w:rsidRDefault="00CC598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Fukuoka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JP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155ECF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301114B1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  <w:r w:rsidR="00451D5E">
        <w:rPr>
          <w:rFonts w:ascii="Arial" w:hAnsi="Arial" w:cs="Arial"/>
          <w:b/>
        </w:rPr>
        <w:t>, Sony</w:t>
      </w:r>
    </w:p>
    <w:p w14:paraId="157BD185" w14:textId="3FD4F15E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843922">
        <w:rPr>
          <w:rFonts w:ascii="Arial" w:hAnsi="Arial" w:cs="Arial"/>
          <w:b/>
        </w:rPr>
        <w:t>On enabling a non-</w:t>
      </w:r>
      <w:r w:rsidR="00FA1FE5">
        <w:rPr>
          <w:rFonts w:ascii="Arial" w:hAnsi="Arial" w:cs="Arial"/>
          <w:b/>
        </w:rPr>
        <w:t>RedCap</w:t>
      </w:r>
      <w:r w:rsidR="00843922">
        <w:rPr>
          <w:rFonts w:ascii="Arial" w:hAnsi="Arial" w:cs="Arial"/>
          <w:b/>
        </w:rPr>
        <w:t xml:space="preserve"> </w:t>
      </w:r>
      <w:r w:rsidR="00BB5708">
        <w:rPr>
          <w:rFonts w:ascii="Arial" w:hAnsi="Arial" w:cs="Arial"/>
          <w:b/>
        </w:rPr>
        <w:t>FR2 PC7 UE</w:t>
      </w:r>
      <w:r w:rsidR="00843922">
        <w:rPr>
          <w:rFonts w:ascii="Arial" w:hAnsi="Arial" w:cs="Arial"/>
          <w:b/>
        </w:rPr>
        <w:t xml:space="preserve"> </w:t>
      </w:r>
    </w:p>
    <w:p w14:paraId="6F13FD65" w14:textId="6495F1BC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BB5708">
        <w:rPr>
          <w:rFonts w:ascii="Arial" w:hAnsi="Arial" w:cs="Arial"/>
          <w:b/>
        </w:rPr>
        <w:t>4.1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06F06DE8" w:rsidR="00A35B3D" w:rsidRPr="00C9042B" w:rsidRDefault="00FA1FE5" w:rsidP="00313B11">
      <w:r>
        <w:t>RedCap</w:t>
      </w:r>
      <w:r w:rsidR="00A46A6C">
        <w:t xml:space="preserve"> UEs are well understood to have limited </w:t>
      </w:r>
      <w:r w:rsidR="006107D4">
        <w:t xml:space="preserve">RF and </w:t>
      </w:r>
      <w:r w:rsidR="00A46A6C">
        <w:t xml:space="preserve">baseband </w:t>
      </w:r>
      <w:r w:rsidR="006107D4">
        <w:t>ability</w:t>
      </w:r>
      <w:r w:rsidR="00A46A6C">
        <w:t xml:space="preserve">. </w:t>
      </w:r>
      <w:r w:rsidR="00843922">
        <w:t>For Rel-17</w:t>
      </w:r>
      <w:r w:rsidR="00623799">
        <w:t xml:space="preserve">, </w:t>
      </w:r>
      <w:r w:rsidR="006E2EC1">
        <w:t xml:space="preserve">a </w:t>
      </w:r>
      <w:r>
        <w:t>RedCap</w:t>
      </w:r>
      <w:r w:rsidR="006E2EC1">
        <w:t>-specific UE was defined</w:t>
      </w:r>
      <w:r w:rsidR="00D736B1">
        <w:t xml:space="preserve"> for FR2 </w:t>
      </w:r>
      <w:r w:rsidR="00B3225B">
        <w:t xml:space="preserve">(PC7) </w:t>
      </w:r>
      <w:r w:rsidR="00EF4408">
        <w:t xml:space="preserve">with a </w:t>
      </w:r>
      <w:r w:rsidR="001F6011">
        <w:t>target</w:t>
      </w:r>
      <w:r w:rsidR="00EF4408">
        <w:t xml:space="preserve"> use case</w:t>
      </w:r>
      <w:r w:rsidR="001F6011">
        <w:t xml:space="preserve"> of </w:t>
      </w:r>
      <w:r w:rsidR="006F07CA">
        <w:t>industrial sensors and</w:t>
      </w:r>
      <w:r w:rsidR="001F6011">
        <w:t xml:space="preserve"> wearable UE</w:t>
      </w:r>
      <w:r w:rsidR="006F07CA">
        <w:t>s</w:t>
      </w:r>
      <w:r w:rsidR="001F6011">
        <w:t>.</w:t>
      </w:r>
      <w:r w:rsidR="00800CE4">
        <w:t xml:space="preserve"> </w:t>
      </w:r>
      <w:r w:rsidR="00A46A6C">
        <w:t xml:space="preserve">At the same time, </w:t>
      </w:r>
      <w:r>
        <w:t>RedCap</w:t>
      </w:r>
      <w:r w:rsidR="00C41899">
        <w:t xml:space="preserve"> variants of </w:t>
      </w:r>
      <w:r w:rsidR="00EE475C">
        <w:t xml:space="preserve">established power </w:t>
      </w:r>
      <w:r w:rsidR="004B4C3A">
        <w:t xml:space="preserve">classes </w:t>
      </w:r>
      <w:r w:rsidR="00C41899">
        <w:t xml:space="preserve">were </w:t>
      </w:r>
      <w:r w:rsidR="00F423F4">
        <w:t xml:space="preserve">also </w:t>
      </w:r>
      <w:r w:rsidR="000D1100">
        <w:t>enabled by the standard to allow other use cases</w:t>
      </w:r>
      <w:r w:rsidR="00F423F4">
        <w:t xml:space="preserve"> </w:t>
      </w:r>
      <w:r w:rsidR="000D1100">
        <w:t xml:space="preserve">like </w:t>
      </w:r>
      <w:r w:rsidR="00182D35">
        <w:t xml:space="preserve">video surveillance and </w:t>
      </w:r>
      <w:commentRangeStart w:id="2"/>
      <w:r w:rsidR="000D1100">
        <w:t>factory automation</w:t>
      </w:r>
      <w:r w:rsidR="00B3225B">
        <w:t xml:space="preserve"> FWAs. </w:t>
      </w:r>
      <w:commentRangeEnd w:id="2"/>
      <w:r w:rsidR="00055F39">
        <w:rPr>
          <w:rStyle w:val="CommentReference"/>
          <w:rFonts w:ascii="Arial" w:eastAsia="Times New Roman" w:hAnsi="Arial"/>
          <w:lang w:val="x-none"/>
        </w:rPr>
        <w:commentReference w:id="2"/>
      </w:r>
      <w:r w:rsidR="00B3225B">
        <w:t>In this contribution we discuss whet</w:t>
      </w:r>
      <w:r w:rsidR="00913682">
        <w:t xml:space="preserve">her </w:t>
      </w:r>
      <w:r w:rsidR="000136A3">
        <w:t xml:space="preserve">the reverse </w:t>
      </w:r>
      <w:r w:rsidR="003338E7">
        <w:t xml:space="preserve">process is appropriate, i.e. </w:t>
      </w:r>
      <w:r w:rsidR="00B05C00">
        <w:t>enabling</w:t>
      </w:r>
      <w:r w:rsidR="003338E7">
        <w:t xml:space="preserve"> </w:t>
      </w:r>
      <w:r w:rsidR="00913682">
        <w:t>a non-</w:t>
      </w:r>
      <w:r>
        <w:t>RedCap</w:t>
      </w:r>
      <w:r w:rsidR="00913682">
        <w:t xml:space="preserve"> variant</w:t>
      </w:r>
      <w:r w:rsidR="00F423F4">
        <w:t xml:space="preserve"> of PC7</w:t>
      </w:r>
      <w:r w:rsidR="00913682">
        <w:t>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B806278" w14:textId="20249259" w:rsidR="03C53C13" w:rsidRPr="008D03F2" w:rsidRDefault="03C53C13" w:rsidP="009F1196">
      <w:pPr>
        <w:pStyle w:val="Heading2"/>
      </w:pPr>
      <w:r>
        <w:t>2.</w:t>
      </w:r>
      <w:r w:rsidR="00546FCD">
        <w:t>1</w:t>
      </w:r>
      <w:r w:rsidR="006F546D">
        <w:tab/>
      </w:r>
      <w:r w:rsidR="008F404B">
        <w:t>Background</w:t>
      </w:r>
      <w:r w:rsidR="005C646B">
        <w:t xml:space="preserve"> on </w:t>
      </w:r>
      <w:r w:rsidR="00CF0D67">
        <w:t>PC7</w:t>
      </w:r>
    </w:p>
    <w:p w14:paraId="25BE373E" w14:textId="438AFD19" w:rsidR="003F2E76" w:rsidRDefault="00913682" w:rsidP="005C3712">
      <w:r>
        <w:t xml:space="preserve">A previous contribution [1] </w:t>
      </w:r>
      <w:r w:rsidR="00AD5CCB">
        <w:t xml:space="preserve">noted that all FR2 </w:t>
      </w:r>
      <w:r w:rsidR="00615EB5">
        <w:t>UE power classes</w:t>
      </w:r>
      <w:r w:rsidR="00AD5CCB">
        <w:t xml:space="preserve"> could </w:t>
      </w:r>
      <w:r w:rsidR="00615EB5">
        <w:t xml:space="preserve">declare they were of </w:t>
      </w:r>
      <w:r w:rsidR="00FA1FE5">
        <w:t>RedCap</w:t>
      </w:r>
      <w:r w:rsidR="00615EB5">
        <w:t xml:space="preserve"> type, but one </w:t>
      </w:r>
      <w:r w:rsidR="001E7890">
        <w:t>(PC7) could not declare a non-</w:t>
      </w:r>
      <w:r w:rsidR="00FA1FE5">
        <w:t>RedCap</w:t>
      </w:r>
      <w:r w:rsidR="001E7890">
        <w:t xml:space="preserve"> variant. For completeness it was proposed that PC7 be enabled for a </w:t>
      </w:r>
      <w:r w:rsidR="003F2E76">
        <w:t>non</w:t>
      </w:r>
      <w:r w:rsidR="00F8699C">
        <w:t>-</w:t>
      </w:r>
      <w:r w:rsidR="00FA1FE5">
        <w:t>RedCap</w:t>
      </w:r>
      <w:r w:rsidR="003F2E76">
        <w:t xml:space="preserve"> variant with wider baseband capabilities.</w:t>
      </w:r>
    </w:p>
    <w:p w14:paraId="0F32EA61" w14:textId="0F4BD68C" w:rsidR="001E32E5" w:rsidRDefault="003F2E76" w:rsidP="005C3712">
      <w:r>
        <w:t xml:space="preserve">During the </w:t>
      </w:r>
      <w:r w:rsidR="00A123A6">
        <w:t xml:space="preserve">Rel-17 </w:t>
      </w:r>
      <w:r>
        <w:t>WI</w:t>
      </w:r>
      <w:r w:rsidR="00A53972">
        <w:t xml:space="preserve"> for RedCap UEs</w:t>
      </w:r>
      <w:r>
        <w:t xml:space="preserve">, </w:t>
      </w:r>
      <w:r w:rsidR="00A53972">
        <w:t xml:space="preserve">in FR2 </w:t>
      </w:r>
      <w:r w:rsidR="00AA5831">
        <w:t>PC7</w:t>
      </w:r>
      <w:r w:rsidR="008D09E9">
        <w:t xml:space="preserve"> </w:t>
      </w:r>
      <w:r w:rsidR="00BF19C2">
        <w:t>was identified as a wearable</w:t>
      </w:r>
      <w:r w:rsidR="002330B6">
        <w:t xml:space="preserve"> or industrial sensor</w:t>
      </w:r>
      <w:r w:rsidR="00BF19C2">
        <w:t xml:space="preserve">, and </w:t>
      </w:r>
      <w:r w:rsidR="00AA5831">
        <w:t xml:space="preserve">EIRP requirements were </w:t>
      </w:r>
      <w:r w:rsidR="0058243C">
        <w:t>agreed without much controversy with the understanding that this UE had limited baseband capabilities</w:t>
      </w:r>
      <w:r w:rsidR="00F35270">
        <w:t xml:space="preserve">.  </w:t>
      </w:r>
      <w:r w:rsidR="00D63A58">
        <w:t xml:space="preserve">Unfortunately, removing the </w:t>
      </w:r>
      <w:r w:rsidR="00FA1FE5">
        <w:t>RedCap</w:t>
      </w:r>
      <w:r w:rsidR="00D63A58">
        <w:t xml:space="preserve">-only restriction of PC7 </w:t>
      </w:r>
      <w:r w:rsidR="005033C0">
        <w:t xml:space="preserve">at this later stage </w:t>
      </w:r>
      <w:r w:rsidR="00650D4C">
        <w:t>conflicts with that understanding. Further</w:t>
      </w:r>
      <w:r w:rsidR="00823ACF">
        <w:t xml:space="preserve">more, </w:t>
      </w:r>
      <w:bookmarkStart w:id="3" w:name="_Hlk166280289"/>
      <w:r w:rsidR="002F7997">
        <w:t xml:space="preserve">removing the </w:t>
      </w:r>
      <w:r w:rsidR="00FA1FE5">
        <w:t>RedCap</w:t>
      </w:r>
      <w:r w:rsidR="0066536E">
        <w:t xml:space="preserve"> restriction will only </w:t>
      </w:r>
      <w:r w:rsidR="006F58C1">
        <w:t xml:space="preserve">serve to </w:t>
      </w:r>
      <w:r w:rsidR="0066536E">
        <w:t>create a lower tier of handheld UEs</w:t>
      </w:r>
      <w:r w:rsidR="001E32E5">
        <w:t>, and this is not justified in a network that is often coverage limited</w:t>
      </w:r>
      <w:bookmarkEnd w:id="3"/>
      <w:r w:rsidR="001E32E5">
        <w:t>.</w:t>
      </w:r>
    </w:p>
    <w:p w14:paraId="36AC1BCE" w14:textId="642709F7" w:rsidR="00EB354B" w:rsidRDefault="00EB354B" w:rsidP="00FA1FE5">
      <w:pPr>
        <w:rPr>
          <w:b/>
          <w:bCs/>
        </w:rPr>
      </w:pPr>
      <w:r>
        <w:rPr>
          <w:b/>
          <w:bCs/>
        </w:rPr>
        <w:t>Observation</w:t>
      </w:r>
      <w:r w:rsidRPr="004953F3">
        <w:rPr>
          <w:b/>
          <w:bCs/>
        </w:rPr>
        <w:t xml:space="preserve"> </w:t>
      </w:r>
      <w:r w:rsidR="003A0BC4">
        <w:rPr>
          <w:b/>
          <w:bCs/>
        </w:rPr>
        <w:t>1</w:t>
      </w:r>
      <w:r w:rsidRPr="004953F3">
        <w:rPr>
          <w:b/>
          <w:bCs/>
        </w:rPr>
        <w:t xml:space="preserve">: </w:t>
      </w:r>
      <w:r>
        <w:rPr>
          <w:b/>
          <w:bCs/>
        </w:rPr>
        <w:t>R</w:t>
      </w:r>
      <w:r w:rsidRPr="00EB354B">
        <w:rPr>
          <w:b/>
          <w:bCs/>
        </w:rPr>
        <w:t xml:space="preserve">emoving the RedCap restriction </w:t>
      </w:r>
      <w:r>
        <w:rPr>
          <w:b/>
          <w:bCs/>
        </w:rPr>
        <w:t xml:space="preserve">on PC7 </w:t>
      </w:r>
      <w:r w:rsidRPr="00EB354B">
        <w:rPr>
          <w:b/>
          <w:bCs/>
        </w:rPr>
        <w:t>will serve to create a lower tier of handheld UEs, and this is not justified in a network that is often coverage limited</w:t>
      </w:r>
    </w:p>
    <w:p w14:paraId="4E17C0B6" w14:textId="18DE5300" w:rsidR="00FA1FE5" w:rsidRDefault="00FA1FE5" w:rsidP="00FA1FE5">
      <w:r>
        <w:rPr>
          <w:b/>
          <w:bCs/>
        </w:rPr>
        <w:t>Observation</w:t>
      </w:r>
      <w:r w:rsidR="003A0BC4">
        <w:rPr>
          <w:b/>
          <w:bCs/>
        </w:rPr>
        <w:t xml:space="preserve"> 2</w:t>
      </w:r>
      <w:r w:rsidRPr="004953F3">
        <w:rPr>
          <w:b/>
          <w:bCs/>
        </w:rPr>
        <w:t>: The</w:t>
      </w:r>
      <w:r>
        <w:rPr>
          <w:b/>
          <w:bCs/>
        </w:rPr>
        <w:t>re is no justification to remove the</w:t>
      </w:r>
      <w:r w:rsidRPr="004953F3">
        <w:rPr>
          <w:b/>
          <w:bCs/>
        </w:rPr>
        <w:t xml:space="preserve"> </w:t>
      </w:r>
      <w:r>
        <w:rPr>
          <w:b/>
          <w:bCs/>
        </w:rPr>
        <w:t>RedCap</w:t>
      </w:r>
      <w:r w:rsidRPr="004953F3">
        <w:rPr>
          <w:b/>
          <w:bCs/>
        </w:rPr>
        <w:t>-only restriction on PC7</w:t>
      </w:r>
      <w:r>
        <w:rPr>
          <w:b/>
          <w:bCs/>
        </w:rPr>
        <w:t>.</w:t>
      </w:r>
    </w:p>
    <w:p w14:paraId="11DBE056" w14:textId="4221CD69" w:rsidR="00624A39" w:rsidRDefault="00FD3901" w:rsidP="005C3712">
      <w:r>
        <w:t xml:space="preserve">If a specific use case </w:t>
      </w:r>
      <w:r w:rsidR="00AE57C5">
        <w:t>is identified and it</w:t>
      </w:r>
      <w:r>
        <w:t xml:space="preserve"> is not well supported by the existing set of power classes, </w:t>
      </w:r>
      <w:r w:rsidR="00AE57C5">
        <w:t>a better option would be for RAN4 to define a new power class</w:t>
      </w:r>
      <w:r w:rsidR="00C7632B">
        <w:t xml:space="preserve"> with carefully considered RF performance.</w:t>
      </w:r>
    </w:p>
    <w:p w14:paraId="4B4C6A42" w14:textId="7ED572FF" w:rsidR="00C7632B" w:rsidRDefault="001508C5" w:rsidP="005C3712">
      <w:pPr>
        <w:rPr>
          <w:b/>
          <w:bCs/>
        </w:rPr>
      </w:pPr>
      <w:r>
        <w:rPr>
          <w:b/>
          <w:bCs/>
        </w:rPr>
        <w:t xml:space="preserve">Proposal 1: </w:t>
      </w:r>
      <w:r w:rsidR="005533DB" w:rsidRPr="004953F3">
        <w:rPr>
          <w:b/>
          <w:bCs/>
        </w:rPr>
        <w:t xml:space="preserve"> </w:t>
      </w:r>
      <w:r w:rsidR="00C244E9">
        <w:rPr>
          <w:b/>
          <w:bCs/>
        </w:rPr>
        <w:t>Retain</w:t>
      </w:r>
      <w:r w:rsidR="00DB2CFD">
        <w:rPr>
          <w:b/>
          <w:bCs/>
        </w:rPr>
        <w:t xml:space="preserve"> the RedCap</w:t>
      </w:r>
      <w:r w:rsidR="00DB2CFD" w:rsidRPr="004953F3">
        <w:rPr>
          <w:b/>
          <w:bCs/>
        </w:rPr>
        <w:t>-only restriction on PC7</w:t>
      </w:r>
      <w:r w:rsidR="00DB2CFD">
        <w:rPr>
          <w:b/>
          <w:bCs/>
        </w:rPr>
        <w:t xml:space="preserve">. </w:t>
      </w:r>
      <w:r w:rsidR="00FA1FE5">
        <w:rPr>
          <w:b/>
          <w:bCs/>
        </w:rPr>
        <w:t xml:space="preserve">A </w:t>
      </w:r>
      <w:r w:rsidR="005533DB" w:rsidRPr="004953F3">
        <w:rPr>
          <w:b/>
          <w:bCs/>
        </w:rPr>
        <w:t xml:space="preserve">new </w:t>
      </w:r>
      <w:r w:rsidR="00FA1FE5">
        <w:rPr>
          <w:b/>
          <w:bCs/>
        </w:rPr>
        <w:t xml:space="preserve">UE </w:t>
      </w:r>
      <w:r w:rsidR="005533DB" w:rsidRPr="004953F3">
        <w:rPr>
          <w:b/>
          <w:bCs/>
        </w:rPr>
        <w:t xml:space="preserve">power class </w:t>
      </w:r>
      <w:r w:rsidR="00451D5E">
        <w:rPr>
          <w:b/>
          <w:bCs/>
        </w:rPr>
        <w:t>shall be</w:t>
      </w:r>
      <w:r w:rsidR="005533DB" w:rsidRPr="004953F3">
        <w:rPr>
          <w:b/>
          <w:bCs/>
        </w:rPr>
        <w:t xml:space="preserve"> investigated </w:t>
      </w:r>
      <w:r w:rsidR="005C646B" w:rsidRPr="004953F3">
        <w:rPr>
          <w:b/>
          <w:bCs/>
        </w:rPr>
        <w:t>if a new use case is identified.</w:t>
      </w:r>
    </w:p>
    <w:p w14:paraId="0D6C00DA" w14:textId="77777777" w:rsidR="00AC6B8B" w:rsidRPr="004953F3" w:rsidRDefault="00AC6B8B" w:rsidP="005C3712">
      <w:pPr>
        <w:rPr>
          <w:b/>
          <w:bCs/>
        </w:rPr>
      </w:pPr>
    </w:p>
    <w:p w14:paraId="1EC5FD80" w14:textId="79D8DA4C" w:rsidR="00624A39" w:rsidRPr="008D03F2" w:rsidRDefault="00624A39" w:rsidP="00624A39">
      <w:pPr>
        <w:pStyle w:val="Heading2"/>
      </w:pPr>
      <w:r>
        <w:lastRenderedPageBreak/>
        <w:t>2.2</w:t>
      </w:r>
      <w:r>
        <w:tab/>
      </w:r>
      <w:r w:rsidR="00CF0D67">
        <w:t>Wording improvement</w:t>
      </w:r>
    </w:p>
    <w:p w14:paraId="69615EB7" w14:textId="174D8642" w:rsidR="00353A95" w:rsidRDefault="00CF0D67" w:rsidP="005C3712">
      <w:r>
        <w:t>As with many aspects in the standard, there is room for improvement</w:t>
      </w:r>
      <w:r w:rsidR="00AD2876">
        <w:t xml:space="preserve">. </w:t>
      </w:r>
      <w:r w:rsidR="006542A3">
        <w:t xml:space="preserve">Specifically, the note in the table </w:t>
      </w:r>
      <w:r w:rsidR="00353A95">
        <w:t>that describes (informative) UE types can be confusing:</w:t>
      </w:r>
      <w:r w:rsidR="00353A95">
        <w:rPr>
          <w:noProof/>
        </w:rPr>
        <w:drawing>
          <wp:inline distT="0" distB="0" distL="0" distR="0" wp14:anchorId="6B7106E9" wp14:editId="401A1DD4">
            <wp:extent cx="4610100" cy="1704975"/>
            <wp:effectExtent l="152400" t="152400" r="361950" b="371475"/>
            <wp:docPr id="1227358667" name="Picture 1" descr="A list of information on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358667" name="Picture 1" descr="A list of information on a devic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704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F0E2146" w14:textId="59A57AF9" w:rsidR="00F07486" w:rsidRDefault="002D33E3" w:rsidP="005C3712">
      <w:r>
        <w:t>There is no formal definition on non-</w:t>
      </w:r>
      <w:r w:rsidR="00FA1FE5">
        <w:t>RedCap</w:t>
      </w:r>
      <w:r>
        <w:t xml:space="preserve"> UEs</w:t>
      </w:r>
      <w:r w:rsidR="00424790">
        <w:t>.</w:t>
      </w:r>
      <w:r w:rsidR="007954E8">
        <w:t xml:space="preserve"> The intent is to </w:t>
      </w:r>
      <w:r w:rsidR="0012154B">
        <w:t>enable P</w:t>
      </w:r>
      <w:r w:rsidR="007954E8">
        <w:t xml:space="preserve">C1-6 UEs to </w:t>
      </w:r>
      <w:r w:rsidR="0012154B">
        <w:t xml:space="preserve">declare that they are </w:t>
      </w:r>
      <w:r w:rsidR="00FA1FE5">
        <w:t>RedCap</w:t>
      </w:r>
      <w:r w:rsidR="0012154B">
        <w:t xml:space="preserve">. </w:t>
      </w:r>
      <w:r w:rsidR="000B64C6">
        <w:t>The wording</w:t>
      </w:r>
      <w:r w:rsidR="00780C03">
        <w:t xml:space="preserve"> in the note</w:t>
      </w:r>
      <w:r w:rsidR="000B64C6">
        <w:t xml:space="preserve"> </w:t>
      </w:r>
      <w:r w:rsidR="00D40BFB">
        <w:t>was intend</w:t>
      </w:r>
      <w:r w:rsidR="00FA1FE5">
        <w:t>ed</w:t>
      </w:r>
      <w:r w:rsidR="000B64C6">
        <w:t xml:space="preserve"> to </w:t>
      </w:r>
      <w:r w:rsidR="00D40BFB">
        <w:t>be</w:t>
      </w:r>
      <w:r w:rsidR="000B64C6">
        <w:t xml:space="preserve"> future proof, but </w:t>
      </w:r>
      <w:r w:rsidR="00F44F02">
        <w:t xml:space="preserve">instead it can be difficult to unpack. </w:t>
      </w:r>
      <w:r w:rsidR="000640C8">
        <w:t>A possible alternative to the note is ‘</w:t>
      </w:r>
      <w:r w:rsidR="00FA1FE5">
        <w:t>RedCap</w:t>
      </w:r>
      <w:r w:rsidR="00986AD1">
        <w:t xml:space="preserve"> variants of PC1 through PC6 are not precluded’</w:t>
      </w:r>
      <w:r w:rsidR="00FA1FE5">
        <w:t xml:space="preserve"> or, to maintain future-proofness, ‘</w:t>
      </w:r>
      <w:bookmarkStart w:id="4" w:name="_Hlk166224769"/>
      <w:r w:rsidR="00FA1FE5">
        <w:t>any</w:t>
      </w:r>
      <w:r w:rsidR="00FA1FE5" w:rsidRPr="00FA1FE5">
        <w:t xml:space="preserve"> power class in FR2 can be used for Redcap type devices as long as the device can meet the core requirements defined for </w:t>
      </w:r>
      <w:r w:rsidR="0057315A">
        <w:t>that</w:t>
      </w:r>
      <w:r w:rsidR="00FA1FE5" w:rsidRPr="00FA1FE5">
        <w:t xml:space="preserve"> power class</w:t>
      </w:r>
      <w:bookmarkEnd w:id="4"/>
      <w:r w:rsidR="00FA1FE5">
        <w:t>’.</w:t>
      </w:r>
    </w:p>
    <w:p w14:paraId="505C130A" w14:textId="4D470338" w:rsidR="008C1055" w:rsidRPr="008E572A" w:rsidRDefault="008C1055" w:rsidP="005C3712">
      <w:pPr>
        <w:rPr>
          <w:b/>
          <w:bCs/>
        </w:rPr>
      </w:pPr>
      <w:r w:rsidRPr="008E572A">
        <w:rPr>
          <w:b/>
          <w:bCs/>
        </w:rPr>
        <w:t xml:space="preserve">Proposal </w:t>
      </w:r>
      <w:r w:rsidR="009C3DD2">
        <w:rPr>
          <w:b/>
          <w:bCs/>
        </w:rPr>
        <w:t>2</w:t>
      </w:r>
      <w:r w:rsidRPr="008E572A">
        <w:rPr>
          <w:b/>
          <w:bCs/>
        </w:rPr>
        <w:t xml:space="preserve">: </w:t>
      </w:r>
      <w:r w:rsidR="009C3DD2">
        <w:rPr>
          <w:b/>
          <w:bCs/>
        </w:rPr>
        <w:t xml:space="preserve">RAN4 to consider clarifying the note in table </w:t>
      </w:r>
      <w:r w:rsidR="002D33E3">
        <w:rPr>
          <w:b/>
          <w:bCs/>
        </w:rPr>
        <w:t>6.2.1.0-1</w:t>
      </w:r>
      <w:r w:rsidR="004830F3">
        <w:rPr>
          <w:b/>
          <w:bCs/>
        </w:rPr>
        <w:t xml:space="preserve"> of 38.101-2</w:t>
      </w:r>
      <w:r w:rsidR="004953F3">
        <w:rPr>
          <w:b/>
          <w:bCs/>
        </w:rPr>
        <w:t xml:space="preserve">, for example: </w:t>
      </w:r>
      <w:r w:rsidR="004953F3">
        <w:t>‘</w:t>
      </w:r>
      <w:r w:rsidR="00FA1FE5" w:rsidRPr="00FA1FE5">
        <w:t xml:space="preserve">any power class can be used for Redcap type devices as long as the device can meet the core requirements defined for </w:t>
      </w:r>
      <w:r w:rsidR="00196975">
        <w:t>that</w:t>
      </w:r>
      <w:r w:rsidR="00FA1FE5" w:rsidRPr="00FA1FE5">
        <w:t xml:space="preserve"> power class</w:t>
      </w:r>
      <w:r w:rsidR="004953F3">
        <w:t>’</w:t>
      </w:r>
    </w:p>
    <w:p w14:paraId="0EA2FD80" w14:textId="478BE1C9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48A2B9ED" w14:textId="77777777" w:rsidR="000F07F9" w:rsidRDefault="000F07F9" w:rsidP="000F07F9">
      <w:pPr>
        <w:rPr>
          <w:b/>
          <w:bCs/>
        </w:rPr>
      </w:pPr>
      <w:r>
        <w:rPr>
          <w:b/>
          <w:bCs/>
        </w:rPr>
        <w:t>Observation</w:t>
      </w:r>
      <w:r w:rsidRPr="004953F3">
        <w:rPr>
          <w:b/>
          <w:bCs/>
        </w:rPr>
        <w:t xml:space="preserve"> </w:t>
      </w:r>
      <w:r>
        <w:rPr>
          <w:b/>
          <w:bCs/>
        </w:rPr>
        <w:t>1</w:t>
      </w:r>
      <w:r w:rsidRPr="004953F3">
        <w:rPr>
          <w:b/>
          <w:bCs/>
        </w:rPr>
        <w:t xml:space="preserve">: </w:t>
      </w:r>
      <w:r>
        <w:rPr>
          <w:b/>
          <w:bCs/>
        </w:rPr>
        <w:t>R</w:t>
      </w:r>
      <w:r w:rsidRPr="00EB354B">
        <w:rPr>
          <w:b/>
          <w:bCs/>
        </w:rPr>
        <w:t xml:space="preserve">emoving the RedCap restriction </w:t>
      </w:r>
      <w:r>
        <w:rPr>
          <w:b/>
          <w:bCs/>
        </w:rPr>
        <w:t xml:space="preserve">on PC7 </w:t>
      </w:r>
      <w:r w:rsidRPr="00EB354B">
        <w:rPr>
          <w:b/>
          <w:bCs/>
        </w:rPr>
        <w:t>will serve to create a lower tier of handheld UEs, and this is not justified in a network that is often coverage limited</w:t>
      </w:r>
    </w:p>
    <w:p w14:paraId="25C384DA" w14:textId="77777777" w:rsidR="000F07F9" w:rsidRDefault="000F07F9" w:rsidP="000F07F9">
      <w:r>
        <w:rPr>
          <w:b/>
          <w:bCs/>
        </w:rPr>
        <w:t>Observation 2</w:t>
      </w:r>
      <w:r w:rsidRPr="004953F3">
        <w:rPr>
          <w:b/>
          <w:bCs/>
        </w:rPr>
        <w:t>: The</w:t>
      </w:r>
      <w:r>
        <w:rPr>
          <w:b/>
          <w:bCs/>
        </w:rPr>
        <w:t>re is no justification to remove the</w:t>
      </w:r>
      <w:r w:rsidRPr="004953F3">
        <w:rPr>
          <w:b/>
          <w:bCs/>
        </w:rPr>
        <w:t xml:space="preserve"> </w:t>
      </w:r>
      <w:r>
        <w:rPr>
          <w:b/>
          <w:bCs/>
        </w:rPr>
        <w:t>RedCap</w:t>
      </w:r>
      <w:r w:rsidRPr="004953F3">
        <w:rPr>
          <w:b/>
          <w:bCs/>
        </w:rPr>
        <w:t>-only restriction on PC7</w:t>
      </w:r>
      <w:r>
        <w:rPr>
          <w:b/>
          <w:bCs/>
        </w:rPr>
        <w:t>.</w:t>
      </w:r>
    </w:p>
    <w:p w14:paraId="353857DE" w14:textId="77777777" w:rsidR="000F07F9" w:rsidRDefault="000F07F9" w:rsidP="000F07F9">
      <w:pPr>
        <w:rPr>
          <w:b/>
          <w:bCs/>
        </w:rPr>
      </w:pPr>
      <w:r>
        <w:rPr>
          <w:b/>
          <w:bCs/>
        </w:rPr>
        <w:t xml:space="preserve">Proposal 1: </w:t>
      </w:r>
      <w:r w:rsidRPr="004953F3">
        <w:rPr>
          <w:b/>
          <w:bCs/>
        </w:rPr>
        <w:t xml:space="preserve"> </w:t>
      </w:r>
      <w:r>
        <w:rPr>
          <w:b/>
          <w:bCs/>
        </w:rPr>
        <w:t>Retain the RedCap</w:t>
      </w:r>
      <w:r w:rsidRPr="004953F3">
        <w:rPr>
          <w:b/>
          <w:bCs/>
        </w:rPr>
        <w:t>-only restriction on PC7</w:t>
      </w:r>
      <w:r>
        <w:rPr>
          <w:b/>
          <w:bCs/>
        </w:rPr>
        <w:t xml:space="preserve">. A </w:t>
      </w:r>
      <w:r w:rsidRPr="004953F3">
        <w:rPr>
          <w:b/>
          <w:bCs/>
        </w:rPr>
        <w:t xml:space="preserve">new </w:t>
      </w:r>
      <w:r>
        <w:rPr>
          <w:b/>
          <w:bCs/>
        </w:rPr>
        <w:t xml:space="preserve">UE </w:t>
      </w:r>
      <w:r w:rsidRPr="004953F3">
        <w:rPr>
          <w:b/>
          <w:bCs/>
        </w:rPr>
        <w:t xml:space="preserve">power class </w:t>
      </w:r>
      <w:r>
        <w:rPr>
          <w:b/>
          <w:bCs/>
        </w:rPr>
        <w:t>shall be</w:t>
      </w:r>
      <w:r w:rsidRPr="004953F3">
        <w:rPr>
          <w:b/>
          <w:bCs/>
        </w:rPr>
        <w:t xml:space="preserve"> investigated if a new use case is identified.</w:t>
      </w:r>
    </w:p>
    <w:p w14:paraId="4FC498F1" w14:textId="07D4F1E0" w:rsidR="006330B3" w:rsidRPr="008E572A" w:rsidRDefault="006330B3" w:rsidP="006330B3">
      <w:pPr>
        <w:rPr>
          <w:b/>
          <w:bCs/>
        </w:rPr>
      </w:pPr>
      <w:r w:rsidRPr="008E572A">
        <w:rPr>
          <w:b/>
          <w:bCs/>
        </w:rPr>
        <w:t xml:space="preserve">Proposal </w:t>
      </w:r>
      <w:r>
        <w:rPr>
          <w:b/>
          <w:bCs/>
        </w:rPr>
        <w:t>2</w:t>
      </w:r>
      <w:r w:rsidRPr="008E572A">
        <w:rPr>
          <w:b/>
          <w:bCs/>
        </w:rPr>
        <w:t xml:space="preserve">: </w:t>
      </w:r>
      <w:r>
        <w:rPr>
          <w:b/>
          <w:bCs/>
        </w:rPr>
        <w:t xml:space="preserve">RAN4 to consider clarifying the note in table 6.2.1.0-1 of 38.101-2, for example: </w:t>
      </w:r>
      <w:r>
        <w:t>‘</w:t>
      </w:r>
      <w:r w:rsidRPr="00FA1FE5">
        <w:t xml:space="preserve">any power class in FR2 can be used for Redcap type devices as long as the device can meet the core requirements defined for </w:t>
      </w:r>
      <w:r w:rsidR="00196975">
        <w:t>that</w:t>
      </w:r>
      <w:r w:rsidRPr="00FA1FE5">
        <w:t xml:space="preserve"> power class</w:t>
      </w:r>
      <w:r>
        <w:t>’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t>4.</w:t>
      </w:r>
      <w:r>
        <w:tab/>
      </w:r>
      <w:r w:rsidR="00011F96">
        <w:t>References</w:t>
      </w:r>
    </w:p>
    <w:p w14:paraId="1D2E4ABF" w14:textId="6E1DDE6D" w:rsidR="00D32DDA" w:rsidRDefault="00011F96" w:rsidP="00DC6376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</w:t>
      </w:r>
      <w:r w:rsidR="00DC6376">
        <w:rPr>
          <w:lang w:eastAsia="ko-KR"/>
        </w:rPr>
        <w:t>4</w:t>
      </w:r>
      <w:r w:rsidR="004860CD">
        <w:rPr>
          <w:lang w:eastAsia="ko-KR"/>
        </w:rPr>
        <w:t>-240</w:t>
      </w:r>
      <w:r w:rsidR="00A017F3">
        <w:rPr>
          <w:lang w:eastAsia="ko-KR"/>
        </w:rPr>
        <w:t>5169</w:t>
      </w:r>
      <w:r w:rsidR="00DC6376">
        <w:rPr>
          <w:lang w:eastAsia="ko-KR"/>
        </w:rPr>
        <w:t>, ‘</w:t>
      </w:r>
      <w:r w:rsidR="003D20FA" w:rsidRPr="003D20FA">
        <w:rPr>
          <w:lang w:eastAsia="ko-KR"/>
        </w:rPr>
        <w:t>Discussion on the applicability of UE Power class 7</w:t>
      </w:r>
      <w:r w:rsidR="00DC6376">
        <w:rPr>
          <w:lang w:eastAsia="ko-KR"/>
        </w:rPr>
        <w:t xml:space="preserve">’, </w:t>
      </w:r>
      <w:r>
        <w:rPr>
          <w:lang w:eastAsia="ko-KR"/>
        </w:rPr>
        <w:t xml:space="preserve"> </w:t>
      </w:r>
      <w:r w:rsidR="004953F3">
        <w:rPr>
          <w:lang w:eastAsia="ko-KR"/>
        </w:rPr>
        <w:t>Huawei</w:t>
      </w:r>
      <w:r w:rsidR="00DC6376">
        <w:rPr>
          <w:lang w:eastAsia="ko-KR"/>
        </w:rPr>
        <w:t>, RAN4#110-Bis, Apr. 2024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Kun Zhao" w:date="2024-05-11T00:31:00Z" w:initials="KZ">
    <w:p w14:paraId="336C4379" w14:textId="77777777" w:rsidR="00055F39" w:rsidRDefault="00055F39" w:rsidP="00D21171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sv-SE"/>
        </w:rPr>
        <w:t>Maybe better to also include "video surveillance" as a use case since this was one of the use cases explicitly discussed in Rel-17 Redcap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6C437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E93ADD" w16cex:dateUtc="2024-05-10T1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6C4379" w16cid:durableId="29E93AD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6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 Zhao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362F"/>
    <w:rsid w:val="000136A3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42DB"/>
    <w:rsid w:val="00044E4C"/>
    <w:rsid w:val="0004503B"/>
    <w:rsid w:val="000452F1"/>
    <w:rsid w:val="000454A9"/>
    <w:rsid w:val="0004568E"/>
    <w:rsid w:val="00045E2D"/>
    <w:rsid w:val="000463AE"/>
    <w:rsid w:val="00046DDD"/>
    <w:rsid w:val="0005168A"/>
    <w:rsid w:val="000517DE"/>
    <w:rsid w:val="00051BFA"/>
    <w:rsid w:val="0005283C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C6C"/>
    <w:rsid w:val="00065FBC"/>
    <w:rsid w:val="00066E80"/>
    <w:rsid w:val="000703C4"/>
    <w:rsid w:val="00070AD8"/>
    <w:rsid w:val="000713B9"/>
    <w:rsid w:val="00071F9C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4AC"/>
    <w:rsid w:val="00084322"/>
    <w:rsid w:val="00086934"/>
    <w:rsid w:val="000872D5"/>
    <w:rsid w:val="000908D9"/>
    <w:rsid w:val="0009140F"/>
    <w:rsid w:val="000924CA"/>
    <w:rsid w:val="00092AF8"/>
    <w:rsid w:val="0009467F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B6B"/>
    <w:rsid w:val="000D31EF"/>
    <w:rsid w:val="000D3E64"/>
    <w:rsid w:val="000D406F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7387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600C2"/>
    <w:rsid w:val="001606AC"/>
    <w:rsid w:val="00161C73"/>
    <w:rsid w:val="00163246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920"/>
    <w:rsid w:val="00180BAA"/>
    <w:rsid w:val="00181123"/>
    <w:rsid w:val="00181627"/>
    <w:rsid w:val="001821DC"/>
    <w:rsid w:val="001823D6"/>
    <w:rsid w:val="00182ACA"/>
    <w:rsid w:val="00182D35"/>
    <w:rsid w:val="0018383E"/>
    <w:rsid w:val="0018466B"/>
    <w:rsid w:val="0018484B"/>
    <w:rsid w:val="00184E1B"/>
    <w:rsid w:val="00184F4D"/>
    <w:rsid w:val="001851D4"/>
    <w:rsid w:val="00185F2B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EAC"/>
    <w:rsid w:val="001C6F7A"/>
    <w:rsid w:val="001C71C4"/>
    <w:rsid w:val="001D18F3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305"/>
    <w:rsid w:val="001E45A6"/>
    <w:rsid w:val="001E58DA"/>
    <w:rsid w:val="001E5EAD"/>
    <w:rsid w:val="001E5F31"/>
    <w:rsid w:val="001E65C4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CAA"/>
    <w:rsid w:val="00235F85"/>
    <w:rsid w:val="00236CB7"/>
    <w:rsid w:val="0023778F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5E6"/>
    <w:rsid w:val="00246C6C"/>
    <w:rsid w:val="00246F0F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2AD4"/>
    <w:rsid w:val="002D33E3"/>
    <w:rsid w:val="002D4CC7"/>
    <w:rsid w:val="002D4FBE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460"/>
    <w:rsid w:val="002F280F"/>
    <w:rsid w:val="002F28ED"/>
    <w:rsid w:val="002F3968"/>
    <w:rsid w:val="002F48EE"/>
    <w:rsid w:val="002F59D6"/>
    <w:rsid w:val="002F70C7"/>
    <w:rsid w:val="002F756C"/>
    <w:rsid w:val="002F7997"/>
    <w:rsid w:val="003000E0"/>
    <w:rsid w:val="00300502"/>
    <w:rsid w:val="00300B80"/>
    <w:rsid w:val="003018CB"/>
    <w:rsid w:val="00301D5D"/>
    <w:rsid w:val="00301D8D"/>
    <w:rsid w:val="00302E72"/>
    <w:rsid w:val="003030FB"/>
    <w:rsid w:val="00303DDE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5E3"/>
    <w:rsid w:val="00316676"/>
    <w:rsid w:val="003172BC"/>
    <w:rsid w:val="00317D5E"/>
    <w:rsid w:val="00320BCA"/>
    <w:rsid w:val="00321A80"/>
    <w:rsid w:val="00321D3D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0BC4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20"/>
    <w:rsid w:val="003C7D8D"/>
    <w:rsid w:val="003D0400"/>
    <w:rsid w:val="003D1093"/>
    <w:rsid w:val="003D1FC9"/>
    <w:rsid w:val="003D20FA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DEE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2D5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E36"/>
    <w:rsid w:val="004541E5"/>
    <w:rsid w:val="0045428D"/>
    <w:rsid w:val="004544D6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CA9"/>
    <w:rsid w:val="00496FBC"/>
    <w:rsid w:val="004971A7"/>
    <w:rsid w:val="004973DD"/>
    <w:rsid w:val="0049780C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CCF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5AFA"/>
    <w:rsid w:val="00505F2F"/>
    <w:rsid w:val="00507C4F"/>
    <w:rsid w:val="00510653"/>
    <w:rsid w:val="0051074B"/>
    <w:rsid w:val="00510C8D"/>
    <w:rsid w:val="00510EFE"/>
    <w:rsid w:val="005120D5"/>
    <w:rsid w:val="00512862"/>
    <w:rsid w:val="00513669"/>
    <w:rsid w:val="00513B9E"/>
    <w:rsid w:val="005151F3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EEF"/>
    <w:rsid w:val="00540198"/>
    <w:rsid w:val="0054036B"/>
    <w:rsid w:val="00540427"/>
    <w:rsid w:val="00540A06"/>
    <w:rsid w:val="0054108B"/>
    <w:rsid w:val="005411B9"/>
    <w:rsid w:val="00541B78"/>
    <w:rsid w:val="005420EC"/>
    <w:rsid w:val="005425B2"/>
    <w:rsid w:val="00542EB0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35DB"/>
    <w:rsid w:val="005839AE"/>
    <w:rsid w:val="00583E05"/>
    <w:rsid w:val="0058408C"/>
    <w:rsid w:val="00584247"/>
    <w:rsid w:val="00585099"/>
    <w:rsid w:val="005865B2"/>
    <w:rsid w:val="0058669B"/>
    <w:rsid w:val="00586C0C"/>
    <w:rsid w:val="00586C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6CA"/>
    <w:rsid w:val="005B5C97"/>
    <w:rsid w:val="005B5FB7"/>
    <w:rsid w:val="005B6021"/>
    <w:rsid w:val="005B6152"/>
    <w:rsid w:val="005B6347"/>
    <w:rsid w:val="005B7105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EE1"/>
    <w:rsid w:val="005E4163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293"/>
    <w:rsid w:val="005F2388"/>
    <w:rsid w:val="005F26F7"/>
    <w:rsid w:val="005F28D2"/>
    <w:rsid w:val="005F33D7"/>
    <w:rsid w:val="005F35A7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60DE"/>
    <w:rsid w:val="00636DAA"/>
    <w:rsid w:val="00636E9A"/>
    <w:rsid w:val="00641EC1"/>
    <w:rsid w:val="00643374"/>
    <w:rsid w:val="006441E3"/>
    <w:rsid w:val="006443D3"/>
    <w:rsid w:val="00644BF4"/>
    <w:rsid w:val="00644CC0"/>
    <w:rsid w:val="00644DAE"/>
    <w:rsid w:val="006465F2"/>
    <w:rsid w:val="00646D52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50AF"/>
    <w:rsid w:val="00686392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ADA"/>
    <w:rsid w:val="006E4D12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77D"/>
    <w:rsid w:val="00703DCE"/>
    <w:rsid w:val="0070412E"/>
    <w:rsid w:val="00704787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7B0"/>
    <w:rsid w:val="00750BA5"/>
    <w:rsid w:val="00750F37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409F"/>
    <w:rsid w:val="00774E1D"/>
    <w:rsid w:val="00774F6F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B0169"/>
    <w:rsid w:val="007B0823"/>
    <w:rsid w:val="007B1B75"/>
    <w:rsid w:val="007B23AC"/>
    <w:rsid w:val="007B26AC"/>
    <w:rsid w:val="007B2975"/>
    <w:rsid w:val="007B2ACB"/>
    <w:rsid w:val="007B3486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B2"/>
    <w:rsid w:val="007C1FC2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BF9"/>
    <w:rsid w:val="007D7F6F"/>
    <w:rsid w:val="007E0FFC"/>
    <w:rsid w:val="007E16A1"/>
    <w:rsid w:val="007E1DE0"/>
    <w:rsid w:val="007E3771"/>
    <w:rsid w:val="007E46A6"/>
    <w:rsid w:val="007E4DF2"/>
    <w:rsid w:val="007E4F10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DF2"/>
    <w:rsid w:val="008A497B"/>
    <w:rsid w:val="008A4ACD"/>
    <w:rsid w:val="008A4C1E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C0A21"/>
    <w:rsid w:val="008C0E73"/>
    <w:rsid w:val="008C1055"/>
    <w:rsid w:val="008C1B0E"/>
    <w:rsid w:val="008C28AE"/>
    <w:rsid w:val="008C3113"/>
    <w:rsid w:val="008C38A5"/>
    <w:rsid w:val="008C3E8C"/>
    <w:rsid w:val="008C4294"/>
    <w:rsid w:val="008C43EC"/>
    <w:rsid w:val="008C48DA"/>
    <w:rsid w:val="008C56F3"/>
    <w:rsid w:val="008C6D51"/>
    <w:rsid w:val="008C78E2"/>
    <w:rsid w:val="008C7C19"/>
    <w:rsid w:val="008D03F2"/>
    <w:rsid w:val="008D0544"/>
    <w:rsid w:val="008D0694"/>
    <w:rsid w:val="008D09E9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F13B3"/>
    <w:rsid w:val="008F1537"/>
    <w:rsid w:val="008F194B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96C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F5"/>
    <w:rsid w:val="00904BAA"/>
    <w:rsid w:val="00904ECB"/>
    <w:rsid w:val="00906003"/>
    <w:rsid w:val="00906CD4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7035"/>
    <w:rsid w:val="0093724D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C18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43B7"/>
    <w:rsid w:val="009A4753"/>
    <w:rsid w:val="009A592F"/>
    <w:rsid w:val="009A5E26"/>
    <w:rsid w:val="009A657B"/>
    <w:rsid w:val="009A6917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C027C"/>
    <w:rsid w:val="009C054C"/>
    <w:rsid w:val="009C0DD3"/>
    <w:rsid w:val="009C23D2"/>
    <w:rsid w:val="009C2689"/>
    <w:rsid w:val="009C3985"/>
    <w:rsid w:val="009C39D8"/>
    <w:rsid w:val="009C3DD2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4BA5"/>
    <w:rsid w:val="00A15C09"/>
    <w:rsid w:val="00A15C70"/>
    <w:rsid w:val="00A16211"/>
    <w:rsid w:val="00A166F0"/>
    <w:rsid w:val="00A167BE"/>
    <w:rsid w:val="00A17D67"/>
    <w:rsid w:val="00A20998"/>
    <w:rsid w:val="00A22A07"/>
    <w:rsid w:val="00A22D40"/>
    <w:rsid w:val="00A236D3"/>
    <w:rsid w:val="00A24A5D"/>
    <w:rsid w:val="00A25128"/>
    <w:rsid w:val="00A276B7"/>
    <w:rsid w:val="00A27BF8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EEF"/>
    <w:rsid w:val="00A45C69"/>
    <w:rsid w:val="00A46198"/>
    <w:rsid w:val="00A466A5"/>
    <w:rsid w:val="00A46A6C"/>
    <w:rsid w:val="00A46AB5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7AD8"/>
    <w:rsid w:val="00A60609"/>
    <w:rsid w:val="00A607BD"/>
    <w:rsid w:val="00A620DB"/>
    <w:rsid w:val="00A623AE"/>
    <w:rsid w:val="00A624C0"/>
    <w:rsid w:val="00A6324D"/>
    <w:rsid w:val="00A63C63"/>
    <w:rsid w:val="00A64DA3"/>
    <w:rsid w:val="00A65F1E"/>
    <w:rsid w:val="00A6608F"/>
    <w:rsid w:val="00A673DA"/>
    <w:rsid w:val="00A67AB3"/>
    <w:rsid w:val="00A70BF4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ADE"/>
    <w:rsid w:val="00B27052"/>
    <w:rsid w:val="00B27114"/>
    <w:rsid w:val="00B276B0"/>
    <w:rsid w:val="00B2796A"/>
    <w:rsid w:val="00B3015E"/>
    <w:rsid w:val="00B30864"/>
    <w:rsid w:val="00B31776"/>
    <w:rsid w:val="00B31916"/>
    <w:rsid w:val="00B3225B"/>
    <w:rsid w:val="00B324CB"/>
    <w:rsid w:val="00B32739"/>
    <w:rsid w:val="00B328C8"/>
    <w:rsid w:val="00B33522"/>
    <w:rsid w:val="00B338C7"/>
    <w:rsid w:val="00B33AF5"/>
    <w:rsid w:val="00B34509"/>
    <w:rsid w:val="00B35D88"/>
    <w:rsid w:val="00B35FA9"/>
    <w:rsid w:val="00B37216"/>
    <w:rsid w:val="00B3741F"/>
    <w:rsid w:val="00B37F46"/>
    <w:rsid w:val="00B40E28"/>
    <w:rsid w:val="00B40F99"/>
    <w:rsid w:val="00B413BC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1D61"/>
    <w:rsid w:val="00C21F7E"/>
    <w:rsid w:val="00C21FD5"/>
    <w:rsid w:val="00C221AC"/>
    <w:rsid w:val="00C224AB"/>
    <w:rsid w:val="00C225AC"/>
    <w:rsid w:val="00C226C5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ED9"/>
    <w:rsid w:val="00C40EF2"/>
    <w:rsid w:val="00C41899"/>
    <w:rsid w:val="00C41AA7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0"/>
    <w:rsid w:val="00C5003E"/>
    <w:rsid w:val="00C50486"/>
    <w:rsid w:val="00C50519"/>
    <w:rsid w:val="00C50B22"/>
    <w:rsid w:val="00C51D0C"/>
    <w:rsid w:val="00C52361"/>
    <w:rsid w:val="00C528C8"/>
    <w:rsid w:val="00C52C6A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B87"/>
    <w:rsid w:val="00C6430D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69F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89E"/>
    <w:rsid w:val="00CA6DFB"/>
    <w:rsid w:val="00CA7261"/>
    <w:rsid w:val="00CB0777"/>
    <w:rsid w:val="00CB0D31"/>
    <w:rsid w:val="00CB12FA"/>
    <w:rsid w:val="00CB171D"/>
    <w:rsid w:val="00CB1E67"/>
    <w:rsid w:val="00CB2071"/>
    <w:rsid w:val="00CB2838"/>
    <w:rsid w:val="00CB2C77"/>
    <w:rsid w:val="00CB3280"/>
    <w:rsid w:val="00CB34A2"/>
    <w:rsid w:val="00CB3A6B"/>
    <w:rsid w:val="00CB3F58"/>
    <w:rsid w:val="00CB49A5"/>
    <w:rsid w:val="00CB4EA2"/>
    <w:rsid w:val="00CB5449"/>
    <w:rsid w:val="00CB57E9"/>
    <w:rsid w:val="00CB63C9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A4"/>
    <w:rsid w:val="00D0634C"/>
    <w:rsid w:val="00D07688"/>
    <w:rsid w:val="00D07FC8"/>
    <w:rsid w:val="00D114F8"/>
    <w:rsid w:val="00D12225"/>
    <w:rsid w:val="00D12690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9FB"/>
    <w:rsid w:val="00D512B5"/>
    <w:rsid w:val="00D5193D"/>
    <w:rsid w:val="00D51CF7"/>
    <w:rsid w:val="00D51DDA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A58"/>
    <w:rsid w:val="00D64CF0"/>
    <w:rsid w:val="00D657C5"/>
    <w:rsid w:val="00D659A3"/>
    <w:rsid w:val="00D65CEF"/>
    <w:rsid w:val="00D66097"/>
    <w:rsid w:val="00D709B7"/>
    <w:rsid w:val="00D70DE8"/>
    <w:rsid w:val="00D70F27"/>
    <w:rsid w:val="00D71CD7"/>
    <w:rsid w:val="00D7270F"/>
    <w:rsid w:val="00D736B1"/>
    <w:rsid w:val="00D738EE"/>
    <w:rsid w:val="00D74896"/>
    <w:rsid w:val="00D748A8"/>
    <w:rsid w:val="00D751F8"/>
    <w:rsid w:val="00D75548"/>
    <w:rsid w:val="00D77A1C"/>
    <w:rsid w:val="00D77B97"/>
    <w:rsid w:val="00D77DD5"/>
    <w:rsid w:val="00D80666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49"/>
    <w:rsid w:val="00DD1D65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70612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E27"/>
    <w:rsid w:val="00E7712B"/>
    <w:rsid w:val="00E772B8"/>
    <w:rsid w:val="00E813E3"/>
    <w:rsid w:val="00E81527"/>
    <w:rsid w:val="00E82CB6"/>
    <w:rsid w:val="00E82F3C"/>
    <w:rsid w:val="00E840B6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38F"/>
    <w:rsid w:val="00EA4B63"/>
    <w:rsid w:val="00EA7C29"/>
    <w:rsid w:val="00EB018E"/>
    <w:rsid w:val="00EB043B"/>
    <w:rsid w:val="00EB1D55"/>
    <w:rsid w:val="00EB224C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414A"/>
    <w:rsid w:val="00ED5D70"/>
    <w:rsid w:val="00ED60E7"/>
    <w:rsid w:val="00EE046C"/>
    <w:rsid w:val="00EE076D"/>
    <w:rsid w:val="00EE2FAB"/>
    <w:rsid w:val="00EE3253"/>
    <w:rsid w:val="00EE3461"/>
    <w:rsid w:val="00EE3A59"/>
    <w:rsid w:val="00EE4179"/>
    <w:rsid w:val="00EE4308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408"/>
    <w:rsid w:val="00EF45D1"/>
    <w:rsid w:val="00EF4DBE"/>
    <w:rsid w:val="00EF5EFF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645"/>
    <w:rsid w:val="00F85AA7"/>
    <w:rsid w:val="00F85C6C"/>
    <w:rsid w:val="00F85DE5"/>
    <w:rsid w:val="00F8699C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AE3"/>
    <w:rsid w:val="00FA0787"/>
    <w:rsid w:val="00FA15D3"/>
    <w:rsid w:val="00FA1FE5"/>
    <w:rsid w:val="00FA2620"/>
    <w:rsid w:val="00FA46BB"/>
    <w:rsid w:val="00FA5152"/>
    <w:rsid w:val="00FA5A51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4CCB"/>
    <w:rsid w:val="00FB54CE"/>
    <w:rsid w:val="00FB6D1C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998"/>
    <w:rsid w:val="00FC7A49"/>
    <w:rsid w:val="00FC7B97"/>
    <w:rsid w:val="00FC7C9C"/>
    <w:rsid w:val="00FD19D6"/>
    <w:rsid w:val="00FD234D"/>
    <w:rsid w:val="00FD2658"/>
    <w:rsid w:val="00FD2998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551A"/>
    <w:rsid w:val="00FF57C9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18</cp:revision>
  <dcterms:created xsi:type="dcterms:W3CDTF">2024-05-10T18:49:00Z</dcterms:created>
  <dcterms:modified xsi:type="dcterms:W3CDTF">2024-05-13T14:59:00Z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