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DFF6165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380A44">
        <w:rPr>
          <w:b/>
          <w:bCs/>
          <w:noProof/>
          <w:sz w:val="24"/>
          <w:szCs w:val="24"/>
        </w:rPr>
        <w:t>1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79F61067" w:rsidRPr="3872DEB3">
        <w:rPr>
          <w:b/>
          <w:bCs/>
          <w:noProof/>
          <w:sz w:val="24"/>
          <w:szCs w:val="24"/>
        </w:rPr>
        <w:t>4</w:t>
      </w:r>
      <w:r w:rsidR="009F6115">
        <w:rPr>
          <w:b/>
          <w:bCs/>
          <w:noProof/>
          <w:sz w:val="24"/>
          <w:szCs w:val="24"/>
        </w:rPr>
        <w:t>07585</w:t>
      </w:r>
    </w:p>
    <w:p w14:paraId="63C63B34" w14:textId="5CAFD27B" w:rsidR="001512D7" w:rsidRPr="0010618D" w:rsidRDefault="00380A44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Fukuoka, Japan, 20</w:t>
      </w:r>
      <w:r w:rsidRPr="002542A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-24</w:t>
      </w:r>
      <w:r w:rsidRPr="002542A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May,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410B8AB9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641A6B">
        <w:rPr>
          <w:rFonts w:ascii="Arial" w:hAnsi="Arial" w:cs="Arial"/>
          <w:b/>
        </w:rPr>
        <w:t>Power boosting and MPR reduction</w:t>
      </w:r>
    </w:p>
    <w:p w14:paraId="73CE2741" w14:textId="710E39F5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80A44">
        <w:rPr>
          <w:rFonts w:ascii="Arial" w:hAnsi="Arial" w:cs="Arial"/>
          <w:b/>
        </w:rPr>
        <w:t>10.1.1.3.1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46260601" w:rsidR="00E429C7" w:rsidRPr="00313B11" w:rsidRDefault="00E429C7" w:rsidP="00E429C7">
      <w:r>
        <w:t xml:space="preserve">In RAN4#110-bis there </w:t>
      </w:r>
      <w:r w:rsidR="00677537">
        <w:t>were</w:t>
      </w:r>
      <w:r>
        <w:t xml:space="preserve"> preliminary discussions on the new work item</w:t>
      </w:r>
      <w:r w:rsidR="00194BE7">
        <w:t xml:space="preserve"> [1]</w:t>
      </w:r>
      <w:r>
        <w:t xml:space="preserve"> created to study power domain enhancement for NR single carrier. In this paper we present further views on issues that need to be studied in this work. 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7E2C9640" w14:textId="6646729B" w:rsidR="000A10D8" w:rsidRDefault="000A10D8" w:rsidP="005C3712">
      <w:pPr>
        <w:rPr>
          <w:noProof/>
        </w:rPr>
      </w:pPr>
      <w:r>
        <w:t>In</w:t>
      </w:r>
      <w:r w:rsidR="00194BE7" w:rsidRPr="00194BE7">
        <w:t xml:space="preserve"> </w:t>
      </w:r>
      <w:r w:rsidR="00194BE7">
        <w:t>RAN4#110-bis there</w:t>
      </w:r>
      <w:r>
        <w:t xml:space="preserve"> </w:t>
      </w:r>
      <w:r w:rsidR="00194BE7">
        <w:t xml:space="preserve">were many discussions on the new </w:t>
      </w:r>
      <w:r>
        <w:t>WI [1]</w:t>
      </w:r>
      <w:r w:rsidR="00194BE7">
        <w:t xml:space="preserve"> to study power domain enhancements for NR single carrier. </w:t>
      </w:r>
      <w:r w:rsidR="00C57A56">
        <w:t>There were</w:t>
      </w:r>
      <w:r w:rsidR="000C5C30">
        <w:t xml:space="preserve"> some tentative</w:t>
      </w:r>
      <w:r w:rsidR="00C57A56">
        <w:t xml:space="preserve"> agreements captured in</w:t>
      </w:r>
      <w:r w:rsidR="000C5C30">
        <w:t xml:space="preserve"> the WF</w:t>
      </w:r>
      <w:r w:rsidR="00C57A56">
        <w:t xml:space="preserve"> [2]</w:t>
      </w:r>
      <w:r w:rsidR="000C5C30">
        <w:t xml:space="preserve"> stated below</w:t>
      </w:r>
      <w:r w:rsidR="00C57A56">
        <w:t xml:space="preserve">. However, there were some issues that </w:t>
      </w:r>
      <w:r w:rsidR="000C5C30">
        <w:t>we think need further discussion.</w:t>
      </w:r>
    </w:p>
    <w:p w14:paraId="1B0B00B8" w14:textId="766A70B0" w:rsidR="00631AE5" w:rsidRDefault="00631AE5" w:rsidP="00631AE5">
      <w:pPr>
        <w:pStyle w:val="Heading2"/>
        <w:rPr>
          <w:rFonts w:eastAsia="Times New Roman"/>
          <w:sz w:val="24"/>
          <w:lang w:eastAsia="zh-CN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20D4A" wp14:editId="1B1508CA">
                <wp:simplePos x="0" y="0"/>
                <wp:positionH relativeFrom="column">
                  <wp:posOffset>-112786</wp:posOffset>
                </wp:positionH>
                <wp:positionV relativeFrom="paragraph">
                  <wp:posOffset>48944</wp:posOffset>
                </wp:positionV>
                <wp:extent cx="6444762" cy="5037992"/>
                <wp:effectExtent l="0" t="0" r="13335" b="10795"/>
                <wp:wrapNone/>
                <wp:docPr id="7291050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4762" cy="503799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49EBE9" id="Rectangle 1" o:spid="_x0000_s1026" style="position:absolute;margin-left:-8.9pt;margin-top:3.85pt;width:507.45pt;height:39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" filled="f" strokecolor="black [3213]" strokeweight="1pt"/>
            </w:pict>
          </mc:Fallback>
        </mc:AlternateContent>
      </w:r>
      <w:r>
        <w:rPr>
          <w:sz w:val="24"/>
        </w:rPr>
        <w:t>1.1 Scenarios for power domain enhancements for single carrier</w:t>
      </w:r>
    </w:p>
    <w:p w14:paraId="10276378" w14:textId="77777777" w:rsidR="00631AE5" w:rsidRDefault="00631AE5" w:rsidP="00631AE5">
      <w:pPr>
        <w:pStyle w:val="B1"/>
        <w:ind w:left="0" w:firstLine="0"/>
        <w:rPr>
          <w:sz w:val="22"/>
          <w:lang w:eastAsia="en-US"/>
        </w:rPr>
      </w:pPr>
      <w:r>
        <w:rPr>
          <w:rFonts w:eastAsia="SimSun"/>
          <w:b/>
          <w:szCs w:val="24"/>
          <w:lang w:eastAsia="zh-CN"/>
        </w:rPr>
        <w:t>Scenario 1-1</w:t>
      </w:r>
      <w:r>
        <w:rPr>
          <w:rFonts w:eastAsia="SimSun"/>
          <w:szCs w:val="24"/>
          <w:lang w:eastAsia="zh-CN"/>
        </w:rPr>
        <w:t xml:space="preserve">: Scenario with no </w:t>
      </w:r>
      <w:r>
        <w:t>adjacent in-band/out-of-band co-existence issue (single operator)</w:t>
      </w:r>
    </w:p>
    <w:p w14:paraId="521FB727" w14:textId="77777777" w:rsidR="00631AE5" w:rsidRDefault="00631AE5" w:rsidP="00631AE5">
      <w:pPr>
        <w:pStyle w:val="B1"/>
        <w:ind w:left="0" w:firstLine="0"/>
      </w:pPr>
      <w:r>
        <w:rPr>
          <w:rFonts w:eastAsia="SimSun"/>
          <w:b/>
          <w:szCs w:val="24"/>
          <w:lang w:eastAsia="zh-CN"/>
        </w:rPr>
        <w:t>Scenario 1-2</w:t>
      </w:r>
      <w:r>
        <w:rPr>
          <w:rFonts w:eastAsia="SimSun"/>
          <w:szCs w:val="24"/>
          <w:lang w:eastAsia="zh-CN"/>
        </w:rPr>
        <w:t xml:space="preserve">: Scenario with no </w:t>
      </w:r>
      <w:r>
        <w:t>adjacent in-band/out-of-band co-existence issue (adjacent operators)</w:t>
      </w:r>
    </w:p>
    <w:p w14:paraId="25C234BA" w14:textId="77777777" w:rsidR="00631AE5" w:rsidRDefault="00631AE5" w:rsidP="00631AE5">
      <w:pPr>
        <w:pStyle w:val="B1"/>
        <w:ind w:left="0" w:firstLine="0"/>
      </w:pPr>
      <w:r>
        <w:rPr>
          <w:rFonts w:eastAsia="SimSun"/>
          <w:b/>
          <w:szCs w:val="24"/>
          <w:lang w:eastAsia="zh-CN"/>
        </w:rPr>
        <w:t>Scenario 2</w:t>
      </w:r>
      <w:r>
        <w:rPr>
          <w:rFonts w:eastAsia="SimSun"/>
          <w:szCs w:val="24"/>
          <w:lang w:eastAsia="zh-CN"/>
        </w:rPr>
        <w:t xml:space="preserve">: </w:t>
      </w:r>
      <w:r>
        <w:t>Narrower UE channel BW within wider BS bandwidth</w:t>
      </w:r>
    </w:p>
    <w:p w14:paraId="266D8A14" w14:textId="77777777" w:rsidR="00631AE5" w:rsidRDefault="00631AE5" w:rsidP="00631AE5">
      <w:pPr>
        <w:pStyle w:val="B1"/>
        <w:ind w:left="0" w:firstLine="0"/>
        <w:rPr>
          <w:b/>
          <w:lang w:eastAsia="zh-CN"/>
        </w:rPr>
      </w:pPr>
      <w:r>
        <w:rPr>
          <w:b/>
          <w:lang w:eastAsia="zh-CN"/>
        </w:rPr>
        <w:t xml:space="preserve">Way forward: </w:t>
      </w:r>
    </w:p>
    <w:p w14:paraId="5356F82E" w14:textId="77777777" w:rsidR="00631AE5" w:rsidRPr="00631AE5" w:rsidRDefault="00631AE5" w:rsidP="00631AE5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 w:rsidRPr="00631AE5">
        <w:rPr>
          <w:rFonts w:ascii="Times New Roman" w:eastAsia="Times New Roman" w:hAnsi="Times New Roman"/>
          <w:lang w:eastAsia="ko-KR"/>
        </w:rPr>
        <w:t xml:space="preserve">Prioritize scenario 1-1 and scenario 2 for initial study of power domain enhancements for single carrier in terms of relaxed requirements </w:t>
      </w:r>
    </w:p>
    <w:p w14:paraId="4A7BF186" w14:textId="77777777" w:rsidR="00631AE5" w:rsidRPr="00631AE5" w:rsidRDefault="00631AE5" w:rsidP="00631AE5">
      <w:pPr>
        <w:pStyle w:val="ListParagraph"/>
        <w:numPr>
          <w:ilvl w:val="1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 w:rsidRPr="00631AE5">
        <w:rPr>
          <w:rFonts w:ascii="Times New Roman" w:eastAsia="Times New Roman" w:hAnsi="Times New Roman"/>
          <w:lang w:eastAsia="ko-KR"/>
        </w:rPr>
        <w:t>FFS on sub-scenarios of scenario 2.</w:t>
      </w:r>
    </w:p>
    <w:p w14:paraId="0FED8257" w14:textId="77777777" w:rsidR="00631AE5" w:rsidRPr="00631AE5" w:rsidRDefault="00631AE5" w:rsidP="00631AE5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 w:rsidRPr="00631AE5">
        <w:rPr>
          <w:rFonts w:ascii="Times New Roman" w:eastAsia="Times New Roman" w:hAnsi="Times New Roman"/>
          <w:lang w:eastAsia="ko-KR"/>
        </w:rPr>
        <w:t>Scenario 1-2 will be studied after scenario 1-1 and scenario 2</w:t>
      </w:r>
    </w:p>
    <w:p w14:paraId="75A2224C" w14:textId="77777777" w:rsidR="00631AE5" w:rsidRDefault="00631AE5" w:rsidP="00631AE5">
      <w:pPr>
        <w:pStyle w:val="Heading2"/>
        <w:rPr>
          <w:rFonts w:eastAsia="Times New Roman"/>
          <w:sz w:val="24"/>
          <w:lang w:eastAsia="zh-CN"/>
        </w:rPr>
      </w:pPr>
      <w:r>
        <w:rPr>
          <w:sz w:val="24"/>
        </w:rPr>
        <w:t>1.3 General considerations for power domain enhancements</w:t>
      </w:r>
    </w:p>
    <w:p w14:paraId="680AAAC7" w14:textId="77777777" w:rsidR="00631AE5" w:rsidRDefault="00631AE5" w:rsidP="00631AE5">
      <w:pPr>
        <w:rPr>
          <w:b/>
          <w:sz w:val="22"/>
          <w:lang w:eastAsia="zh-CN"/>
        </w:rPr>
      </w:pPr>
      <w:r>
        <w:rPr>
          <w:b/>
          <w:lang w:eastAsia="zh-CN"/>
        </w:rPr>
        <w:t>Way forward:</w:t>
      </w:r>
    </w:p>
    <w:p w14:paraId="7C468728" w14:textId="77777777" w:rsidR="00631AE5" w:rsidRPr="00631AE5" w:rsidRDefault="00631AE5" w:rsidP="00631AE5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 w:rsidRPr="00631AE5">
        <w:rPr>
          <w:rFonts w:ascii="Times New Roman" w:eastAsia="Times New Roman" w:hAnsi="Times New Roman"/>
          <w:lang w:eastAsia="ko-KR"/>
        </w:rPr>
        <w:t>Only requirements relaxation should be considered for power domain enhancements in Rel-19</w:t>
      </w:r>
    </w:p>
    <w:p w14:paraId="38BBF4D4" w14:textId="77777777" w:rsidR="00631AE5" w:rsidRPr="00631AE5" w:rsidRDefault="00631AE5" w:rsidP="00631AE5">
      <w:pPr>
        <w:pStyle w:val="ListParagraph"/>
        <w:numPr>
          <w:ilvl w:val="1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 w:rsidRPr="00631AE5">
        <w:rPr>
          <w:rFonts w:ascii="Times New Roman" w:eastAsia="Times New Roman" w:hAnsi="Times New Roman"/>
          <w:lang w:eastAsia="ko-KR"/>
        </w:rPr>
        <w:t>only consider general requirements for the further evaluation</w:t>
      </w:r>
    </w:p>
    <w:p w14:paraId="1DAC470E" w14:textId="77777777" w:rsidR="00631AE5" w:rsidRPr="00631AE5" w:rsidRDefault="00631AE5" w:rsidP="00631AE5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 w:rsidRPr="00631AE5">
        <w:rPr>
          <w:rFonts w:ascii="Times New Roman" w:eastAsia="Times New Roman" w:hAnsi="Times New Roman"/>
          <w:lang w:eastAsia="ko-KR"/>
        </w:rPr>
        <w:t>No power domain enhancements based on BWP is considered</w:t>
      </w:r>
    </w:p>
    <w:p w14:paraId="2DA3546D" w14:textId="77777777" w:rsidR="00631AE5" w:rsidRDefault="00631AE5" w:rsidP="00631AE5">
      <w:pPr>
        <w:pStyle w:val="Heading2"/>
        <w:rPr>
          <w:rFonts w:eastAsia="Times New Roman"/>
          <w:sz w:val="24"/>
          <w:lang w:eastAsia="zh-CN"/>
        </w:rPr>
      </w:pPr>
      <w:r>
        <w:rPr>
          <w:sz w:val="24"/>
        </w:rPr>
        <w:t>1.4 Evaluation of relaxed requirements</w:t>
      </w:r>
    </w:p>
    <w:p w14:paraId="6DEAB814" w14:textId="77777777" w:rsidR="00631AE5" w:rsidRDefault="00631AE5" w:rsidP="00631AE5">
      <w:pPr>
        <w:rPr>
          <w:b/>
          <w:sz w:val="22"/>
          <w:lang w:eastAsia="zh-CN"/>
        </w:rPr>
      </w:pPr>
      <w:r>
        <w:rPr>
          <w:b/>
          <w:lang w:eastAsia="zh-CN"/>
        </w:rPr>
        <w:t>Way forward:</w:t>
      </w:r>
    </w:p>
    <w:p w14:paraId="60A4D957" w14:textId="77777777" w:rsidR="00631AE5" w:rsidRPr="00631AE5" w:rsidRDefault="00631AE5" w:rsidP="00631AE5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 w:rsidRPr="00631AE5">
        <w:rPr>
          <w:rFonts w:ascii="Times New Roman" w:eastAsia="Times New Roman" w:hAnsi="Times New Roman"/>
          <w:lang w:eastAsia="ko-KR"/>
        </w:rPr>
        <w:t>[No relaxation of ACLR/SEM/SE outside of the BS CBW for one operator holding spectrum for scenario 2, i.e. Narrower UE channel BW within wider BS bandwidth]</w:t>
      </w:r>
    </w:p>
    <w:p w14:paraId="2F32C509" w14:textId="47EBDF36" w:rsidR="00631AE5" w:rsidRPr="00631AE5" w:rsidRDefault="00631AE5" w:rsidP="00631AE5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noProof/>
          <w:lang w:eastAsia="ko-K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DEF67B" wp14:editId="35074F63">
                <wp:simplePos x="0" y="0"/>
                <wp:positionH relativeFrom="column">
                  <wp:posOffset>-60032</wp:posOffset>
                </wp:positionH>
                <wp:positionV relativeFrom="paragraph">
                  <wp:posOffset>-213360</wp:posOffset>
                </wp:positionV>
                <wp:extent cx="6356839" cy="1318846"/>
                <wp:effectExtent l="0" t="0" r="25400" b="15240"/>
                <wp:wrapNone/>
                <wp:docPr id="82338447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6839" cy="131884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00F78" id="Rectangle 2" o:spid="_x0000_s1026" style="position:absolute;margin-left:-4.75pt;margin-top:-16.8pt;width:500.55pt;height:10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" filled="f" strokecolor="#09101d [484]" strokeweight="1pt"/>
            </w:pict>
          </mc:Fallback>
        </mc:AlternateContent>
      </w:r>
      <w:r w:rsidRPr="00631AE5">
        <w:rPr>
          <w:rFonts w:ascii="Times New Roman" w:eastAsia="Times New Roman" w:hAnsi="Times New Roman"/>
          <w:lang w:eastAsia="ko-KR"/>
        </w:rPr>
        <w:t>FFS whether outer, edge or inner RB allocation is prioritized for further evaluation</w:t>
      </w:r>
    </w:p>
    <w:p w14:paraId="49BDA95C" w14:textId="77777777" w:rsidR="00631AE5" w:rsidRPr="00631AE5" w:rsidRDefault="00631AE5" w:rsidP="00631AE5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 w:rsidRPr="00631AE5">
        <w:rPr>
          <w:rFonts w:ascii="Times New Roman" w:eastAsia="Times New Roman" w:hAnsi="Times New Roman"/>
          <w:lang w:eastAsia="ko-KR"/>
        </w:rPr>
        <w:t>FFS impact on MPR by relaxing ACLR w/ or w/o relaxing SEM/Spurious Emissions</w:t>
      </w:r>
    </w:p>
    <w:p w14:paraId="0C170604" w14:textId="77777777" w:rsidR="00631AE5" w:rsidRPr="00631AE5" w:rsidRDefault="00631AE5" w:rsidP="00631AE5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160" w:line="256" w:lineRule="auto"/>
        <w:contextualSpacing w:val="0"/>
        <w:rPr>
          <w:rFonts w:ascii="Times New Roman" w:eastAsia="Times New Roman" w:hAnsi="Times New Roman"/>
          <w:lang w:eastAsia="ko-KR"/>
        </w:rPr>
      </w:pPr>
      <w:r w:rsidRPr="00631AE5">
        <w:rPr>
          <w:rFonts w:ascii="Times New Roman" w:eastAsia="Times New Roman" w:hAnsi="Times New Roman"/>
          <w:lang w:eastAsia="ko-KR"/>
        </w:rPr>
        <w:t>FFS whether IBE is considered instead of the relaxed ACLR/SEM/SE for the region between UE CBW and BS CBW.</w:t>
      </w:r>
    </w:p>
    <w:p w14:paraId="4AEE54DF" w14:textId="77777777" w:rsidR="00631AE5" w:rsidRDefault="00631AE5" w:rsidP="005C3712"/>
    <w:p w14:paraId="083BD669" w14:textId="77777777" w:rsidR="00631AE5" w:rsidRDefault="00631AE5" w:rsidP="005C3712"/>
    <w:p w14:paraId="4EBC2A63" w14:textId="1FE1E0B3" w:rsidR="005D2B8B" w:rsidRDefault="00E53C9C" w:rsidP="005C3712">
      <w:r>
        <w:t>In [</w:t>
      </w:r>
      <w:r w:rsidR="005D2B8B">
        <w:t>2</w:t>
      </w:r>
      <w:r>
        <w:t>] it has been suggested that</w:t>
      </w:r>
      <w:r w:rsidR="00863D0B">
        <w:t xml:space="preserve"> scenario 1-1 and scenario 2 be prioritized</w:t>
      </w:r>
      <w:r>
        <w:t xml:space="preserve"> </w:t>
      </w:r>
      <w:r w:rsidR="00931D85">
        <w:t xml:space="preserve">in the study of </w:t>
      </w:r>
      <w:r w:rsidR="005D2B8B">
        <w:t>power domain enhancement for single carrier. Reading scenario 1-1 “</w:t>
      </w:r>
      <w:r w:rsidR="005D2B8B">
        <w:rPr>
          <w:rFonts w:eastAsia="SimSun"/>
          <w:szCs w:val="24"/>
          <w:lang w:eastAsia="zh-CN"/>
        </w:rPr>
        <w:t xml:space="preserve">Scenario with no </w:t>
      </w:r>
      <w:r w:rsidR="005D2B8B">
        <w:t xml:space="preserve">adjacent in-band/out-of-band co-existence issue (single operator)” we think that there should be </w:t>
      </w:r>
      <w:r w:rsidR="00863D0B">
        <w:t xml:space="preserve">further </w:t>
      </w:r>
      <w:r w:rsidR="005D2B8B">
        <w:t xml:space="preserve">clarification of this scenario. Does this </w:t>
      </w:r>
      <w:r w:rsidR="00863D0B">
        <w:t>scenario imply</w:t>
      </w:r>
      <w:r w:rsidR="005D2B8B">
        <w:t xml:space="preserve"> that there is only a single operator in th</w:t>
      </w:r>
      <w:r w:rsidR="00863D0B">
        <w:t>e</w:t>
      </w:r>
      <w:r w:rsidR="005D2B8B">
        <w:t xml:space="preserve"> band</w:t>
      </w:r>
      <w:r w:rsidR="00863D0B">
        <w:t xml:space="preserve"> of study</w:t>
      </w:r>
      <w:r w:rsidR="005D2B8B">
        <w:t xml:space="preserve"> and there are no operators adjacent to this band? If this is the case is this a realistic scenario that would be encountered in the field that is worth</w:t>
      </w:r>
      <w:r w:rsidR="00863D0B">
        <w:t>y of study</w:t>
      </w:r>
      <w:r w:rsidR="005D2B8B">
        <w:t xml:space="preserve">? </w:t>
      </w:r>
      <w:r w:rsidR="0042796B">
        <w:t>T</w:t>
      </w:r>
      <w:r w:rsidR="005D2B8B">
        <w:t>his scenario should be discussed further to ensure that it is a realistic scenario that is worth analysin</w:t>
      </w:r>
      <w:r w:rsidR="0042796B">
        <w:t>g</w:t>
      </w:r>
      <w:r w:rsidR="005D2B8B">
        <w:t>.</w:t>
      </w:r>
    </w:p>
    <w:p w14:paraId="2258047E" w14:textId="6380437C" w:rsidR="005D2B8B" w:rsidRDefault="005D2B8B" w:rsidP="005C3712">
      <w:pPr>
        <w:rPr>
          <w:b/>
          <w:bCs/>
        </w:rPr>
      </w:pPr>
      <w:r w:rsidRPr="00286EA5">
        <w:rPr>
          <w:b/>
          <w:bCs/>
        </w:rPr>
        <w:t>Proposal 1: Further discuss scenario 1-1 ”</w:t>
      </w:r>
      <w:r w:rsidRPr="00286EA5">
        <w:rPr>
          <w:rFonts w:eastAsia="SimSun"/>
          <w:b/>
          <w:bCs/>
          <w:szCs w:val="24"/>
          <w:lang w:eastAsia="zh-CN"/>
        </w:rPr>
        <w:t xml:space="preserve"> Scenario with no </w:t>
      </w:r>
      <w:r w:rsidRPr="00286EA5">
        <w:rPr>
          <w:b/>
          <w:bCs/>
        </w:rPr>
        <w:t xml:space="preserve">adjacent in-band/out-of-band co-existence issue (single operator)” to ensure that it is a </w:t>
      </w:r>
      <w:r w:rsidR="00286EA5" w:rsidRPr="00286EA5">
        <w:rPr>
          <w:b/>
          <w:bCs/>
        </w:rPr>
        <w:t xml:space="preserve">scenario </w:t>
      </w:r>
      <w:r w:rsidR="00292DCA">
        <w:rPr>
          <w:b/>
          <w:bCs/>
        </w:rPr>
        <w:t xml:space="preserve">that </w:t>
      </w:r>
      <w:r w:rsidR="00AB55D3">
        <w:rPr>
          <w:b/>
          <w:bCs/>
        </w:rPr>
        <w:t>represents a</w:t>
      </w:r>
      <w:r w:rsidR="00292DCA">
        <w:rPr>
          <w:b/>
          <w:bCs/>
        </w:rPr>
        <w:t xml:space="preserve"> realistic deployment</w:t>
      </w:r>
      <w:r w:rsidR="00AB55D3">
        <w:rPr>
          <w:b/>
          <w:bCs/>
        </w:rPr>
        <w:t>.</w:t>
      </w:r>
      <w:r w:rsidRPr="00286EA5">
        <w:rPr>
          <w:b/>
          <w:bCs/>
        </w:rPr>
        <w:t xml:space="preserve"> </w:t>
      </w:r>
    </w:p>
    <w:p w14:paraId="23DA2326" w14:textId="59D063C5" w:rsidR="00680ACA" w:rsidRDefault="00144FF3" w:rsidP="005C3712">
      <w:r w:rsidRPr="00144FF3">
        <w:t xml:space="preserve">For scenario </w:t>
      </w:r>
      <w:r>
        <w:t xml:space="preserve">2 it is stated </w:t>
      </w:r>
      <w:r w:rsidRPr="00144FF3">
        <w:t>that the narrower UE channel BW is within the wider BW bandwi</w:t>
      </w:r>
      <w:r>
        <w:t>d</w:t>
      </w:r>
      <w:r w:rsidRPr="00144FF3">
        <w:t>th</w:t>
      </w:r>
      <w:r>
        <w:t xml:space="preserve"> [2]. To align all companies on </w:t>
      </w:r>
      <w:r w:rsidR="003C468D">
        <w:t>what to</w:t>
      </w:r>
      <w:r>
        <w:t xml:space="preserve"> study </w:t>
      </w:r>
      <w:r w:rsidR="003C468D">
        <w:t>for</w:t>
      </w:r>
      <w:r>
        <w:t xml:space="preserve"> this case we think that some </w:t>
      </w:r>
      <w:r w:rsidR="002D0198">
        <w:t xml:space="preserve">BS excess </w:t>
      </w:r>
      <w:r>
        <w:t>BW</w:t>
      </w:r>
      <w:r w:rsidR="002D0198">
        <w:t>s as well as</w:t>
      </w:r>
      <w:r w:rsidR="003C468D">
        <w:t xml:space="preserve"> the</w:t>
      </w:r>
      <w:r>
        <w:t xml:space="preserve"> placement of the UE channel BW with</w:t>
      </w:r>
      <w:r w:rsidR="003C468D">
        <w:t>in</w:t>
      </w:r>
      <w:r>
        <w:t xml:space="preserve"> this band</w:t>
      </w:r>
      <w:r w:rsidR="002D0198">
        <w:t xml:space="preserve"> should be agreed</w:t>
      </w:r>
      <w:r>
        <w:t>. We propose analysing</w:t>
      </w:r>
      <w:r w:rsidR="002D0198">
        <w:t xml:space="preserve"> a</w:t>
      </w:r>
      <w:r w:rsidR="003A6120">
        <w:t xml:space="preserve"> few</w:t>
      </w:r>
      <w:r>
        <w:t xml:space="preserve"> </w:t>
      </w:r>
      <w:r w:rsidR="003A6120">
        <w:t>simple</w:t>
      </w:r>
      <w:r w:rsidR="002D0198">
        <w:t xml:space="preserve"> but</w:t>
      </w:r>
      <w:r w:rsidR="003A6120">
        <w:t xml:space="preserve"> realistic </w:t>
      </w:r>
      <w:r>
        <w:t>cases</w:t>
      </w:r>
      <w:r w:rsidR="003A6120">
        <w:t xml:space="preserve"> first and </w:t>
      </w:r>
      <w:r w:rsidR="00680ACA">
        <w:t xml:space="preserve">then </w:t>
      </w:r>
      <w:r w:rsidR="002D0198">
        <w:t xml:space="preserve">to </w:t>
      </w:r>
      <w:r w:rsidR="003A6120">
        <w:t>look at more complex scenarios later. This</w:t>
      </w:r>
      <w:r w:rsidR="00680ACA">
        <w:t xml:space="preserve"> 2-step approach</w:t>
      </w:r>
      <w:r w:rsidR="003A6120">
        <w:t xml:space="preserve"> will enable companies to align on their findings </w:t>
      </w:r>
      <w:r w:rsidR="00680ACA">
        <w:t>for</w:t>
      </w:r>
      <w:r w:rsidR="003A6120">
        <w:t xml:space="preserve"> the simpler cases </w:t>
      </w:r>
      <w:r w:rsidR="00680ACA">
        <w:t xml:space="preserve">first </w:t>
      </w:r>
      <w:r w:rsidR="003A6120">
        <w:t xml:space="preserve">before studying the harder cases later. </w:t>
      </w:r>
      <w:r w:rsidR="002D0198">
        <w:t>To begin with we propose analysing the following cases:</w:t>
      </w:r>
      <w:r>
        <w:t xml:space="preserve"> 1)  </w:t>
      </w:r>
      <w:r w:rsidR="00680ACA">
        <w:t>E</w:t>
      </w:r>
      <w:r>
        <w:t>xcess bandwidth on either side of the UE BW is equal to ½ of the UE BW and 2) excess bandwidth of either side of the UE BW is equal to the UE BW. For each of these cases the “</w:t>
      </w:r>
      <w:r w:rsidR="004347CA">
        <w:t>aggrega</w:t>
      </w:r>
      <w:r w:rsidR="00493409">
        <w:t>t</w:t>
      </w:r>
      <w:r w:rsidR="004347CA">
        <w:t>ed</w:t>
      </w:r>
      <w:r>
        <w:t xml:space="preserve"> UE bandwidth should </w:t>
      </w:r>
      <w:r w:rsidR="00CF19BC">
        <w:t>be</w:t>
      </w:r>
      <w:r>
        <w:t xml:space="preserve"> the UE BW plus the excess BW on either side of the UE BW for SEM, ALCR and spur </w:t>
      </w:r>
      <w:r w:rsidR="00CF19BC">
        <w:t xml:space="preserve">specifications. We think that analysing more complex cases such as </w:t>
      </w:r>
      <w:r w:rsidR="00DA5A7B">
        <w:t>scenarios</w:t>
      </w:r>
      <w:r w:rsidR="0072029B">
        <w:t xml:space="preserve"> where the</w:t>
      </w:r>
      <w:r w:rsidR="00CF19BC">
        <w:t xml:space="preserve"> UE only ha</w:t>
      </w:r>
      <w:r w:rsidR="0072029B">
        <w:t>s</w:t>
      </w:r>
      <w:r w:rsidR="00CF19BC">
        <w:t xml:space="preserve"> excess BW on one side should be </w:t>
      </w:r>
      <w:r w:rsidR="00153C3C">
        <w:t>done</w:t>
      </w:r>
      <w:r w:rsidR="00CF19BC">
        <w:t xml:space="preserve"> after these 2 simpler cases are studied as these non-symmetrical excess BW scenarios may lead to the redefinition of the MPR enhancement regions which are </w:t>
      </w:r>
      <w:r w:rsidR="0072029B">
        <w:t>different from</w:t>
      </w:r>
      <w:r w:rsidR="00CF19BC">
        <w:t xml:space="preserve"> the traditional inner and outer regions</w:t>
      </w:r>
      <w:r w:rsidR="00DC556F">
        <w:t>.</w:t>
      </w:r>
    </w:p>
    <w:p w14:paraId="7B0EC5C1" w14:textId="3F9177ED" w:rsidR="00680ACA" w:rsidRPr="00680ACA" w:rsidRDefault="00680ACA" w:rsidP="005C3712">
      <w:pPr>
        <w:rPr>
          <w:b/>
          <w:bCs/>
        </w:rPr>
      </w:pPr>
      <w:r w:rsidRPr="00680ACA">
        <w:rPr>
          <w:b/>
          <w:bCs/>
        </w:rPr>
        <w:t>Observation</w:t>
      </w:r>
      <w:r w:rsidR="0004168E">
        <w:rPr>
          <w:b/>
          <w:bCs/>
        </w:rPr>
        <w:t>1</w:t>
      </w:r>
      <w:r w:rsidRPr="00680ACA">
        <w:rPr>
          <w:b/>
          <w:bCs/>
        </w:rPr>
        <w:t xml:space="preserve">: For scenario2 “Narrower UE channel BW within wider BS bandwidth” </w:t>
      </w:r>
      <w:r w:rsidR="00517DFB">
        <w:rPr>
          <w:b/>
          <w:bCs/>
        </w:rPr>
        <w:t>in order to</w:t>
      </w:r>
      <w:r w:rsidRPr="00680ACA">
        <w:rPr>
          <w:b/>
          <w:bCs/>
        </w:rPr>
        <w:t xml:space="preserve"> </w:t>
      </w:r>
      <w:r>
        <w:rPr>
          <w:b/>
          <w:bCs/>
        </w:rPr>
        <w:t xml:space="preserve">enable companies to </w:t>
      </w:r>
      <w:r w:rsidRPr="00680ACA">
        <w:rPr>
          <w:b/>
          <w:bCs/>
        </w:rPr>
        <w:t xml:space="preserve">better align on the results analyse </w:t>
      </w:r>
      <w:r w:rsidR="00517DFB">
        <w:rPr>
          <w:b/>
          <w:bCs/>
        </w:rPr>
        <w:t>several</w:t>
      </w:r>
      <w:r w:rsidRPr="00680ACA">
        <w:rPr>
          <w:b/>
          <w:bCs/>
        </w:rPr>
        <w:t xml:space="preserve"> simple yet realistic cases first and then study the harder cases later</w:t>
      </w:r>
      <w:r w:rsidR="008555B5">
        <w:rPr>
          <w:b/>
          <w:bCs/>
        </w:rPr>
        <w:t>.</w:t>
      </w:r>
    </w:p>
    <w:p w14:paraId="5A636194" w14:textId="7A65BBE6" w:rsidR="00144FF3" w:rsidRDefault="0017350E" w:rsidP="005C3712">
      <w:pPr>
        <w:rPr>
          <w:b/>
          <w:bCs/>
        </w:rPr>
      </w:pPr>
      <w:r w:rsidRPr="0017350E">
        <w:rPr>
          <w:b/>
          <w:bCs/>
        </w:rPr>
        <w:t>Proposal 2: Initially study the cases where 1) The excess bandwidth on either side of the UE BW is equal to ½ of the UE BW and 2) The excess bandwidth of either side of the UE BW is equal to the UE BW</w:t>
      </w:r>
      <w:r w:rsidR="00AA69B3">
        <w:rPr>
          <w:b/>
          <w:bCs/>
        </w:rPr>
        <w:t xml:space="preserve">. </w:t>
      </w:r>
      <w:r w:rsidR="00AA69B3" w:rsidRPr="00AA69B3">
        <w:rPr>
          <w:b/>
          <w:bCs/>
        </w:rPr>
        <w:t xml:space="preserve">For these cases the </w:t>
      </w:r>
      <w:r w:rsidR="004347CA">
        <w:rPr>
          <w:b/>
          <w:bCs/>
        </w:rPr>
        <w:t>aggregated</w:t>
      </w:r>
      <w:r w:rsidR="00AA69B3" w:rsidRPr="00AA69B3">
        <w:rPr>
          <w:b/>
          <w:bCs/>
        </w:rPr>
        <w:t xml:space="preserve"> UE bandwidth should</w:t>
      </w:r>
      <w:r w:rsidR="000E631C">
        <w:rPr>
          <w:b/>
          <w:bCs/>
        </w:rPr>
        <w:t xml:space="preserve"> be</w:t>
      </w:r>
      <w:r w:rsidR="00AA69B3" w:rsidRPr="00AA69B3">
        <w:rPr>
          <w:b/>
          <w:bCs/>
        </w:rPr>
        <w:t xml:space="preserve"> </w:t>
      </w:r>
      <w:r w:rsidR="004347CA">
        <w:rPr>
          <w:b/>
          <w:bCs/>
        </w:rPr>
        <w:t xml:space="preserve">considered as </w:t>
      </w:r>
      <w:r w:rsidR="00AA69B3" w:rsidRPr="00AA69B3">
        <w:rPr>
          <w:b/>
          <w:bCs/>
        </w:rPr>
        <w:t>the UE BW plus the excess BW on either side of the UE BW for SEM, ALCR and spur specifications</w:t>
      </w:r>
      <w:r w:rsidR="00AA69B3">
        <w:rPr>
          <w:b/>
          <w:bCs/>
        </w:rPr>
        <w:t>.</w:t>
      </w:r>
    </w:p>
    <w:p w14:paraId="1CF493B4" w14:textId="77777777" w:rsidR="00696313" w:rsidRDefault="00696313" w:rsidP="005C3712">
      <w:pPr>
        <w:rPr>
          <w:b/>
          <w:bCs/>
        </w:rPr>
      </w:pPr>
    </w:p>
    <w:p w14:paraId="25D8E330" w14:textId="0258C553" w:rsidR="00C802BB" w:rsidRDefault="009D3B5A" w:rsidP="005C3712">
      <w:r>
        <w:t xml:space="preserve">There are many features created in earlier releases </w:t>
      </w:r>
      <w:r w:rsidR="007B6A16">
        <w:t>that</w:t>
      </w:r>
      <w:r>
        <w:t xml:space="preserve"> were </w:t>
      </w:r>
      <w:r w:rsidR="007B6A16">
        <w:t>updated</w:t>
      </w:r>
      <w:r>
        <w:t xml:space="preserve"> in later releases as new features were introduced. For example, </w:t>
      </w:r>
      <w:r w:rsidR="007B6A16">
        <w:t xml:space="preserve">the rel-16 features </w:t>
      </w:r>
      <w:r>
        <w:t xml:space="preserve">TxD and dualPA-architecture </w:t>
      </w:r>
      <w:r w:rsidR="007B6A16">
        <w:t>which originally supported</w:t>
      </w:r>
      <w:r>
        <w:t xml:space="preserve"> PC3 and PC2 is </w:t>
      </w:r>
      <w:r w:rsidR="00B52D4A">
        <w:t xml:space="preserve">now </w:t>
      </w:r>
      <w:r>
        <w:t xml:space="preserve">being investigated for PC1.5 in rel-19. </w:t>
      </w:r>
      <w:r w:rsidR="00B52D4A">
        <w:t xml:space="preserve">The </w:t>
      </w:r>
      <w:r w:rsidR="007B6A16">
        <w:t xml:space="preserve">2 Tx </w:t>
      </w:r>
      <w:r w:rsidR="00B52D4A">
        <w:t xml:space="preserve">requirements for coherent UL MIMO created in rel-15 </w:t>
      </w:r>
      <w:r w:rsidR="00C8344F">
        <w:t>was updated in</w:t>
      </w:r>
      <w:r w:rsidR="007B6A16">
        <w:t xml:space="preserve"> the</w:t>
      </w:r>
      <w:r w:rsidR="00C8344F">
        <w:t xml:space="preserve"> rel-18</w:t>
      </w:r>
      <w:r w:rsidR="007B6A16">
        <w:t xml:space="preserve"> 4 Tx </w:t>
      </w:r>
      <w:r w:rsidR="00E12549">
        <w:t>WI to</w:t>
      </w:r>
      <w:r w:rsidR="00C8344F">
        <w:t xml:space="preserve"> account </w:t>
      </w:r>
      <w:r w:rsidR="00E12549">
        <w:t xml:space="preserve">for </w:t>
      </w:r>
      <w:r w:rsidR="00B52D4A">
        <w:t xml:space="preserve">multiple </w:t>
      </w:r>
      <w:r w:rsidR="000E5A21">
        <w:t>Tx</w:t>
      </w:r>
      <w:r w:rsidR="00C8344F">
        <w:t xml:space="preserve"> architectures. </w:t>
      </w:r>
      <w:r w:rsidR="00696313" w:rsidRPr="00696313">
        <w:t xml:space="preserve">In rel-18 power boost </w:t>
      </w:r>
      <w:r w:rsidR="00BE0633">
        <w:t>with and without</w:t>
      </w:r>
      <w:r w:rsidR="006420A1">
        <w:t xml:space="preserve"> </w:t>
      </w:r>
      <w:r w:rsidR="006420A1" w:rsidRPr="00696313">
        <w:t>spectral</w:t>
      </w:r>
      <w:r w:rsidR="00696313" w:rsidRPr="00696313">
        <w:t xml:space="preserve"> shaping was limited to the inner </w:t>
      </w:r>
      <w:r w:rsidR="006420A1">
        <w:t xml:space="preserve">MPR </w:t>
      </w:r>
      <w:r w:rsidR="00696313" w:rsidRPr="00696313">
        <w:t xml:space="preserve">region. </w:t>
      </w:r>
      <w:r w:rsidR="00696313">
        <w:t xml:space="preserve">However, studies reveal that </w:t>
      </w:r>
      <w:r w:rsidR="00D0056E">
        <w:t xml:space="preserve">when </w:t>
      </w:r>
      <w:r w:rsidR="00957D6E">
        <w:t xml:space="preserve">used </w:t>
      </w:r>
      <w:r w:rsidR="00C802BB">
        <w:t>in conjunction with</w:t>
      </w:r>
      <w:r w:rsidR="00696313">
        <w:t xml:space="preserve"> ACLR and</w:t>
      </w:r>
      <w:r w:rsidR="00D2216F">
        <w:t>/or</w:t>
      </w:r>
      <w:r w:rsidR="00696313">
        <w:t xml:space="preserve"> SEM relaxation</w:t>
      </w:r>
      <w:r w:rsidR="00C802BB">
        <w:t>s</w:t>
      </w:r>
      <w:r w:rsidR="00696313">
        <w:t xml:space="preserve"> power boost</w:t>
      </w:r>
      <w:r w:rsidR="00B3290B">
        <w:t>ing</w:t>
      </w:r>
      <w:r w:rsidR="00696313">
        <w:t xml:space="preserve"> </w:t>
      </w:r>
      <w:r w:rsidR="006420A1">
        <w:t>achieved</w:t>
      </w:r>
      <w:r w:rsidR="00696313">
        <w:t xml:space="preserve"> </w:t>
      </w:r>
      <w:r w:rsidR="00BE0633">
        <w:t>with or without</w:t>
      </w:r>
      <w:r w:rsidR="00696313">
        <w:t xml:space="preserve"> spectral shaping can also benefit the outer MPR region</w:t>
      </w:r>
      <w:r w:rsidR="00662124">
        <w:t>. As an example</w:t>
      </w:r>
      <w:r w:rsidR="00BE0633">
        <w:t xml:space="preserve"> </w:t>
      </w:r>
      <w:r w:rsidR="00662124">
        <w:t>fi</w:t>
      </w:r>
      <w:r w:rsidR="00BE0633">
        <w:t>gure1 and figure2</w:t>
      </w:r>
      <w:r w:rsidR="00662124">
        <w:t xml:space="preserve"> illustrate possible boost for an ACLR relaxation of 4 dB</w:t>
      </w:r>
      <w:r w:rsidR="00696313">
        <w:t>.</w:t>
      </w:r>
      <w:r w:rsidR="00C802BB">
        <w:t xml:space="preserve"> Therefore, </w:t>
      </w:r>
      <w:r w:rsidR="00BA1A06">
        <w:t>as with previous features mentioned above</w:t>
      </w:r>
      <w:r w:rsidR="00662124">
        <w:t>,</w:t>
      </w:r>
      <w:r w:rsidR="00BA1A06">
        <w:t xml:space="preserve"> </w:t>
      </w:r>
      <w:r w:rsidR="00C802BB">
        <w:t>we think that the rel-18 limitation on power boost should be relaxed when used in conjunction with power domain enhancements and the UE should be a</w:t>
      </w:r>
      <w:r w:rsidR="009A5101">
        <w:t>llowed</w:t>
      </w:r>
      <w:r w:rsidR="00C802BB">
        <w:t xml:space="preserve"> to perform power boost in both the inner and outer </w:t>
      </w:r>
      <w:r w:rsidR="00B3290B">
        <w:t xml:space="preserve">MPR </w:t>
      </w:r>
      <w:r w:rsidR="00C802BB">
        <w:t>regions.</w:t>
      </w:r>
    </w:p>
    <w:p w14:paraId="0A64731A" w14:textId="77777777" w:rsidR="00FF3718" w:rsidRDefault="00FF3718" w:rsidP="005C3712"/>
    <w:p w14:paraId="03C0C71A" w14:textId="77777777" w:rsidR="00FF3718" w:rsidRDefault="00FF3718" w:rsidP="005C3712"/>
    <w:p w14:paraId="26115AC5" w14:textId="427A37C8" w:rsidR="00FF3718" w:rsidRDefault="00FF3718" w:rsidP="00FF3718">
      <w:pPr>
        <w:jc w:val="center"/>
      </w:pPr>
      <w:r>
        <w:rPr>
          <w:noProof/>
        </w:rPr>
        <w:lastRenderedPageBreak/>
        <w:drawing>
          <wp:inline distT="0" distB="0" distL="0" distR="0" wp14:anchorId="68DE78C6" wp14:editId="5C4008E9">
            <wp:extent cx="3362325" cy="2524125"/>
            <wp:effectExtent l="0" t="0" r="0" b="9525"/>
            <wp:docPr id="174065140" name="Picture 1" descr="A graph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65140" name="Picture 1" descr="A graph of a graph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44176" w14:textId="3A2289C5" w:rsidR="00FF3718" w:rsidRDefault="00FF3718" w:rsidP="00FF3718">
      <w:pPr>
        <w:jc w:val="center"/>
      </w:pPr>
      <w:r>
        <w:t>Figure 1: Possible power boost without spectral shaping and 4 dB of ACLR relaxation</w:t>
      </w:r>
    </w:p>
    <w:p w14:paraId="7E303803" w14:textId="4691D41C" w:rsidR="00FF3718" w:rsidRDefault="00FF3718" w:rsidP="00FF3718">
      <w:pPr>
        <w:jc w:val="center"/>
      </w:pPr>
      <w:r>
        <w:rPr>
          <w:noProof/>
        </w:rPr>
        <w:drawing>
          <wp:inline distT="0" distB="0" distL="0" distR="0" wp14:anchorId="32504E74" wp14:editId="4DDE8863">
            <wp:extent cx="3362325" cy="2524125"/>
            <wp:effectExtent l="0" t="0" r="0" b="9525"/>
            <wp:docPr id="1177451028" name="Picture 2" descr="A graph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451028" name="Picture 2" descr="A graph of a graph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8E979" w14:textId="310A06BE" w:rsidR="00FF3718" w:rsidRDefault="00FF3718" w:rsidP="00FF3718">
      <w:pPr>
        <w:jc w:val="center"/>
      </w:pPr>
      <w:r>
        <w:t>Figure 2:  Possible power boost with spectral shaping and 4 dB of ACLR relaxation</w:t>
      </w:r>
    </w:p>
    <w:p w14:paraId="1E36C2F5" w14:textId="238BD376" w:rsidR="00FF3718" w:rsidRPr="009571F2" w:rsidRDefault="00BA1A06" w:rsidP="00FF3718">
      <w:pPr>
        <w:rPr>
          <w:b/>
          <w:bCs/>
        </w:rPr>
      </w:pPr>
      <w:r w:rsidRPr="009571F2">
        <w:rPr>
          <w:b/>
          <w:bCs/>
        </w:rPr>
        <w:t>Observation</w:t>
      </w:r>
      <w:r w:rsidR="0004168E">
        <w:rPr>
          <w:b/>
          <w:bCs/>
        </w:rPr>
        <w:t>2</w:t>
      </w:r>
      <w:r w:rsidRPr="009571F2">
        <w:rPr>
          <w:b/>
          <w:bCs/>
        </w:rPr>
        <w:t xml:space="preserve">: </w:t>
      </w:r>
      <w:r w:rsidR="00EA49E0">
        <w:rPr>
          <w:b/>
          <w:bCs/>
        </w:rPr>
        <w:t>Certain f</w:t>
      </w:r>
      <w:r w:rsidRPr="009571F2">
        <w:rPr>
          <w:b/>
          <w:bCs/>
        </w:rPr>
        <w:t>eature</w:t>
      </w:r>
      <w:r w:rsidR="009571F2" w:rsidRPr="009571F2">
        <w:rPr>
          <w:b/>
          <w:bCs/>
        </w:rPr>
        <w:t>s</w:t>
      </w:r>
      <w:r w:rsidRPr="009571F2">
        <w:rPr>
          <w:b/>
          <w:bCs/>
        </w:rPr>
        <w:t xml:space="preserve"> developed in earlier releases of the standard </w:t>
      </w:r>
      <w:r w:rsidR="00DB5E43">
        <w:rPr>
          <w:b/>
          <w:bCs/>
        </w:rPr>
        <w:t>can be</w:t>
      </w:r>
      <w:r w:rsidRPr="009571F2">
        <w:rPr>
          <w:b/>
          <w:bCs/>
        </w:rPr>
        <w:t xml:space="preserve"> </w:t>
      </w:r>
      <w:r w:rsidR="009571F2" w:rsidRPr="009571F2">
        <w:rPr>
          <w:b/>
          <w:bCs/>
        </w:rPr>
        <w:t xml:space="preserve">revised in later releases as new features are added. </w:t>
      </w:r>
    </w:p>
    <w:p w14:paraId="298AA505" w14:textId="75BD8C0F" w:rsidR="00696313" w:rsidRPr="006410B9" w:rsidRDefault="004D22AE" w:rsidP="005C3712">
      <w:pPr>
        <w:rPr>
          <w:rFonts w:eastAsiaTheme="minorHAnsi"/>
          <w:b/>
          <w:bCs/>
          <w:lang w:val="en-US"/>
        </w:rPr>
      </w:pPr>
      <w:bookmarkStart w:id="2" w:name="_Hlk166148313"/>
      <w:r>
        <w:rPr>
          <w:b/>
          <w:bCs/>
        </w:rPr>
        <w:t>Proposal 3</w:t>
      </w:r>
      <w:r w:rsidR="00DB2DF6">
        <w:rPr>
          <w:b/>
          <w:bCs/>
        </w:rPr>
        <w:t>:</w:t>
      </w:r>
      <w:r w:rsidR="006410B9">
        <w:rPr>
          <w:b/>
          <w:bCs/>
        </w:rPr>
        <w:t xml:space="preserve"> Companies to bring specific technical concerns with addressing Rel-18 power boosting similar to other legacy capabilities like Rel-16 TxD, Rel-16 dualPA-Architecture and Rel-15 2Tx coherence requirements for UL MIMO, in context of the Rel-19 WI to enhance UL power with relaxed emissions requirements.</w:t>
      </w:r>
      <w:bookmarkEnd w:id="2"/>
    </w:p>
    <w:p w14:paraId="03C1D706" w14:textId="2910A54F" w:rsidR="00696313" w:rsidRPr="00696313" w:rsidRDefault="00CA428E" w:rsidP="005C3712">
      <w:r>
        <w:t xml:space="preserve">It is stated in WI [1] UE power domain enhancements are only possible with BS indication. </w:t>
      </w:r>
      <w:r w:rsidR="00CE06A8">
        <w:t xml:space="preserve">So far there has been no discussion on how the BS informs </w:t>
      </w:r>
      <w:r w:rsidR="002B2CC4">
        <w:t xml:space="preserve">a </w:t>
      </w:r>
      <w:r w:rsidR="00CE06A8">
        <w:t xml:space="preserve">UE </w:t>
      </w:r>
      <w:r w:rsidR="002B2CC4">
        <w:t xml:space="preserve">or a group of UEs </w:t>
      </w:r>
      <w:r w:rsidR="00CE06A8">
        <w:t xml:space="preserve">that power domain enhancement is possible. </w:t>
      </w:r>
      <w:r w:rsidR="00400635">
        <w:t xml:space="preserve">We think that it is possible for the BS to indicate </w:t>
      </w:r>
      <w:r w:rsidR="00B107DE">
        <w:t>the ability to perform power domain enhancements</w:t>
      </w:r>
      <w:r w:rsidR="00400635">
        <w:t xml:space="preserve"> at configuration.</w:t>
      </w:r>
    </w:p>
    <w:p w14:paraId="1EF1B04B" w14:textId="03EFC8C9" w:rsidR="00CA428E" w:rsidRDefault="00CE06A8" w:rsidP="00CA428E">
      <w:pPr>
        <w:rPr>
          <w:b/>
          <w:bCs/>
        </w:rPr>
      </w:pPr>
      <w:bookmarkStart w:id="3" w:name="_Hlk166155945"/>
      <w:r>
        <w:rPr>
          <w:b/>
          <w:bCs/>
        </w:rPr>
        <w:t>Proposal 4</w:t>
      </w:r>
      <w:r w:rsidR="001D4A19" w:rsidRPr="001D4A19">
        <w:rPr>
          <w:b/>
          <w:bCs/>
        </w:rPr>
        <w:t xml:space="preserve">: </w:t>
      </w:r>
      <w:r w:rsidR="001D4A19">
        <w:rPr>
          <w:b/>
          <w:bCs/>
        </w:rPr>
        <w:t>Establish w</w:t>
      </w:r>
      <w:r w:rsidR="001D4A19" w:rsidRPr="001D4A19">
        <w:rPr>
          <w:b/>
          <w:bCs/>
        </w:rPr>
        <w:t xml:space="preserve">hat mechanism </w:t>
      </w:r>
      <w:r w:rsidR="001D4A19">
        <w:rPr>
          <w:b/>
          <w:bCs/>
        </w:rPr>
        <w:t>should</w:t>
      </w:r>
      <w:r w:rsidR="001D4A19" w:rsidRPr="001D4A19">
        <w:rPr>
          <w:b/>
          <w:bCs/>
        </w:rPr>
        <w:t xml:space="preserve"> </w:t>
      </w:r>
      <w:r w:rsidR="00743F41">
        <w:rPr>
          <w:b/>
          <w:bCs/>
        </w:rPr>
        <w:t xml:space="preserve">be </w:t>
      </w:r>
      <w:r w:rsidR="001D4A19" w:rsidRPr="001D4A19">
        <w:rPr>
          <w:b/>
          <w:bCs/>
        </w:rPr>
        <w:t xml:space="preserve">used </w:t>
      </w:r>
      <w:r w:rsidR="001D2DE2">
        <w:rPr>
          <w:b/>
          <w:bCs/>
        </w:rPr>
        <w:t xml:space="preserve">for “BS </w:t>
      </w:r>
      <w:r w:rsidR="00400635">
        <w:rPr>
          <w:b/>
          <w:bCs/>
        </w:rPr>
        <w:t>indication”</w:t>
      </w:r>
      <w:r w:rsidR="00400635" w:rsidRPr="001D4A19">
        <w:rPr>
          <w:b/>
          <w:bCs/>
        </w:rPr>
        <w:t xml:space="preserve"> </w:t>
      </w:r>
      <w:r w:rsidR="00400635">
        <w:rPr>
          <w:b/>
          <w:bCs/>
        </w:rPr>
        <w:t>to</w:t>
      </w:r>
      <w:r w:rsidR="001D2DE2">
        <w:rPr>
          <w:b/>
          <w:bCs/>
        </w:rPr>
        <w:t xml:space="preserve"> </w:t>
      </w:r>
      <w:r w:rsidR="001D4A19" w:rsidRPr="001D4A19">
        <w:rPr>
          <w:b/>
          <w:bCs/>
        </w:rPr>
        <w:t>indicate to a UE or groups of UEs that power domain enhancement is possible</w:t>
      </w:r>
      <w:r w:rsidR="00C3330D">
        <w:rPr>
          <w:b/>
          <w:bCs/>
        </w:rPr>
        <w:t>.</w:t>
      </w:r>
    </w:p>
    <w:p w14:paraId="2D19310A" w14:textId="1DB88208" w:rsidR="00C3330D" w:rsidRPr="00957D6E" w:rsidRDefault="00C3330D" w:rsidP="00CA428E">
      <w:pPr>
        <w:rPr>
          <w:b/>
          <w:bCs/>
        </w:rPr>
      </w:pPr>
      <w:r>
        <w:rPr>
          <w:b/>
          <w:bCs/>
        </w:rPr>
        <w:t xml:space="preserve">Proposal 5: </w:t>
      </w:r>
      <w:r w:rsidR="00345905">
        <w:rPr>
          <w:b/>
          <w:bCs/>
        </w:rPr>
        <w:t>BS to i</w:t>
      </w:r>
      <w:r>
        <w:rPr>
          <w:b/>
          <w:bCs/>
        </w:rPr>
        <w:t xml:space="preserve">ndicate </w:t>
      </w:r>
      <w:r w:rsidR="00345905">
        <w:rPr>
          <w:b/>
          <w:bCs/>
        </w:rPr>
        <w:t xml:space="preserve">signaling to the UE </w:t>
      </w:r>
      <w:r w:rsidR="009A092A" w:rsidRPr="001D4A19">
        <w:rPr>
          <w:b/>
          <w:bCs/>
        </w:rPr>
        <w:t>or groups of UEs</w:t>
      </w:r>
      <w:r w:rsidR="009A092A">
        <w:rPr>
          <w:b/>
          <w:bCs/>
        </w:rPr>
        <w:t xml:space="preserve"> </w:t>
      </w:r>
      <w:r w:rsidR="00345905">
        <w:rPr>
          <w:b/>
          <w:bCs/>
        </w:rPr>
        <w:t xml:space="preserve">regarding support </w:t>
      </w:r>
      <w:r w:rsidR="009A092A">
        <w:rPr>
          <w:b/>
          <w:bCs/>
        </w:rPr>
        <w:t>of</w:t>
      </w:r>
      <w:r w:rsidR="00345905">
        <w:rPr>
          <w:b/>
          <w:bCs/>
        </w:rPr>
        <w:t xml:space="preserve"> </w:t>
      </w:r>
      <w:r>
        <w:rPr>
          <w:b/>
          <w:bCs/>
        </w:rPr>
        <w:t>power domain enhancements during UE configuration.</w:t>
      </w:r>
    </w:p>
    <w:bookmarkEnd w:id="3"/>
    <w:p w14:paraId="3F589C7F" w14:textId="0CA1C3B4" w:rsidR="00BF35A2" w:rsidRPr="00F37FAF" w:rsidRDefault="00BD4EAA" w:rsidP="00B5430F">
      <w:r>
        <w:t>.</w:t>
      </w:r>
    </w:p>
    <w:p w14:paraId="30F9386B" w14:textId="1AF28181" w:rsidR="008B10C2" w:rsidRPr="00F37FAF" w:rsidRDefault="008B10C2" w:rsidP="51CE5961">
      <w:pPr>
        <w:rPr>
          <w:b/>
          <w:bCs/>
          <w:lang w:eastAsia="ko-KR"/>
        </w:rPr>
      </w:pPr>
    </w:p>
    <w:p w14:paraId="0EA2FD80" w14:textId="233D8E31" w:rsidR="009E54DA" w:rsidRPr="001E4305" w:rsidRDefault="009E54DA" w:rsidP="009E54DA">
      <w:pPr>
        <w:pStyle w:val="Heading1"/>
      </w:pPr>
      <w:r>
        <w:lastRenderedPageBreak/>
        <w:t>Conclusion</w:t>
      </w:r>
    </w:p>
    <w:p w14:paraId="30965B51" w14:textId="7B505494" w:rsidR="001D633E" w:rsidRDefault="003D7B73" w:rsidP="003D7B73">
      <w:r>
        <w:t xml:space="preserve">In this paper we further discuss our </w:t>
      </w:r>
      <w:r w:rsidR="00396818">
        <w:t xml:space="preserve">preliminary </w:t>
      </w:r>
      <w:r>
        <w:t xml:space="preserve">views </w:t>
      </w:r>
      <w:r w:rsidR="004860CD">
        <w:t xml:space="preserve">on the study </w:t>
      </w:r>
      <w:r w:rsidR="00CE06A8">
        <w:t>of power domain enhancement</w:t>
      </w:r>
      <w:r w:rsidR="00B134A8">
        <w:t xml:space="preserve"> and make the following proposals: </w:t>
      </w:r>
    </w:p>
    <w:p w14:paraId="52874AC8" w14:textId="5E7BE2A4" w:rsidR="006410B9" w:rsidRDefault="006410B9" w:rsidP="006410B9">
      <w:pPr>
        <w:rPr>
          <w:b/>
          <w:bCs/>
        </w:rPr>
      </w:pPr>
      <w:r w:rsidRPr="00286EA5">
        <w:rPr>
          <w:b/>
          <w:bCs/>
        </w:rPr>
        <w:t>Proposal 1: Further discuss scenario 1-1</w:t>
      </w:r>
      <w:r>
        <w:rPr>
          <w:b/>
          <w:bCs/>
        </w:rPr>
        <w:t xml:space="preserve"> </w:t>
      </w:r>
      <w:r w:rsidRPr="00286EA5">
        <w:rPr>
          <w:b/>
          <w:bCs/>
        </w:rPr>
        <w:t>”</w:t>
      </w:r>
      <w:r w:rsidRPr="00286EA5">
        <w:rPr>
          <w:rFonts w:eastAsia="SimSun"/>
          <w:b/>
          <w:bCs/>
          <w:szCs w:val="24"/>
          <w:lang w:eastAsia="zh-CN"/>
        </w:rPr>
        <w:t xml:space="preserve"> Scenario with no </w:t>
      </w:r>
      <w:r w:rsidRPr="00286EA5">
        <w:rPr>
          <w:b/>
          <w:bCs/>
        </w:rPr>
        <w:t xml:space="preserve">adjacent in-band/out-of-band co-existence issue (single operator)” to ensure that it is a scenario </w:t>
      </w:r>
      <w:r>
        <w:rPr>
          <w:b/>
          <w:bCs/>
        </w:rPr>
        <w:t>that represents a realistic deployment.</w:t>
      </w:r>
      <w:r w:rsidRPr="00286EA5">
        <w:rPr>
          <w:b/>
          <w:bCs/>
        </w:rPr>
        <w:t xml:space="preserve"> </w:t>
      </w:r>
    </w:p>
    <w:p w14:paraId="2B4CB7DE" w14:textId="453D958F" w:rsidR="006410B9" w:rsidRPr="00680ACA" w:rsidRDefault="006410B9" w:rsidP="006410B9">
      <w:pPr>
        <w:rPr>
          <w:b/>
          <w:bCs/>
        </w:rPr>
      </w:pPr>
      <w:r w:rsidRPr="00680ACA">
        <w:rPr>
          <w:b/>
          <w:bCs/>
        </w:rPr>
        <w:t>Observation</w:t>
      </w:r>
      <w:r>
        <w:rPr>
          <w:b/>
          <w:bCs/>
        </w:rPr>
        <w:t>1</w:t>
      </w:r>
      <w:r w:rsidRPr="00680ACA">
        <w:rPr>
          <w:b/>
          <w:bCs/>
        </w:rPr>
        <w:t xml:space="preserve">: For scenario2 “Narrower UE channel BW within wider BS bandwidth” </w:t>
      </w:r>
      <w:r>
        <w:rPr>
          <w:b/>
          <w:bCs/>
        </w:rPr>
        <w:t>in order to</w:t>
      </w:r>
      <w:r w:rsidRPr="00680ACA">
        <w:rPr>
          <w:b/>
          <w:bCs/>
        </w:rPr>
        <w:t xml:space="preserve"> </w:t>
      </w:r>
      <w:r>
        <w:rPr>
          <w:b/>
          <w:bCs/>
        </w:rPr>
        <w:t xml:space="preserve">enable companies to </w:t>
      </w:r>
      <w:r w:rsidRPr="00680ACA">
        <w:rPr>
          <w:b/>
          <w:bCs/>
        </w:rPr>
        <w:t xml:space="preserve">better align on the results analyse </w:t>
      </w:r>
      <w:r>
        <w:rPr>
          <w:b/>
          <w:bCs/>
        </w:rPr>
        <w:t>several</w:t>
      </w:r>
      <w:r w:rsidRPr="00680ACA">
        <w:rPr>
          <w:b/>
          <w:bCs/>
        </w:rPr>
        <w:t xml:space="preserve"> simple yet realistic cases first and then study the harder cases later.</w:t>
      </w:r>
    </w:p>
    <w:p w14:paraId="393697FD" w14:textId="4DE4A33B" w:rsidR="006410B9" w:rsidRDefault="006410B9" w:rsidP="006410B9">
      <w:pPr>
        <w:rPr>
          <w:b/>
          <w:bCs/>
        </w:rPr>
      </w:pPr>
      <w:r w:rsidRPr="0017350E">
        <w:rPr>
          <w:b/>
          <w:bCs/>
        </w:rPr>
        <w:t>Proposal 2: Initially study the cases where 1) The excess bandwidth on either side of the UE BW is equal to ½ of the UE BW and 2) The excess bandwidth of either side of the UE BW is equal to the UE BW</w:t>
      </w:r>
      <w:r>
        <w:rPr>
          <w:b/>
          <w:bCs/>
        </w:rPr>
        <w:t xml:space="preserve">. </w:t>
      </w:r>
      <w:r w:rsidRPr="00AA69B3">
        <w:rPr>
          <w:b/>
          <w:bCs/>
        </w:rPr>
        <w:t xml:space="preserve">For these cases the </w:t>
      </w:r>
      <w:r>
        <w:rPr>
          <w:b/>
          <w:bCs/>
        </w:rPr>
        <w:t>aggregated</w:t>
      </w:r>
      <w:r w:rsidRPr="00AA69B3">
        <w:rPr>
          <w:b/>
          <w:bCs/>
        </w:rPr>
        <w:t xml:space="preserve"> UE bandwidth should </w:t>
      </w:r>
      <w:r w:rsidR="00D64240">
        <w:rPr>
          <w:b/>
          <w:bCs/>
        </w:rPr>
        <w:t xml:space="preserve">be </w:t>
      </w:r>
      <w:r>
        <w:rPr>
          <w:b/>
          <w:bCs/>
        </w:rPr>
        <w:t xml:space="preserve">considered as </w:t>
      </w:r>
      <w:r w:rsidRPr="00AA69B3">
        <w:rPr>
          <w:b/>
          <w:bCs/>
        </w:rPr>
        <w:t>the UE BW plus the excess BW on either side of the UE BW for SEM, ALCR and spur specifications</w:t>
      </w:r>
      <w:r>
        <w:rPr>
          <w:b/>
          <w:bCs/>
        </w:rPr>
        <w:t>.</w:t>
      </w:r>
    </w:p>
    <w:p w14:paraId="7E71A4AA" w14:textId="77777777" w:rsidR="006410B9" w:rsidRPr="009571F2" w:rsidRDefault="006410B9" w:rsidP="006410B9">
      <w:pPr>
        <w:rPr>
          <w:b/>
          <w:bCs/>
        </w:rPr>
      </w:pPr>
      <w:r w:rsidRPr="009571F2">
        <w:rPr>
          <w:b/>
          <w:bCs/>
        </w:rPr>
        <w:t>Observation</w:t>
      </w:r>
      <w:r>
        <w:rPr>
          <w:b/>
          <w:bCs/>
        </w:rPr>
        <w:t>2</w:t>
      </w:r>
      <w:r w:rsidRPr="009571F2">
        <w:rPr>
          <w:b/>
          <w:bCs/>
        </w:rPr>
        <w:t xml:space="preserve">: </w:t>
      </w:r>
      <w:r>
        <w:rPr>
          <w:b/>
          <w:bCs/>
        </w:rPr>
        <w:t>Certain f</w:t>
      </w:r>
      <w:r w:rsidRPr="009571F2">
        <w:rPr>
          <w:b/>
          <w:bCs/>
        </w:rPr>
        <w:t xml:space="preserve">eatures developed in earlier releases of the standard </w:t>
      </w:r>
      <w:r>
        <w:rPr>
          <w:b/>
          <w:bCs/>
        </w:rPr>
        <w:t>can be</w:t>
      </w:r>
      <w:r w:rsidRPr="009571F2">
        <w:rPr>
          <w:b/>
          <w:bCs/>
        </w:rPr>
        <w:t xml:space="preserve"> revised in later releases as new features are added. </w:t>
      </w:r>
    </w:p>
    <w:p w14:paraId="68C71334" w14:textId="6D80A49B" w:rsidR="006410B9" w:rsidRPr="006410B9" w:rsidRDefault="006410B9" w:rsidP="006410B9">
      <w:pPr>
        <w:rPr>
          <w:rFonts w:eastAsiaTheme="minorHAnsi"/>
          <w:b/>
          <w:bCs/>
          <w:lang w:val="en-US"/>
        </w:rPr>
      </w:pPr>
      <w:r>
        <w:rPr>
          <w:b/>
          <w:bCs/>
        </w:rPr>
        <w:t>Proposal 3: Companies to bring specific technical concerns with addressing Rel-18 power boosting similar to other legacy capabilities like Rel-16 TxD, Rel-16 dualPA-Architecture and Rel-15 2Tx coherence requirements for UL MIMO, in context of the Rel-19 WI to enhance UL power with relaxed emissions requirements.</w:t>
      </w:r>
    </w:p>
    <w:p w14:paraId="6E6C173E" w14:textId="77777777" w:rsidR="00C3330D" w:rsidRDefault="00C3330D" w:rsidP="00C3330D">
      <w:pPr>
        <w:rPr>
          <w:b/>
          <w:bCs/>
        </w:rPr>
      </w:pPr>
      <w:r>
        <w:rPr>
          <w:b/>
          <w:bCs/>
        </w:rPr>
        <w:t>Proposal 4</w:t>
      </w:r>
      <w:r w:rsidRPr="001D4A19">
        <w:rPr>
          <w:b/>
          <w:bCs/>
        </w:rPr>
        <w:t xml:space="preserve">: </w:t>
      </w:r>
      <w:r>
        <w:rPr>
          <w:b/>
          <w:bCs/>
        </w:rPr>
        <w:t>Establish w</w:t>
      </w:r>
      <w:r w:rsidRPr="001D4A19">
        <w:rPr>
          <w:b/>
          <w:bCs/>
        </w:rPr>
        <w:t xml:space="preserve">hat mechanism </w:t>
      </w:r>
      <w:r>
        <w:rPr>
          <w:b/>
          <w:bCs/>
        </w:rPr>
        <w:t>should</w:t>
      </w:r>
      <w:r w:rsidRPr="001D4A19">
        <w:rPr>
          <w:b/>
          <w:bCs/>
        </w:rPr>
        <w:t xml:space="preserve"> </w:t>
      </w:r>
      <w:r>
        <w:rPr>
          <w:b/>
          <w:bCs/>
        </w:rPr>
        <w:t xml:space="preserve">be </w:t>
      </w:r>
      <w:r w:rsidRPr="001D4A19">
        <w:rPr>
          <w:b/>
          <w:bCs/>
        </w:rPr>
        <w:t xml:space="preserve">used </w:t>
      </w:r>
      <w:r>
        <w:rPr>
          <w:b/>
          <w:bCs/>
        </w:rPr>
        <w:t>for “BS indication”</w:t>
      </w:r>
      <w:r w:rsidRPr="001D4A19">
        <w:rPr>
          <w:b/>
          <w:bCs/>
        </w:rPr>
        <w:t xml:space="preserve"> </w:t>
      </w:r>
      <w:r>
        <w:rPr>
          <w:b/>
          <w:bCs/>
        </w:rPr>
        <w:t xml:space="preserve">to </w:t>
      </w:r>
      <w:r w:rsidRPr="001D4A19">
        <w:rPr>
          <w:b/>
          <w:bCs/>
        </w:rPr>
        <w:t>indicate to a UE or groups of UEs that power domain enhancement is possible</w:t>
      </w:r>
      <w:r>
        <w:rPr>
          <w:b/>
          <w:bCs/>
        </w:rPr>
        <w:t>.</w:t>
      </w:r>
    </w:p>
    <w:p w14:paraId="04965BCA" w14:textId="77777777" w:rsidR="009A092A" w:rsidRPr="00957D6E" w:rsidRDefault="009A092A" w:rsidP="009A092A">
      <w:pPr>
        <w:rPr>
          <w:b/>
          <w:bCs/>
        </w:rPr>
      </w:pPr>
      <w:r>
        <w:rPr>
          <w:b/>
          <w:bCs/>
        </w:rPr>
        <w:t xml:space="preserve">Proposal 5: BS to indicate signalling to the UE </w:t>
      </w:r>
      <w:r w:rsidRPr="001D4A19">
        <w:rPr>
          <w:b/>
          <w:bCs/>
        </w:rPr>
        <w:t>or groups of UEs</w:t>
      </w:r>
      <w:r>
        <w:rPr>
          <w:b/>
          <w:bCs/>
        </w:rPr>
        <w:t xml:space="preserve"> regarding support of power domain enhancements during UE configuration.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1D2E4ABF" w14:textId="1FA26364" w:rsidR="00D32DDA" w:rsidRDefault="00011F96" w:rsidP="00D32DDA">
      <w:pPr>
        <w:rPr>
          <w:lang w:eastAsia="ko-KR"/>
        </w:rPr>
      </w:pPr>
      <w:r>
        <w:rPr>
          <w:lang w:eastAsia="ko-KR"/>
        </w:rPr>
        <w:t xml:space="preserve">[1] </w:t>
      </w:r>
      <w:r w:rsidR="004860CD">
        <w:rPr>
          <w:lang w:eastAsia="ko-KR"/>
        </w:rPr>
        <w:t>RP-240828</w:t>
      </w:r>
      <w:r>
        <w:rPr>
          <w:lang w:eastAsia="ko-KR"/>
        </w:rPr>
        <w:t xml:space="preserve">, </w:t>
      </w:r>
      <w:r w:rsidR="004860CD" w:rsidRPr="004860CD">
        <w:rPr>
          <w:lang w:eastAsia="ko-KR"/>
        </w:rPr>
        <w:t>New WID: UE RF enhancements for NR FR1/FR2 and EN-DC, Phase 4</w:t>
      </w:r>
      <w:r w:rsidR="006C04F9">
        <w:rPr>
          <w:lang w:eastAsia="ko-KR"/>
        </w:rPr>
        <w:t>, R</w:t>
      </w:r>
      <w:r>
        <w:rPr>
          <w:lang w:eastAsia="ko-KR"/>
        </w:rPr>
        <w:t>AN#</w:t>
      </w:r>
      <w:r w:rsidR="006C04F9">
        <w:rPr>
          <w:lang w:eastAsia="ko-KR"/>
        </w:rPr>
        <w:t>10</w:t>
      </w:r>
      <w:r w:rsidR="004860CD">
        <w:rPr>
          <w:lang w:eastAsia="ko-KR"/>
        </w:rPr>
        <w:t>3</w:t>
      </w:r>
      <w:r>
        <w:rPr>
          <w:lang w:eastAsia="ko-KR"/>
        </w:rPr>
        <w:t>,</w:t>
      </w:r>
      <w:r w:rsidR="004860CD">
        <w:rPr>
          <w:lang w:eastAsia="ko-KR"/>
        </w:rPr>
        <w:t xml:space="preserve"> March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18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4860CD">
        <w:rPr>
          <w:lang w:eastAsia="ko-KR"/>
        </w:rPr>
        <w:t>March</w:t>
      </w:r>
      <w:r w:rsidR="001F5607">
        <w:rPr>
          <w:lang w:eastAsia="ko-KR"/>
        </w:rPr>
        <w:t xml:space="preserve"> 2</w:t>
      </w:r>
      <w:r w:rsidR="004860CD">
        <w:rPr>
          <w:lang w:eastAsia="ko-KR"/>
        </w:rPr>
        <w:t>1</w:t>
      </w:r>
      <w:r w:rsidR="004860CD" w:rsidRPr="004860CD">
        <w:rPr>
          <w:lang w:eastAsia="ko-KR"/>
        </w:rPr>
        <w:t>st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16FE3ADB" w14:textId="4F8E1C07" w:rsidR="00CA428E" w:rsidRPr="00CA428E" w:rsidRDefault="00CA428E" w:rsidP="00CA428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[2] R4-2406584, </w:t>
      </w:r>
      <w:r w:rsidRPr="00CA428E">
        <w:rPr>
          <w:lang w:eastAsia="ko-KR"/>
        </w:rPr>
        <w:t>WF on power domain enhancements,RAN4#110-bis, April 14th – April 19th, 2024</w:t>
      </w:r>
    </w:p>
    <w:p w14:paraId="1A86AB7D" w14:textId="3224B3F5" w:rsidR="00CA428E" w:rsidRDefault="00CA428E" w:rsidP="00D32DDA">
      <w:pPr>
        <w:rPr>
          <w:lang w:eastAsia="ko-KR"/>
        </w:rPr>
      </w:pP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D4C6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454D23"/>
    <w:multiLevelType w:val="hybridMultilevel"/>
    <w:tmpl w:val="5770FE92"/>
    <w:lvl w:ilvl="0" w:tplc="953C909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76760C"/>
    <w:multiLevelType w:val="hybridMultilevel"/>
    <w:tmpl w:val="84A29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9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5E4E2A07"/>
    <w:multiLevelType w:val="hybridMultilevel"/>
    <w:tmpl w:val="0E1A5FF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5A12C34"/>
    <w:multiLevelType w:val="hybridMultilevel"/>
    <w:tmpl w:val="E7DA41D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4"/>
  </w:num>
  <w:num w:numId="9" w16cid:durableId="2035765132">
    <w:abstractNumId w:val="26"/>
  </w:num>
  <w:num w:numId="10" w16cid:durableId="425879905">
    <w:abstractNumId w:val="23"/>
  </w:num>
  <w:num w:numId="11" w16cid:durableId="1010062573">
    <w:abstractNumId w:val="21"/>
  </w:num>
  <w:num w:numId="12" w16cid:durableId="172569551">
    <w:abstractNumId w:val="11"/>
  </w:num>
  <w:num w:numId="13" w16cid:durableId="1156913852">
    <w:abstractNumId w:val="33"/>
  </w:num>
  <w:num w:numId="14" w16cid:durableId="964040951">
    <w:abstractNumId w:val="20"/>
  </w:num>
  <w:num w:numId="15" w16cid:durableId="1897085865">
    <w:abstractNumId w:val="10"/>
  </w:num>
  <w:num w:numId="16" w16cid:durableId="1141189162">
    <w:abstractNumId w:val="43"/>
  </w:num>
  <w:num w:numId="17" w16cid:durableId="1148209945">
    <w:abstractNumId w:val="22"/>
  </w:num>
  <w:num w:numId="18" w16cid:durableId="1524131605">
    <w:abstractNumId w:val="41"/>
  </w:num>
  <w:num w:numId="19" w16cid:durableId="574045937">
    <w:abstractNumId w:val="45"/>
  </w:num>
  <w:num w:numId="20" w16cid:durableId="1789350105">
    <w:abstractNumId w:val="30"/>
  </w:num>
  <w:num w:numId="21" w16cid:durableId="639850205">
    <w:abstractNumId w:val="44"/>
  </w:num>
  <w:num w:numId="22" w16cid:durableId="490561259">
    <w:abstractNumId w:val="31"/>
  </w:num>
  <w:num w:numId="23" w16cid:durableId="1128477912">
    <w:abstractNumId w:val="27"/>
  </w:num>
  <w:num w:numId="24" w16cid:durableId="348916400">
    <w:abstractNumId w:val="24"/>
  </w:num>
  <w:num w:numId="25" w16cid:durableId="1055815140">
    <w:abstractNumId w:val="18"/>
  </w:num>
  <w:num w:numId="26" w16cid:durableId="1986354072">
    <w:abstractNumId w:val="17"/>
  </w:num>
  <w:num w:numId="27" w16cid:durableId="195698524">
    <w:abstractNumId w:val="36"/>
  </w:num>
  <w:num w:numId="28" w16cid:durableId="1909001404">
    <w:abstractNumId w:val="46"/>
  </w:num>
  <w:num w:numId="29" w16cid:durableId="1302274230">
    <w:abstractNumId w:val="28"/>
  </w:num>
  <w:num w:numId="30" w16cid:durableId="828862100">
    <w:abstractNumId w:val="9"/>
  </w:num>
  <w:num w:numId="31" w16cid:durableId="2097899638">
    <w:abstractNumId w:val="42"/>
  </w:num>
  <w:num w:numId="32" w16cid:durableId="1946419434">
    <w:abstractNumId w:val="19"/>
  </w:num>
  <w:num w:numId="33" w16cid:durableId="1619221480">
    <w:abstractNumId w:val="8"/>
  </w:num>
  <w:num w:numId="34" w16cid:durableId="638539426">
    <w:abstractNumId w:val="15"/>
  </w:num>
  <w:num w:numId="35" w16cid:durableId="1611816056">
    <w:abstractNumId w:val="29"/>
  </w:num>
  <w:num w:numId="36" w16cid:durableId="543447237">
    <w:abstractNumId w:val="16"/>
  </w:num>
  <w:num w:numId="37" w16cid:durableId="937061340">
    <w:abstractNumId w:val="32"/>
  </w:num>
  <w:num w:numId="38" w16cid:durableId="529731650">
    <w:abstractNumId w:val="35"/>
  </w:num>
  <w:num w:numId="39" w16cid:durableId="221209476">
    <w:abstractNumId w:val="14"/>
  </w:num>
  <w:num w:numId="40" w16cid:durableId="1420715104">
    <w:abstractNumId w:val="40"/>
  </w:num>
  <w:num w:numId="41" w16cid:durableId="557935008">
    <w:abstractNumId w:val="25"/>
  </w:num>
  <w:num w:numId="42" w16cid:durableId="1852597541">
    <w:abstractNumId w:val="7"/>
  </w:num>
  <w:num w:numId="43" w16cid:durableId="1886018688">
    <w:abstractNumId w:val="7"/>
  </w:num>
  <w:num w:numId="44" w16cid:durableId="1079207233">
    <w:abstractNumId w:val="12"/>
  </w:num>
  <w:num w:numId="45" w16cid:durableId="38823617">
    <w:abstractNumId w:val="13"/>
  </w:num>
  <w:num w:numId="46" w16cid:durableId="1351688883">
    <w:abstractNumId w:val="39"/>
  </w:num>
  <w:num w:numId="47" w16cid:durableId="771129341">
    <w:abstractNumId w:val="38"/>
  </w:num>
  <w:num w:numId="48" w16cid:durableId="1294479876">
    <w:abstractNumId w:val="0"/>
  </w:num>
  <w:num w:numId="49" w16cid:durableId="1899516163">
    <w:abstractNumId w:val="0"/>
  </w:num>
  <w:num w:numId="50" w16cid:durableId="184393209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38E9"/>
    <w:rsid w:val="000042E1"/>
    <w:rsid w:val="000046A6"/>
    <w:rsid w:val="00004EB2"/>
    <w:rsid w:val="000065A7"/>
    <w:rsid w:val="00010B50"/>
    <w:rsid w:val="00011F96"/>
    <w:rsid w:val="00012B2B"/>
    <w:rsid w:val="0001362F"/>
    <w:rsid w:val="000144D7"/>
    <w:rsid w:val="00014A9E"/>
    <w:rsid w:val="00016EF1"/>
    <w:rsid w:val="00017352"/>
    <w:rsid w:val="000175A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B95"/>
    <w:rsid w:val="000302DC"/>
    <w:rsid w:val="00031D75"/>
    <w:rsid w:val="0003206A"/>
    <w:rsid w:val="00032669"/>
    <w:rsid w:val="00033841"/>
    <w:rsid w:val="000339AA"/>
    <w:rsid w:val="000355B5"/>
    <w:rsid w:val="00037755"/>
    <w:rsid w:val="00037A84"/>
    <w:rsid w:val="00040D07"/>
    <w:rsid w:val="000414D9"/>
    <w:rsid w:val="0004168E"/>
    <w:rsid w:val="000432AD"/>
    <w:rsid w:val="000432E4"/>
    <w:rsid w:val="0004332E"/>
    <w:rsid w:val="00043B93"/>
    <w:rsid w:val="000442DB"/>
    <w:rsid w:val="00044E4C"/>
    <w:rsid w:val="000454A9"/>
    <w:rsid w:val="0004568E"/>
    <w:rsid w:val="000463AE"/>
    <w:rsid w:val="00046DDD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7D6C"/>
    <w:rsid w:val="00077DD8"/>
    <w:rsid w:val="00077EB3"/>
    <w:rsid w:val="000811C5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4E2"/>
    <w:rsid w:val="000A2835"/>
    <w:rsid w:val="000A39AB"/>
    <w:rsid w:val="000A3E2A"/>
    <w:rsid w:val="000A419C"/>
    <w:rsid w:val="000A4CEF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350B"/>
    <w:rsid w:val="000B4A88"/>
    <w:rsid w:val="000B4F74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FE7"/>
    <w:rsid w:val="000D1394"/>
    <w:rsid w:val="000D18DA"/>
    <w:rsid w:val="000D18EC"/>
    <w:rsid w:val="000D1E9D"/>
    <w:rsid w:val="000D2128"/>
    <w:rsid w:val="000D27E5"/>
    <w:rsid w:val="000D31EF"/>
    <w:rsid w:val="000D406F"/>
    <w:rsid w:val="000D4A0A"/>
    <w:rsid w:val="000D5589"/>
    <w:rsid w:val="000E0A10"/>
    <w:rsid w:val="000E2384"/>
    <w:rsid w:val="000E26BD"/>
    <w:rsid w:val="000E401F"/>
    <w:rsid w:val="000E406C"/>
    <w:rsid w:val="000E4512"/>
    <w:rsid w:val="000E596C"/>
    <w:rsid w:val="000E5A21"/>
    <w:rsid w:val="000E62A6"/>
    <w:rsid w:val="000E631C"/>
    <w:rsid w:val="000E6725"/>
    <w:rsid w:val="000E6F15"/>
    <w:rsid w:val="000E7126"/>
    <w:rsid w:val="000E7763"/>
    <w:rsid w:val="000E782B"/>
    <w:rsid w:val="000E7C89"/>
    <w:rsid w:val="000F149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5A2"/>
    <w:rsid w:val="00104902"/>
    <w:rsid w:val="001056FC"/>
    <w:rsid w:val="00105915"/>
    <w:rsid w:val="0010618D"/>
    <w:rsid w:val="00106663"/>
    <w:rsid w:val="00107C40"/>
    <w:rsid w:val="00111F11"/>
    <w:rsid w:val="00112950"/>
    <w:rsid w:val="00112B5D"/>
    <w:rsid w:val="00113ED2"/>
    <w:rsid w:val="00114581"/>
    <w:rsid w:val="00115F61"/>
    <w:rsid w:val="00116429"/>
    <w:rsid w:val="0011648E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E1A"/>
    <w:rsid w:val="00131AFF"/>
    <w:rsid w:val="00133349"/>
    <w:rsid w:val="00133B55"/>
    <w:rsid w:val="00133EAD"/>
    <w:rsid w:val="001351EB"/>
    <w:rsid w:val="00135A74"/>
    <w:rsid w:val="00135BA1"/>
    <w:rsid w:val="00137387"/>
    <w:rsid w:val="00140F10"/>
    <w:rsid w:val="0014116A"/>
    <w:rsid w:val="0014180B"/>
    <w:rsid w:val="00141DFA"/>
    <w:rsid w:val="001429F4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5ECF"/>
    <w:rsid w:val="00156359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70DB5"/>
    <w:rsid w:val="00171914"/>
    <w:rsid w:val="0017350E"/>
    <w:rsid w:val="0017424F"/>
    <w:rsid w:val="001746C6"/>
    <w:rsid w:val="00176A07"/>
    <w:rsid w:val="00176F98"/>
    <w:rsid w:val="00177236"/>
    <w:rsid w:val="00180293"/>
    <w:rsid w:val="0018073A"/>
    <w:rsid w:val="00180BAA"/>
    <w:rsid w:val="001821DC"/>
    <w:rsid w:val="00182ACA"/>
    <w:rsid w:val="0018383E"/>
    <w:rsid w:val="0018466B"/>
    <w:rsid w:val="0018484B"/>
    <w:rsid w:val="00184C06"/>
    <w:rsid w:val="00184E1B"/>
    <w:rsid w:val="001851D4"/>
    <w:rsid w:val="00185F2B"/>
    <w:rsid w:val="001874CF"/>
    <w:rsid w:val="00190F5F"/>
    <w:rsid w:val="00191128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6F61"/>
    <w:rsid w:val="001A6F7A"/>
    <w:rsid w:val="001B14A5"/>
    <w:rsid w:val="001B1A9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34E6"/>
    <w:rsid w:val="001C3F31"/>
    <w:rsid w:val="001C463D"/>
    <w:rsid w:val="001C54B6"/>
    <w:rsid w:val="001C6513"/>
    <w:rsid w:val="001D0FF1"/>
    <w:rsid w:val="001D12E4"/>
    <w:rsid w:val="001D2C8E"/>
    <w:rsid w:val="001D2DE2"/>
    <w:rsid w:val="001D4399"/>
    <w:rsid w:val="001D473C"/>
    <w:rsid w:val="001D4948"/>
    <w:rsid w:val="001D4A19"/>
    <w:rsid w:val="001D50F8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5285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C9F"/>
    <w:rsid w:val="00225E53"/>
    <w:rsid w:val="002267B2"/>
    <w:rsid w:val="00226A8C"/>
    <w:rsid w:val="00227148"/>
    <w:rsid w:val="002272D3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9C1"/>
    <w:rsid w:val="00284BD5"/>
    <w:rsid w:val="00284D63"/>
    <w:rsid w:val="002850EC"/>
    <w:rsid w:val="00285BFF"/>
    <w:rsid w:val="00285DFB"/>
    <w:rsid w:val="00286EA5"/>
    <w:rsid w:val="00287669"/>
    <w:rsid w:val="00287AE8"/>
    <w:rsid w:val="00287F7B"/>
    <w:rsid w:val="00290473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0198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3968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348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97F"/>
    <w:rsid w:val="00320BCA"/>
    <w:rsid w:val="00320CC4"/>
    <w:rsid w:val="00321A80"/>
    <w:rsid w:val="00322CC1"/>
    <w:rsid w:val="00324990"/>
    <w:rsid w:val="00324C48"/>
    <w:rsid w:val="00324D06"/>
    <w:rsid w:val="00326D4E"/>
    <w:rsid w:val="0033053A"/>
    <w:rsid w:val="0033127F"/>
    <w:rsid w:val="00331FD7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1516"/>
    <w:rsid w:val="00341EC6"/>
    <w:rsid w:val="00342C23"/>
    <w:rsid w:val="00342C32"/>
    <w:rsid w:val="00342C3A"/>
    <w:rsid w:val="00342F78"/>
    <w:rsid w:val="003430BD"/>
    <w:rsid w:val="00345905"/>
    <w:rsid w:val="00346332"/>
    <w:rsid w:val="0034635A"/>
    <w:rsid w:val="003465BD"/>
    <w:rsid w:val="0034685E"/>
    <w:rsid w:val="003476B3"/>
    <w:rsid w:val="00347CB5"/>
    <w:rsid w:val="00347E39"/>
    <w:rsid w:val="00350DC7"/>
    <w:rsid w:val="00351A32"/>
    <w:rsid w:val="00352BFA"/>
    <w:rsid w:val="00353E42"/>
    <w:rsid w:val="00353F54"/>
    <w:rsid w:val="003562D7"/>
    <w:rsid w:val="003567F9"/>
    <w:rsid w:val="0036030B"/>
    <w:rsid w:val="00360A8C"/>
    <w:rsid w:val="00360EAB"/>
    <w:rsid w:val="00361552"/>
    <w:rsid w:val="00363A6B"/>
    <w:rsid w:val="00363AB4"/>
    <w:rsid w:val="0036412A"/>
    <w:rsid w:val="003646A2"/>
    <w:rsid w:val="00364765"/>
    <w:rsid w:val="00365839"/>
    <w:rsid w:val="00365A0B"/>
    <w:rsid w:val="003664F7"/>
    <w:rsid w:val="003665F7"/>
    <w:rsid w:val="003669DA"/>
    <w:rsid w:val="00367A62"/>
    <w:rsid w:val="00367DF1"/>
    <w:rsid w:val="003701E8"/>
    <w:rsid w:val="00371262"/>
    <w:rsid w:val="00371D6E"/>
    <w:rsid w:val="003724AA"/>
    <w:rsid w:val="00373628"/>
    <w:rsid w:val="00374789"/>
    <w:rsid w:val="00375AA5"/>
    <w:rsid w:val="00376971"/>
    <w:rsid w:val="0037731B"/>
    <w:rsid w:val="00377609"/>
    <w:rsid w:val="00377E78"/>
    <w:rsid w:val="00380625"/>
    <w:rsid w:val="00380A44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565"/>
    <w:rsid w:val="00391F26"/>
    <w:rsid w:val="00392B77"/>
    <w:rsid w:val="00393650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B0D4A"/>
    <w:rsid w:val="003B169D"/>
    <w:rsid w:val="003B2D77"/>
    <w:rsid w:val="003B31AF"/>
    <w:rsid w:val="003B3C8C"/>
    <w:rsid w:val="003B4BF2"/>
    <w:rsid w:val="003B6C0C"/>
    <w:rsid w:val="003B6F17"/>
    <w:rsid w:val="003C0288"/>
    <w:rsid w:val="003C1A5D"/>
    <w:rsid w:val="003C2F36"/>
    <w:rsid w:val="003C3383"/>
    <w:rsid w:val="003C352C"/>
    <w:rsid w:val="003C42E4"/>
    <w:rsid w:val="003C468D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6F58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7D3"/>
    <w:rsid w:val="003F30E0"/>
    <w:rsid w:val="003F3479"/>
    <w:rsid w:val="003F6DA5"/>
    <w:rsid w:val="003F76B6"/>
    <w:rsid w:val="00400635"/>
    <w:rsid w:val="0040140F"/>
    <w:rsid w:val="00401AB4"/>
    <w:rsid w:val="00403222"/>
    <w:rsid w:val="00404460"/>
    <w:rsid w:val="0040487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4140"/>
    <w:rsid w:val="00424223"/>
    <w:rsid w:val="00424D1C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6B4"/>
    <w:rsid w:val="004347CA"/>
    <w:rsid w:val="00434891"/>
    <w:rsid w:val="00435B76"/>
    <w:rsid w:val="00435DC5"/>
    <w:rsid w:val="00436F22"/>
    <w:rsid w:val="00437264"/>
    <w:rsid w:val="00437C18"/>
    <w:rsid w:val="0044036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CE1"/>
    <w:rsid w:val="00464C43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2A9B"/>
    <w:rsid w:val="00474684"/>
    <w:rsid w:val="00474E5B"/>
    <w:rsid w:val="00474FE5"/>
    <w:rsid w:val="00476745"/>
    <w:rsid w:val="00476DD5"/>
    <w:rsid w:val="00481250"/>
    <w:rsid w:val="00482C49"/>
    <w:rsid w:val="00484118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FBC"/>
    <w:rsid w:val="004971A7"/>
    <w:rsid w:val="004973DD"/>
    <w:rsid w:val="0049780C"/>
    <w:rsid w:val="004A1C33"/>
    <w:rsid w:val="004A1E20"/>
    <w:rsid w:val="004A2CE9"/>
    <w:rsid w:val="004A3FA0"/>
    <w:rsid w:val="004A402E"/>
    <w:rsid w:val="004A42A0"/>
    <w:rsid w:val="004A4A24"/>
    <w:rsid w:val="004A5C49"/>
    <w:rsid w:val="004A5F9C"/>
    <w:rsid w:val="004A75DD"/>
    <w:rsid w:val="004A7972"/>
    <w:rsid w:val="004B19D4"/>
    <w:rsid w:val="004B1B3E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60E6"/>
    <w:rsid w:val="004F6C74"/>
    <w:rsid w:val="004F768A"/>
    <w:rsid w:val="004F7BD5"/>
    <w:rsid w:val="00501A02"/>
    <w:rsid w:val="00502F16"/>
    <w:rsid w:val="00505AFA"/>
    <w:rsid w:val="00505F2F"/>
    <w:rsid w:val="00505FC0"/>
    <w:rsid w:val="00506826"/>
    <w:rsid w:val="00507C4F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25B2"/>
    <w:rsid w:val="005436E7"/>
    <w:rsid w:val="005453AB"/>
    <w:rsid w:val="00545BAE"/>
    <w:rsid w:val="00551FA9"/>
    <w:rsid w:val="005520D7"/>
    <w:rsid w:val="00552FD7"/>
    <w:rsid w:val="005536D9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333A"/>
    <w:rsid w:val="00573B9F"/>
    <w:rsid w:val="0057452A"/>
    <w:rsid w:val="00574E28"/>
    <w:rsid w:val="00581B2C"/>
    <w:rsid w:val="005834A5"/>
    <w:rsid w:val="005839AE"/>
    <w:rsid w:val="00583E05"/>
    <w:rsid w:val="0058408C"/>
    <w:rsid w:val="00584247"/>
    <w:rsid w:val="00584AE4"/>
    <w:rsid w:val="00585099"/>
    <w:rsid w:val="005865B2"/>
    <w:rsid w:val="0058669B"/>
    <w:rsid w:val="00586C71"/>
    <w:rsid w:val="00587B4E"/>
    <w:rsid w:val="00591244"/>
    <w:rsid w:val="00591B06"/>
    <w:rsid w:val="0059257A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3373"/>
    <w:rsid w:val="005B4A28"/>
    <w:rsid w:val="005B533E"/>
    <w:rsid w:val="005B6347"/>
    <w:rsid w:val="005B7B72"/>
    <w:rsid w:val="005C0D66"/>
    <w:rsid w:val="005C1194"/>
    <w:rsid w:val="005C11A1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D047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879"/>
    <w:rsid w:val="005D401D"/>
    <w:rsid w:val="005D5C74"/>
    <w:rsid w:val="005D5D10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357A"/>
    <w:rsid w:val="00603D3C"/>
    <w:rsid w:val="0060402D"/>
    <w:rsid w:val="00605A1C"/>
    <w:rsid w:val="00606A5C"/>
    <w:rsid w:val="00607482"/>
    <w:rsid w:val="00607AD0"/>
    <w:rsid w:val="00611B53"/>
    <w:rsid w:val="006120F6"/>
    <w:rsid w:val="006121E9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F8A"/>
    <w:rsid w:val="006217E2"/>
    <w:rsid w:val="00621F32"/>
    <w:rsid w:val="006224D9"/>
    <w:rsid w:val="00625516"/>
    <w:rsid w:val="00625932"/>
    <w:rsid w:val="00626F60"/>
    <w:rsid w:val="00627C79"/>
    <w:rsid w:val="00630683"/>
    <w:rsid w:val="006314E7"/>
    <w:rsid w:val="00631AE5"/>
    <w:rsid w:val="00631DC5"/>
    <w:rsid w:val="006321BA"/>
    <w:rsid w:val="00633BDD"/>
    <w:rsid w:val="00634393"/>
    <w:rsid w:val="006360DE"/>
    <w:rsid w:val="00636DAA"/>
    <w:rsid w:val="00636E9A"/>
    <w:rsid w:val="006410B9"/>
    <w:rsid w:val="00641A6B"/>
    <w:rsid w:val="00641EC1"/>
    <w:rsid w:val="006420A1"/>
    <w:rsid w:val="00642BD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471D"/>
    <w:rsid w:val="006559A3"/>
    <w:rsid w:val="00656CE9"/>
    <w:rsid w:val="00657534"/>
    <w:rsid w:val="00657AB4"/>
    <w:rsid w:val="006614F9"/>
    <w:rsid w:val="00662124"/>
    <w:rsid w:val="00663B65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D81"/>
    <w:rsid w:val="00672E44"/>
    <w:rsid w:val="0067381D"/>
    <w:rsid w:val="006738DE"/>
    <w:rsid w:val="00674D9B"/>
    <w:rsid w:val="006768CA"/>
    <w:rsid w:val="00677537"/>
    <w:rsid w:val="00680459"/>
    <w:rsid w:val="00680ACA"/>
    <w:rsid w:val="0068118E"/>
    <w:rsid w:val="006815CF"/>
    <w:rsid w:val="00681E78"/>
    <w:rsid w:val="006834CE"/>
    <w:rsid w:val="0068437E"/>
    <w:rsid w:val="006859A7"/>
    <w:rsid w:val="00687058"/>
    <w:rsid w:val="00687DAF"/>
    <w:rsid w:val="00690160"/>
    <w:rsid w:val="00690503"/>
    <w:rsid w:val="0069060B"/>
    <w:rsid w:val="00691155"/>
    <w:rsid w:val="00691500"/>
    <w:rsid w:val="00693658"/>
    <w:rsid w:val="00694771"/>
    <w:rsid w:val="0069492D"/>
    <w:rsid w:val="00695AC8"/>
    <w:rsid w:val="00695F3B"/>
    <w:rsid w:val="00696313"/>
    <w:rsid w:val="00696381"/>
    <w:rsid w:val="00697224"/>
    <w:rsid w:val="006A084D"/>
    <w:rsid w:val="006A11B9"/>
    <w:rsid w:val="006A11F8"/>
    <w:rsid w:val="006A21AA"/>
    <w:rsid w:val="006A3DD3"/>
    <w:rsid w:val="006A4CD0"/>
    <w:rsid w:val="006A5015"/>
    <w:rsid w:val="006A52C0"/>
    <w:rsid w:val="006A5EA6"/>
    <w:rsid w:val="006A6397"/>
    <w:rsid w:val="006B00EC"/>
    <w:rsid w:val="006B09C2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3160"/>
    <w:rsid w:val="006C410C"/>
    <w:rsid w:val="006C4938"/>
    <w:rsid w:val="006C5400"/>
    <w:rsid w:val="006C5701"/>
    <w:rsid w:val="006C63EA"/>
    <w:rsid w:val="006C7168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9E6"/>
    <w:rsid w:val="0070187B"/>
    <w:rsid w:val="007018F3"/>
    <w:rsid w:val="0070377D"/>
    <w:rsid w:val="00703DCE"/>
    <w:rsid w:val="0070412E"/>
    <w:rsid w:val="00705065"/>
    <w:rsid w:val="00705575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DA0"/>
    <w:rsid w:val="00733CD6"/>
    <w:rsid w:val="00733EFA"/>
    <w:rsid w:val="00735810"/>
    <w:rsid w:val="0073669E"/>
    <w:rsid w:val="007403D3"/>
    <w:rsid w:val="00741A5C"/>
    <w:rsid w:val="00741F57"/>
    <w:rsid w:val="00743F41"/>
    <w:rsid w:val="007440BA"/>
    <w:rsid w:val="00745A5A"/>
    <w:rsid w:val="00745BAE"/>
    <w:rsid w:val="007464DD"/>
    <w:rsid w:val="007477B0"/>
    <w:rsid w:val="00750F37"/>
    <w:rsid w:val="00752554"/>
    <w:rsid w:val="00753BFB"/>
    <w:rsid w:val="00753E14"/>
    <w:rsid w:val="00754A5D"/>
    <w:rsid w:val="00754F0F"/>
    <w:rsid w:val="00755D96"/>
    <w:rsid w:val="00757789"/>
    <w:rsid w:val="00757E61"/>
    <w:rsid w:val="0076046C"/>
    <w:rsid w:val="0076051B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16D3"/>
    <w:rsid w:val="00791CE3"/>
    <w:rsid w:val="00792165"/>
    <w:rsid w:val="00792256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DEF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4154"/>
    <w:rsid w:val="007A4163"/>
    <w:rsid w:val="007A4D08"/>
    <w:rsid w:val="007A4E87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EC0"/>
    <w:rsid w:val="007B5BC0"/>
    <w:rsid w:val="007B605F"/>
    <w:rsid w:val="007B61EB"/>
    <w:rsid w:val="007B6A16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721F"/>
    <w:rsid w:val="007C77A9"/>
    <w:rsid w:val="007C7B00"/>
    <w:rsid w:val="007D0000"/>
    <w:rsid w:val="007D3C2D"/>
    <w:rsid w:val="007D46E7"/>
    <w:rsid w:val="007D4D05"/>
    <w:rsid w:val="007D69E8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01FF"/>
    <w:rsid w:val="007F0787"/>
    <w:rsid w:val="007F1B57"/>
    <w:rsid w:val="007F1BE3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078BA"/>
    <w:rsid w:val="00810D58"/>
    <w:rsid w:val="00813BB0"/>
    <w:rsid w:val="0081468E"/>
    <w:rsid w:val="008148EA"/>
    <w:rsid w:val="008162FF"/>
    <w:rsid w:val="00816794"/>
    <w:rsid w:val="00817CA5"/>
    <w:rsid w:val="00817D97"/>
    <w:rsid w:val="008204A3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C2E"/>
    <w:rsid w:val="008310A0"/>
    <w:rsid w:val="0083147D"/>
    <w:rsid w:val="008316D3"/>
    <w:rsid w:val="00831B5C"/>
    <w:rsid w:val="00832915"/>
    <w:rsid w:val="0083434B"/>
    <w:rsid w:val="00835AEA"/>
    <w:rsid w:val="008360D5"/>
    <w:rsid w:val="0083657E"/>
    <w:rsid w:val="008377B9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6F76"/>
    <w:rsid w:val="008500A5"/>
    <w:rsid w:val="00850213"/>
    <w:rsid w:val="0085201A"/>
    <w:rsid w:val="008521EF"/>
    <w:rsid w:val="00852493"/>
    <w:rsid w:val="0085275C"/>
    <w:rsid w:val="00854CDE"/>
    <w:rsid w:val="008555B5"/>
    <w:rsid w:val="008561B0"/>
    <w:rsid w:val="0085734E"/>
    <w:rsid w:val="00857B33"/>
    <w:rsid w:val="00857FB7"/>
    <w:rsid w:val="00860F42"/>
    <w:rsid w:val="008615FB"/>
    <w:rsid w:val="00861AF4"/>
    <w:rsid w:val="00862D21"/>
    <w:rsid w:val="00863141"/>
    <w:rsid w:val="00863414"/>
    <w:rsid w:val="00863D0B"/>
    <w:rsid w:val="00864B3C"/>
    <w:rsid w:val="00870AD3"/>
    <w:rsid w:val="00871836"/>
    <w:rsid w:val="00873CA9"/>
    <w:rsid w:val="008743CA"/>
    <w:rsid w:val="00876653"/>
    <w:rsid w:val="00876C63"/>
    <w:rsid w:val="008776AA"/>
    <w:rsid w:val="00877F04"/>
    <w:rsid w:val="008807AB"/>
    <w:rsid w:val="00880938"/>
    <w:rsid w:val="00881475"/>
    <w:rsid w:val="00881ABF"/>
    <w:rsid w:val="00881B6A"/>
    <w:rsid w:val="00885A35"/>
    <w:rsid w:val="00885A60"/>
    <w:rsid w:val="00885E3A"/>
    <w:rsid w:val="0088693E"/>
    <w:rsid w:val="00886969"/>
    <w:rsid w:val="0089195C"/>
    <w:rsid w:val="008924C3"/>
    <w:rsid w:val="00894784"/>
    <w:rsid w:val="00895A92"/>
    <w:rsid w:val="00897EDA"/>
    <w:rsid w:val="008A1632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3915"/>
    <w:rsid w:val="008B4863"/>
    <w:rsid w:val="008B4BC4"/>
    <w:rsid w:val="008B5B7D"/>
    <w:rsid w:val="008B5F9B"/>
    <w:rsid w:val="008B62FA"/>
    <w:rsid w:val="008C0A21"/>
    <w:rsid w:val="008C125B"/>
    <w:rsid w:val="008C1D32"/>
    <w:rsid w:val="008C3747"/>
    <w:rsid w:val="008C3E8C"/>
    <w:rsid w:val="008C43EC"/>
    <w:rsid w:val="008C48DA"/>
    <w:rsid w:val="008C6F4E"/>
    <w:rsid w:val="008C7F75"/>
    <w:rsid w:val="008D0544"/>
    <w:rsid w:val="008D0694"/>
    <w:rsid w:val="008D07EF"/>
    <w:rsid w:val="008D305A"/>
    <w:rsid w:val="008D36E1"/>
    <w:rsid w:val="008D3B13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78BE"/>
    <w:rsid w:val="008F7950"/>
    <w:rsid w:val="00900DB2"/>
    <w:rsid w:val="00900DF9"/>
    <w:rsid w:val="00901AF1"/>
    <w:rsid w:val="00901E58"/>
    <w:rsid w:val="0090240B"/>
    <w:rsid w:val="00902E77"/>
    <w:rsid w:val="00903C3A"/>
    <w:rsid w:val="00904BAA"/>
    <w:rsid w:val="00906CD4"/>
    <w:rsid w:val="009078C5"/>
    <w:rsid w:val="009100A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2B84"/>
    <w:rsid w:val="00922EB7"/>
    <w:rsid w:val="0092353E"/>
    <w:rsid w:val="00923DA7"/>
    <w:rsid w:val="00924FF7"/>
    <w:rsid w:val="0092542D"/>
    <w:rsid w:val="00927F42"/>
    <w:rsid w:val="009305F8"/>
    <w:rsid w:val="00931425"/>
    <w:rsid w:val="009315BF"/>
    <w:rsid w:val="00931B39"/>
    <w:rsid w:val="00931D85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5E7"/>
    <w:rsid w:val="00946B46"/>
    <w:rsid w:val="00950272"/>
    <w:rsid w:val="00950553"/>
    <w:rsid w:val="009505A7"/>
    <w:rsid w:val="009518D2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876C0"/>
    <w:rsid w:val="00990B79"/>
    <w:rsid w:val="00991640"/>
    <w:rsid w:val="0099203C"/>
    <w:rsid w:val="0099259F"/>
    <w:rsid w:val="00993C18"/>
    <w:rsid w:val="009956F0"/>
    <w:rsid w:val="009970C9"/>
    <w:rsid w:val="009A0380"/>
    <w:rsid w:val="009A092A"/>
    <w:rsid w:val="009A0B42"/>
    <w:rsid w:val="009A1391"/>
    <w:rsid w:val="009A2557"/>
    <w:rsid w:val="009A43B7"/>
    <w:rsid w:val="009A4753"/>
    <w:rsid w:val="009A5101"/>
    <w:rsid w:val="009A5E26"/>
    <w:rsid w:val="009B0424"/>
    <w:rsid w:val="009B09B3"/>
    <w:rsid w:val="009B100E"/>
    <w:rsid w:val="009B15F9"/>
    <w:rsid w:val="009B26BB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1B1"/>
    <w:rsid w:val="009D2540"/>
    <w:rsid w:val="009D2E1A"/>
    <w:rsid w:val="009D3B5A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4084"/>
    <w:rsid w:val="009E43AD"/>
    <w:rsid w:val="009E54DA"/>
    <w:rsid w:val="009E5C47"/>
    <w:rsid w:val="009E60F6"/>
    <w:rsid w:val="009E6DAC"/>
    <w:rsid w:val="009E774E"/>
    <w:rsid w:val="009E7E6A"/>
    <w:rsid w:val="009F29F9"/>
    <w:rsid w:val="009F4117"/>
    <w:rsid w:val="009F4654"/>
    <w:rsid w:val="009F4D0F"/>
    <w:rsid w:val="009F4EDA"/>
    <w:rsid w:val="009F6115"/>
    <w:rsid w:val="009F6AA0"/>
    <w:rsid w:val="009F7607"/>
    <w:rsid w:val="009F7DAC"/>
    <w:rsid w:val="009F7EBA"/>
    <w:rsid w:val="00A01D41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3051"/>
    <w:rsid w:val="00A15C70"/>
    <w:rsid w:val="00A166F0"/>
    <w:rsid w:val="00A167BE"/>
    <w:rsid w:val="00A17D67"/>
    <w:rsid w:val="00A22D40"/>
    <w:rsid w:val="00A236D3"/>
    <w:rsid w:val="00A25128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479D"/>
    <w:rsid w:val="00A34971"/>
    <w:rsid w:val="00A353DD"/>
    <w:rsid w:val="00A35B3D"/>
    <w:rsid w:val="00A35D25"/>
    <w:rsid w:val="00A372B3"/>
    <w:rsid w:val="00A37501"/>
    <w:rsid w:val="00A37B87"/>
    <w:rsid w:val="00A410A4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AD8"/>
    <w:rsid w:val="00A60595"/>
    <w:rsid w:val="00A60609"/>
    <w:rsid w:val="00A607BD"/>
    <w:rsid w:val="00A620DB"/>
    <w:rsid w:val="00A623AE"/>
    <w:rsid w:val="00A624C0"/>
    <w:rsid w:val="00A6324D"/>
    <w:rsid w:val="00A6608F"/>
    <w:rsid w:val="00A673DA"/>
    <w:rsid w:val="00A67AB3"/>
    <w:rsid w:val="00A70BF4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5C8D"/>
    <w:rsid w:val="00AA6676"/>
    <w:rsid w:val="00AA69B3"/>
    <w:rsid w:val="00AA6BAC"/>
    <w:rsid w:val="00AA6C2D"/>
    <w:rsid w:val="00AA7329"/>
    <w:rsid w:val="00AB4CC5"/>
    <w:rsid w:val="00AB55D3"/>
    <w:rsid w:val="00AB572B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513E"/>
    <w:rsid w:val="00AC6B52"/>
    <w:rsid w:val="00AC6B83"/>
    <w:rsid w:val="00AC733E"/>
    <w:rsid w:val="00AD1A7C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90F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55CB"/>
    <w:rsid w:val="00B25FE5"/>
    <w:rsid w:val="00B2668A"/>
    <w:rsid w:val="00B27114"/>
    <w:rsid w:val="00B2796A"/>
    <w:rsid w:val="00B31916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DF2"/>
    <w:rsid w:val="00B464B5"/>
    <w:rsid w:val="00B4686C"/>
    <w:rsid w:val="00B46B41"/>
    <w:rsid w:val="00B47522"/>
    <w:rsid w:val="00B51CE5"/>
    <w:rsid w:val="00B51D56"/>
    <w:rsid w:val="00B51DCC"/>
    <w:rsid w:val="00B51EBD"/>
    <w:rsid w:val="00B523D4"/>
    <w:rsid w:val="00B52D4A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D44"/>
    <w:rsid w:val="00B6249D"/>
    <w:rsid w:val="00B64643"/>
    <w:rsid w:val="00B64D0A"/>
    <w:rsid w:val="00B65F80"/>
    <w:rsid w:val="00B6636B"/>
    <w:rsid w:val="00B66460"/>
    <w:rsid w:val="00B70EC2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4CC5"/>
    <w:rsid w:val="00B84D84"/>
    <w:rsid w:val="00B850EA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15F8"/>
    <w:rsid w:val="00BA1A06"/>
    <w:rsid w:val="00BA3C61"/>
    <w:rsid w:val="00BA40BD"/>
    <w:rsid w:val="00BA4DF2"/>
    <w:rsid w:val="00BA4FF3"/>
    <w:rsid w:val="00BA594B"/>
    <w:rsid w:val="00BA7246"/>
    <w:rsid w:val="00BA7587"/>
    <w:rsid w:val="00BA7F88"/>
    <w:rsid w:val="00BB0856"/>
    <w:rsid w:val="00BB08C2"/>
    <w:rsid w:val="00BB12C6"/>
    <w:rsid w:val="00BB140D"/>
    <w:rsid w:val="00BB2DCE"/>
    <w:rsid w:val="00BB481F"/>
    <w:rsid w:val="00BB4B02"/>
    <w:rsid w:val="00BB6E57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C6D1C"/>
    <w:rsid w:val="00BD13D3"/>
    <w:rsid w:val="00BD2ECE"/>
    <w:rsid w:val="00BD347E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7F4"/>
    <w:rsid w:val="00BE593A"/>
    <w:rsid w:val="00BE5C5C"/>
    <w:rsid w:val="00BF0874"/>
    <w:rsid w:val="00BF35A2"/>
    <w:rsid w:val="00BF3C2F"/>
    <w:rsid w:val="00BF4421"/>
    <w:rsid w:val="00BF4479"/>
    <w:rsid w:val="00BF471E"/>
    <w:rsid w:val="00BF701D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219E"/>
    <w:rsid w:val="00C129DE"/>
    <w:rsid w:val="00C12F7C"/>
    <w:rsid w:val="00C13FFC"/>
    <w:rsid w:val="00C1498B"/>
    <w:rsid w:val="00C1532A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6F39"/>
    <w:rsid w:val="00C27E24"/>
    <w:rsid w:val="00C27E9F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6CA3"/>
    <w:rsid w:val="00C422D4"/>
    <w:rsid w:val="00C43A79"/>
    <w:rsid w:val="00C44D20"/>
    <w:rsid w:val="00C45431"/>
    <w:rsid w:val="00C45F4E"/>
    <w:rsid w:val="00C45FFE"/>
    <w:rsid w:val="00C46379"/>
    <w:rsid w:val="00C46A5D"/>
    <w:rsid w:val="00C47224"/>
    <w:rsid w:val="00C5003E"/>
    <w:rsid w:val="00C50486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AC9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65E2"/>
    <w:rsid w:val="00C67251"/>
    <w:rsid w:val="00C6783B"/>
    <w:rsid w:val="00C6794E"/>
    <w:rsid w:val="00C67F32"/>
    <w:rsid w:val="00C67F8A"/>
    <w:rsid w:val="00C711E5"/>
    <w:rsid w:val="00C7134C"/>
    <w:rsid w:val="00C7403E"/>
    <w:rsid w:val="00C744F6"/>
    <w:rsid w:val="00C74AEF"/>
    <w:rsid w:val="00C74CF3"/>
    <w:rsid w:val="00C758F4"/>
    <w:rsid w:val="00C761C1"/>
    <w:rsid w:val="00C766A4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4D44"/>
    <w:rsid w:val="00C9521B"/>
    <w:rsid w:val="00C9663B"/>
    <w:rsid w:val="00C96C10"/>
    <w:rsid w:val="00CA134D"/>
    <w:rsid w:val="00CA2963"/>
    <w:rsid w:val="00CA347B"/>
    <w:rsid w:val="00CA40E2"/>
    <w:rsid w:val="00CA428E"/>
    <w:rsid w:val="00CA4359"/>
    <w:rsid w:val="00CA4650"/>
    <w:rsid w:val="00CA6DFB"/>
    <w:rsid w:val="00CA7261"/>
    <w:rsid w:val="00CB0946"/>
    <w:rsid w:val="00CB171D"/>
    <w:rsid w:val="00CB1E67"/>
    <w:rsid w:val="00CB2071"/>
    <w:rsid w:val="00CB2838"/>
    <w:rsid w:val="00CB3280"/>
    <w:rsid w:val="00CB3F58"/>
    <w:rsid w:val="00CB4EA2"/>
    <w:rsid w:val="00CB5449"/>
    <w:rsid w:val="00CB57E9"/>
    <w:rsid w:val="00CB6A85"/>
    <w:rsid w:val="00CB6B45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4CB6"/>
    <w:rsid w:val="00CF5807"/>
    <w:rsid w:val="00D001A6"/>
    <w:rsid w:val="00D00213"/>
    <w:rsid w:val="00D0056E"/>
    <w:rsid w:val="00D009E7"/>
    <w:rsid w:val="00D00FAA"/>
    <w:rsid w:val="00D02999"/>
    <w:rsid w:val="00D0369A"/>
    <w:rsid w:val="00D03C3F"/>
    <w:rsid w:val="00D04858"/>
    <w:rsid w:val="00D05340"/>
    <w:rsid w:val="00D055A4"/>
    <w:rsid w:val="00D114F8"/>
    <w:rsid w:val="00D12225"/>
    <w:rsid w:val="00D12690"/>
    <w:rsid w:val="00D1367A"/>
    <w:rsid w:val="00D14231"/>
    <w:rsid w:val="00D14528"/>
    <w:rsid w:val="00D1620D"/>
    <w:rsid w:val="00D164D4"/>
    <w:rsid w:val="00D1690C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3454"/>
    <w:rsid w:val="00D43D99"/>
    <w:rsid w:val="00D45239"/>
    <w:rsid w:val="00D45657"/>
    <w:rsid w:val="00D479FB"/>
    <w:rsid w:val="00D50F15"/>
    <w:rsid w:val="00D512B5"/>
    <w:rsid w:val="00D5193D"/>
    <w:rsid w:val="00D51DDA"/>
    <w:rsid w:val="00D52DBF"/>
    <w:rsid w:val="00D52E46"/>
    <w:rsid w:val="00D5388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709B7"/>
    <w:rsid w:val="00D7270F"/>
    <w:rsid w:val="00D74D67"/>
    <w:rsid w:val="00D751F8"/>
    <w:rsid w:val="00D754A8"/>
    <w:rsid w:val="00D75548"/>
    <w:rsid w:val="00D76797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AEF"/>
    <w:rsid w:val="00D90F55"/>
    <w:rsid w:val="00D9127C"/>
    <w:rsid w:val="00D9149E"/>
    <w:rsid w:val="00D92533"/>
    <w:rsid w:val="00D92CB5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ECF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247"/>
    <w:rsid w:val="00DB0561"/>
    <w:rsid w:val="00DB0C45"/>
    <w:rsid w:val="00DB204E"/>
    <w:rsid w:val="00DB2DF6"/>
    <w:rsid w:val="00DB2F50"/>
    <w:rsid w:val="00DB5E43"/>
    <w:rsid w:val="00DB6C32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160D"/>
    <w:rsid w:val="00DF20C1"/>
    <w:rsid w:val="00DF2900"/>
    <w:rsid w:val="00DF2C61"/>
    <w:rsid w:val="00DF39DE"/>
    <w:rsid w:val="00DF46AC"/>
    <w:rsid w:val="00DF46FA"/>
    <w:rsid w:val="00DF6202"/>
    <w:rsid w:val="00DF64DF"/>
    <w:rsid w:val="00DF6717"/>
    <w:rsid w:val="00E00A95"/>
    <w:rsid w:val="00E011BD"/>
    <w:rsid w:val="00E02157"/>
    <w:rsid w:val="00E02B4D"/>
    <w:rsid w:val="00E02DAF"/>
    <w:rsid w:val="00E02EE5"/>
    <w:rsid w:val="00E033EA"/>
    <w:rsid w:val="00E04E38"/>
    <w:rsid w:val="00E06F3E"/>
    <w:rsid w:val="00E07822"/>
    <w:rsid w:val="00E07880"/>
    <w:rsid w:val="00E111C0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7FF"/>
    <w:rsid w:val="00E33B8C"/>
    <w:rsid w:val="00E3448D"/>
    <w:rsid w:val="00E35269"/>
    <w:rsid w:val="00E35657"/>
    <w:rsid w:val="00E35FB3"/>
    <w:rsid w:val="00E3638E"/>
    <w:rsid w:val="00E364DC"/>
    <w:rsid w:val="00E4016E"/>
    <w:rsid w:val="00E41AF3"/>
    <w:rsid w:val="00E41BE1"/>
    <w:rsid w:val="00E429C7"/>
    <w:rsid w:val="00E42A18"/>
    <w:rsid w:val="00E44722"/>
    <w:rsid w:val="00E44D50"/>
    <w:rsid w:val="00E44FBF"/>
    <w:rsid w:val="00E45C07"/>
    <w:rsid w:val="00E464E5"/>
    <w:rsid w:val="00E509F8"/>
    <w:rsid w:val="00E51FE8"/>
    <w:rsid w:val="00E52936"/>
    <w:rsid w:val="00E53AC2"/>
    <w:rsid w:val="00E53C9C"/>
    <w:rsid w:val="00E54351"/>
    <w:rsid w:val="00E549A0"/>
    <w:rsid w:val="00E54C36"/>
    <w:rsid w:val="00E557E2"/>
    <w:rsid w:val="00E55D8A"/>
    <w:rsid w:val="00E5616F"/>
    <w:rsid w:val="00E56DB5"/>
    <w:rsid w:val="00E60F17"/>
    <w:rsid w:val="00E62AF0"/>
    <w:rsid w:val="00E6313A"/>
    <w:rsid w:val="00E6349B"/>
    <w:rsid w:val="00E643B7"/>
    <w:rsid w:val="00E65216"/>
    <w:rsid w:val="00E664B1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AB3"/>
    <w:rsid w:val="00E90AFC"/>
    <w:rsid w:val="00E90E17"/>
    <w:rsid w:val="00E90EBC"/>
    <w:rsid w:val="00E91441"/>
    <w:rsid w:val="00E92AF2"/>
    <w:rsid w:val="00E92D83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2ADE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ACF"/>
    <w:rsid w:val="00ED18AF"/>
    <w:rsid w:val="00ED1DFF"/>
    <w:rsid w:val="00ED29E0"/>
    <w:rsid w:val="00ED414A"/>
    <w:rsid w:val="00ED4985"/>
    <w:rsid w:val="00ED5D70"/>
    <w:rsid w:val="00ED60E7"/>
    <w:rsid w:val="00ED7FC4"/>
    <w:rsid w:val="00EE046C"/>
    <w:rsid w:val="00EE076D"/>
    <w:rsid w:val="00EE2107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0A8"/>
    <w:rsid w:val="00F14E09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37FAF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52DE"/>
    <w:rsid w:val="00F55A82"/>
    <w:rsid w:val="00F56263"/>
    <w:rsid w:val="00F56E85"/>
    <w:rsid w:val="00F56FF3"/>
    <w:rsid w:val="00F60E8E"/>
    <w:rsid w:val="00F62A38"/>
    <w:rsid w:val="00F62C32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2902"/>
    <w:rsid w:val="00F72981"/>
    <w:rsid w:val="00F74187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90AD4"/>
    <w:rsid w:val="00F90D6A"/>
    <w:rsid w:val="00F91B2A"/>
    <w:rsid w:val="00F91D60"/>
    <w:rsid w:val="00F92943"/>
    <w:rsid w:val="00F92A73"/>
    <w:rsid w:val="00F93255"/>
    <w:rsid w:val="00F93367"/>
    <w:rsid w:val="00F944EE"/>
    <w:rsid w:val="00F94B35"/>
    <w:rsid w:val="00F94ED5"/>
    <w:rsid w:val="00F95ED1"/>
    <w:rsid w:val="00F96BDD"/>
    <w:rsid w:val="00F97180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487"/>
    <w:rsid w:val="00FD19D6"/>
    <w:rsid w:val="00FD234D"/>
    <w:rsid w:val="00FD2658"/>
    <w:rsid w:val="00FD3571"/>
    <w:rsid w:val="00FD38F0"/>
    <w:rsid w:val="00FD508D"/>
    <w:rsid w:val="00FD5E90"/>
    <w:rsid w:val="00FD7C6A"/>
    <w:rsid w:val="00FE023B"/>
    <w:rsid w:val="00FE04E5"/>
    <w:rsid w:val="00FE1359"/>
    <w:rsid w:val="00FE15F3"/>
    <w:rsid w:val="00FE16E3"/>
    <w:rsid w:val="00FE1DF1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F00AA"/>
    <w:rsid w:val="00FF12BF"/>
    <w:rsid w:val="00FF12F0"/>
    <w:rsid w:val="00FF1A70"/>
    <w:rsid w:val="00FF1CBC"/>
    <w:rsid w:val="00FF29A1"/>
    <w:rsid w:val="00FF2AF6"/>
    <w:rsid w:val="00FF2CC9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6</cp:revision>
  <dcterms:created xsi:type="dcterms:W3CDTF">2024-05-12T23:02:00Z</dcterms:created>
  <dcterms:modified xsi:type="dcterms:W3CDTF">2024-05-13T15:06:00Z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