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30" w:rsidRPr="00BE4DD8" w:rsidRDefault="00CB0130" w:rsidP="00CB013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E4DD8">
        <w:rPr>
          <w:rStyle w:val="af7"/>
          <w:rFonts w:ascii="Arial" w:hAnsi="Arial" w:cs="Arial"/>
          <w:b/>
          <w:lang w:eastAsia="en-US"/>
        </w:rPr>
        <w:t>3GPP TSG-RAN WG4 Meeting #110bis</w:t>
      </w:r>
      <w:r w:rsidRPr="00BE4DD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</w:t>
      </w:r>
      <w:r w:rsidR="00A22E36" w:rsidRPr="00A22E36">
        <w:rPr>
          <w:rStyle w:val="af7"/>
          <w:rFonts w:ascii="Arial" w:hAnsi="Arial" w:cs="Arial"/>
          <w:b/>
          <w:lang w:eastAsia="en-US"/>
        </w:rPr>
        <w:t>R4-2404406</w:t>
      </w:r>
    </w:p>
    <w:p w:rsidR="00CB0130" w:rsidRDefault="00CB0130" w:rsidP="00CB013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BE4DD8">
        <w:rPr>
          <w:rStyle w:val="af7"/>
          <w:rFonts w:ascii="Arial" w:hAnsi="Arial" w:cs="Arial"/>
          <w:b/>
          <w:lang w:eastAsia="en-US"/>
        </w:rPr>
        <w:t>Changsha, China, 15 April – 19 April, 2024</w:t>
      </w:r>
    </w:p>
    <w:p w:rsidR="00CE4063" w:rsidRPr="00CB0130" w:rsidRDefault="00CE4063" w:rsidP="00CE406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81B0E" w:rsidRPr="00581B0E">
        <w:rPr>
          <w:rStyle w:val="af7"/>
          <w:rFonts w:ascii="Arial" w:eastAsiaTheme="minorEastAsia" w:hAnsi="Arial" w:cs="Arial"/>
        </w:rPr>
        <w:t>Discussion on performance requirements for NTN in above 10GHz bands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57BA2" w:rsidRPr="00457BA2">
        <w:rPr>
          <w:rStyle w:val="af7"/>
          <w:rFonts w:ascii="Arial" w:eastAsiaTheme="minorEastAsia" w:hAnsi="Arial" w:cs="Arial"/>
        </w:rPr>
        <w:t>6.16.7.1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0" w:name="DocumentFor"/>
      <w:bookmarkEnd w:id="0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E866DE" w:rsidRDefault="00E866DE" w:rsidP="00E866DE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the performance requirements for NTN were not discussed but some baseline for the test case</w:t>
      </w:r>
      <w:r w:rsidR="00E823A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was given in the approved WF [1].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further discuss the performance requirements for </w:t>
      </w:r>
      <w:r w:rsidR="00B140A6">
        <w:rPr>
          <w:rFonts w:hint="eastAsia"/>
          <w:lang w:val="en-US" w:eastAsia="zh-CN"/>
        </w:rPr>
        <w:t xml:space="preserve">NTN in above 10GHz bands </w:t>
      </w:r>
      <w:r>
        <w:rPr>
          <w:rFonts w:hint="eastAsia"/>
          <w:lang w:val="en-US" w:eastAsia="zh-CN"/>
        </w:rPr>
        <w:t xml:space="preserve">and give our proposals.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B7001" w:rsidRDefault="00416DCE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following agreements were derived for the test case </w:t>
      </w:r>
      <w:r w:rsidR="001D5C8D">
        <w:rPr>
          <w:rFonts w:hint="eastAsia"/>
          <w:lang w:val="en-US" w:eastAsia="zh-CN"/>
        </w:rPr>
        <w:t xml:space="preserve">of NTN in above 10GHz bands.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16DCE" w:rsidTr="00416DCE">
        <w:tc>
          <w:tcPr>
            <w:tcW w:w="9857" w:type="dxa"/>
          </w:tcPr>
          <w:p w:rsidR="00416DCE" w:rsidRDefault="00416DCE" w:rsidP="00416DCE">
            <w:pPr>
              <w:outlineLvl w:val="2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6-1: Configuration of test cases</w:t>
            </w:r>
          </w:p>
          <w:p w:rsidR="00416DCE" w:rsidRDefault="00416DCE" w:rsidP="00416DCE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>
              <w:rPr>
                <w:b/>
                <w:bCs/>
                <w:highlight w:val="green"/>
                <w:u w:val="single"/>
                <w:lang w:eastAsia="ja-JP"/>
              </w:rPr>
              <w:t>Agreement:</w:t>
            </w:r>
          </w:p>
          <w:p w:rsidR="00416DCE" w:rsidRDefault="00416DCE" w:rsidP="00416DCE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64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Strive to reuse Rel-17 NR NTN test setup for satellite specific parameters. Any changes, if needed/identified for FR2-NTN, can be considered.</w:t>
            </w:r>
          </w:p>
          <w:p w:rsidR="00416DCE" w:rsidRDefault="00416DCE" w:rsidP="00416DCE">
            <w:pPr>
              <w:outlineLvl w:val="2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6-2: NTN bands above 10 GHz</w:t>
            </w:r>
          </w:p>
          <w:p w:rsidR="00416DCE" w:rsidRDefault="00416DCE" w:rsidP="00416DCE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>
              <w:rPr>
                <w:b/>
                <w:bCs/>
                <w:highlight w:val="green"/>
                <w:u w:val="single"/>
                <w:lang w:eastAsia="ja-JP"/>
              </w:rPr>
              <w:t xml:space="preserve">Agreement: </w:t>
            </w:r>
          </w:p>
          <w:p w:rsidR="00416DCE" w:rsidRDefault="00416DCE" w:rsidP="00416DCE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64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For FR2-NTN Type 1 and Type 2 UEs, the below are baseline. Type 1 and Type 2 UEs can have different sets of test cases.</w:t>
            </w:r>
          </w:p>
          <w:p w:rsidR="00416DCE" w:rsidRDefault="00416DCE" w:rsidP="00416DCE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RRC Idle and Inactive mobility in intra-satellite scenario</w:t>
            </w:r>
          </w:p>
          <w:p w:rsidR="00416DCE" w:rsidRDefault="00416DCE" w:rsidP="00416DCE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UL timing accuracy</w:t>
            </w:r>
          </w:p>
          <w:p w:rsidR="00416DCE" w:rsidRDefault="00416DCE" w:rsidP="00416DCE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L1-RSRP</w:t>
            </w:r>
          </w:p>
          <w:p w:rsidR="00416DCE" w:rsidRDefault="00416DCE" w:rsidP="00416DCE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RLM</w:t>
            </w:r>
          </w:p>
          <w:p w:rsidR="00416DCE" w:rsidRDefault="00416DCE" w:rsidP="00416DCE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L3 measurements in intra-satellite scenario</w:t>
            </w:r>
          </w:p>
          <w:p w:rsidR="00416DCE" w:rsidRDefault="00416DCE" w:rsidP="00416DCE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Intra-satellite Handover</w:t>
            </w:r>
          </w:p>
          <w:p w:rsidR="00416DCE" w:rsidRDefault="00416DCE" w:rsidP="00416DCE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Blind inter-satellite Handover</w:t>
            </w:r>
          </w:p>
          <w:p w:rsidR="00416DCE" w:rsidRPr="00416DCE" w:rsidRDefault="00416DCE" w:rsidP="00416DCE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left="1364" w:firstLineChars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For relative accuracy for intra-frequency measurement, FFS whether to define requirements for intra-sat only based on the assumption of same Rx beam.</w:t>
            </w:r>
          </w:p>
        </w:tc>
      </w:tr>
    </w:tbl>
    <w:p w:rsidR="00416DCE" w:rsidRDefault="00A7083D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baseline</w:t>
      </w:r>
      <w:r>
        <w:rPr>
          <w:rFonts w:hint="eastAsia"/>
          <w:lang w:val="en-US" w:eastAsia="zh-CN"/>
        </w:rPr>
        <w:t xml:space="preserve"> well covered the def</w:t>
      </w:r>
      <w:bookmarkStart w:id="1" w:name="_GoBack"/>
      <w:bookmarkEnd w:id="1"/>
      <w:r>
        <w:rPr>
          <w:rFonts w:hint="eastAsia"/>
          <w:lang w:val="en-US" w:eastAsia="zh-CN"/>
        </w:rPr>
        <w:t xml:space="preserve">ined requirements.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also mentioned to define different test cases for type 1 and type 2 UE.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ut based on the definition, type 1 and type 2 UE only consider different beam steering capability</w:t>
      </w:r>
      <w:r w:rsidR="005A31F5">
        <w:rPr>
          <w:rFonts w:hint="eastAsia"/>
          <w:lang w:val="en-US" w:eastAsia="zh-CN"/>
        </w:rPr>
        <w:t xml:space="preserve"> which makes different</w:t>
      </w:r>
      <w:r>
        <w:rPr>
          <w:rFonts w:hint="eastAsia"/>
          <w:lang w:val="en-US" w:eastAsia="zh-CN"/>
        </w:rPr>
        <w:t xml:space="preserve"> scaling factor</w:t>
      </w:r>
      <w:r w:rsidR="005A31F5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related to beam sweeping</w:t>
      </w:r>
      <w:r w:rsidR="005A31F5">
        <w:rPr>
          <w:rFonts w:hint="eastAsia"/>
          <w:lang w:val="en-US" w:eastAsia="zh-CN"/>
        </w:rPr>
        <w:t xml:space="preserve"> in </w:t>
      </w:r>
      <w:r w:rsidR="005A31F5">
        <w:rPr>
          <w:lang w:val="en-US" w:eastAsia="zh-CN"/>
        </w:rPr>
        <w:t>the</w:t>
      </w:r>
      <w:r w:rsidR="005A31F5">
        <w:rPr>
          <w:rFonts w:hint="eastAsia"/>
          <w:lang w:val="en-US" w:eastAsia="zh-CN"/>
        </w:rPr>
        <w:t xml:space="preserve"> requirements</w:t>
      </w:r>
      <w:r>
        <w:rPr>
          <w:rFonts w:hint="eastAsia"/>
          <w:lang w:val="en-US" w:eastAsia="zh-CN"/>
        </w:rPr>
        <w:t xml:space="preserve">. </w:t>
      </w:r>
      <w:r w:rsidR="005A31F5">
        <w:rPr>
          <w:lang w:val="en-US" w:eastAsia="zh-CN"/>
        </w:rPr>
        <w:t>W</w:t>
      </w:r>
      <w:r w:rsidR="005A31F5">
        <w:rPr>
          <w:rFonts w:hint="eastAsia"/>
          <w:lang w:val="en-US" w:eastAsia="zh-CN"/>
        </w:rPr>
        <w:t>hen defining the test case, the test configuration</w:t>
      </w:r>
      <w:r w:rsidR="00276DA4">
        <w:rPr>
          <w:rFonts w:hint="eastAsia"/>
          <w:lang w:val="en-US" w:eastAsia="zh-CN"/>
        </w:rPr>
        <w:t>s</w:t>
      </w:r>
      <w:r w:rsidR="005A31F5">
        <w:rPr>
          <w:rFonts w:hint="eastAsia"/>
          <w:lang w:val="en-US" w:eastAsia="zh-CN"/>
        </w:rPr>
        <w:t xml:space="preserve"> can be the same. </w:t>
      </w:r>
    </w:p>
    <w:p w:rsidR="00416DCE" w:rsidRPr="006D706A" w:rsidRDefault="000B308D" w:rsidP="0009566B">
      <w:pPr>
        <w:spacing w:beforeLines="100" w:before="240"/>
        <w:rPr>
          <w:b/>
          <w:lang w:val="en-US" w:eastAsia="zh-CN"/>
        </w:rPr>
      </w:pPr>
      <w:r w:rsidRPr="006D706A">
        <w:rPr>
          <w:b/>
          <w:lang w:val="en-US" w:eastAsia="zh-CN"/>
        </w:rPr>
        <w:t>P</w:t>
      </w:r>
      <w:r w:rsidRPr="006D706A">
        <w:rPr>
          <w:rFonts w:hint="eastAsia"/>
          <w:b/>
          <w:lang w:val="en-US" w:eastAsia="zh-CN"/>
        </w:rPr>
        <w:t xml:space="preserve">roposal 1: Define </w:t>
      </w:r>
      <w:r w:rsidR="007E63C2">
        <w:rPr>
          <w:rFonts w:hint="eastAsia"/>
          <w:b/>
          <w:lang w:val="en-US" w:eastAsia="zh-CN"/>
        </w:rPr>
        <w:t>common</w:t>
      </w:r>
      <w:r w:rsidRPr="006D706A">
        <w:rPr>
          <w:rFonts w:hint="eastAsia"/>
          <w:b/>
          <w:lang w:val="en-US" w:eastAsia="zh-CN"/>
        </w:rPr>
        <w:t xml:space="preserve"> test cases for both type 1 UE and type 2 UE. </w:t>
      </w:r>
    </w:p>
    <w:p w:rsidR="00416DCE" w:rsidRDefault="00A70020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UL timing requirements, there are the following agreements: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70020" w:rsidTr="00A70020">
        <w:tc>
          <w:tcPr>
            <w:tcW w:w="9857" w:type="dxa"/>
          </w:tcPr>
          <w:p w:rsidR="00A70020" w:rsidRDefault="00A70020" w:rsidP="00A70020">
            <w:pPr>
              <w:outlineLvl w:val="2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1-6: </w:t>
            </w:r>
            <w:proofErr w:type="spellStart"/>
            <w:r>
              <w:rPr>
                <w:b/>
                <w:u w:val="single"/>
                <w:lang w:eastAsia="ko-KR"/>
              </w:rPr>
              <w:t>Te_NTN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for 60kHz and 120kHz</w:t>
            </w:r>
          </w:p>
          <w:p w:rsidR="00A70020" w:rsidRDefault="00A70020" w:rsidP="00A70020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>
              <w:rPr>
                <w:b/>
                <w:bCs/>
                <w:highlight w:val="green"/>
                <w:u w:val="single"/>
                <w:lang w:eastAsia="ja-JP"/>
              </w:rPr>
              <w:t>Agreement:</w:t>
            </w:r>
          </w:p>
          <w:p w:rsidR="00A70020" w:rsidRDefault="00A70020" w:rsidP="00EA18A0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iCs/>
              </w:rPr>
            </w:pPr>
            <w:r>
              <w:rPr>
                <w:iCs/>
              </w:rPr>
              <w:t>UL 60kHz SCS:</w:t>
            </w:r>
          </w:p>
          <w:p w:rsidR="00A70020" w:rsidRDefault="00A70020" w:rsidP="00EA18A0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iCs/>
              </w:rPr>
            </w:pPr>
            <w:r>
              <w:rPr>
                <w:iCs/>
              </w:rPr>
              <w:t xml:space="preserve">13 </w:t>
            </w:r>
            <w:proofErr w:type="spellStart"/>
            <w:r>
              <w:rPr>
                <w:iCs/>
              </w:rPr>
              <w:t>Ts</w:t>
            </w:r>
            <w:proofErr w:type="spellEnd"/>
            <w:r>
              <w:rPr>
                <w:iCs/>
              </w:rPr>
              <w:t xml:space="preserve"> for all cases with 120kHz/240kHz SSB</w:t>
            </w:r>
          </w:p>
          <w:p w:rsidR="00A70020" w:rsidRDefault="00A70020" w:rsidP="00EA18A0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iCs/>
              </w:rPr>
            </w:pPr>
            <w:r>
              <w:rPr>
                <w:iCs/>
              </w:rPr>
              <w:t>UL 120kHz SCS:</w:t>
            </w:r>
          </w:p>
          <w:p w:rsidR="00A70020" w:rsidRDefault="00A70020" w:rsidP="00EA18A0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iCs/>
              </w:rPr>
            </w:pPr>
            <w:r>
              <w:rPr>
                <w:iCs/>
              </w:rPr>
              <w:t xml:space="preserve">Case 1 and case 2: 7.5 </w:t>
            </w:r>
            <w:proofErr w:type="spellStart"/>
            <w:r>
              <w:rPr>
                <w:iCs/>
              </w:rPr>
              <w:t>Ts</w:t>
            </w:r>
            <w:proofErr w:type="spellEnd"/>
          </w:p>
          <w:p w:rsidR="00A70020" w:rsidRDefault="00A70020" w:rsidP="00EA18A0">
            <w:pPr>
              <w:pStyle w:val="af8"/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iCs/>
              </w:rPr>
            </w:pPr>
            <w:r>
              <w:rPr>
                <w:iCs/>
              </w:rPr>
              <w:t>FFS for the applicable side condition on case 2</w:t>
            </w:r>
          </w:p>
          <w:p w:rsidR="00A70020" w:rsidRDefault="00A70020" w:rsidP="00EA18A0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iCs/>
                <w:highlight w:val="yellow"/>
              </w:rPr>
            </w:pPr>
            <w:r>
              <w:rPr>
                <w:iCs/>
                <w:highlight w:val="yellow"/>
              </w:rPr>
              <w:t xml:space="preserve">Case 3: Higher than 7.5 </w:t>
            </w:r>
            <w:proofErr w:type="spellStart"/>
            <w:r>
              <w:rPr>
                <w:iCs/>
                <w:highlight w:val="yellow"/>
              </w:rPr>
              <w:t>Ts</w:t>
            </w:r>
            <w:proofErr w:type="spellEnd"/>
            <w:r>
              <w:rPr>
                <w:iCs/>
                <w:highlight w:val="yellow"/>
              </w:rPr>
              <w:t xml:space="preserve">, FFS for the exact value </w:t>
            </w:r>
          </w:p>
          <w:p w:rsidR="00A70020" w:rsidRDefault="00A70020" w:rsidP="00A70020">
            <w:pPr>
              <w:outlineLvl w:val="2"/>
              <w:rPr>
                <w:b/>
                <w:u w:val="single"/>
                <w:lang w:eastAsia="ko-KR"/>
              </w:rPr>
            </w:pPr>
            <w:bookmarkStart w:id="2" w:name="_Hlk151008787"/>
            <w:r>
              <w:rPr>
                <w:b/>
                <w:u w:val="single"/>
                <w:lang w:eastAsia="ko-KR"/>
              </w:rPr>
              <w:t xml:space="preserve">Issue 1-6A: </w:t>
            </w:r>
            <w:proofErr w:type="spellStart"/>
            <w:r>
              <w:rPr>
                <w:b/>
                <w:u w:val="single"/>
                <w:lang w:eastAsia="ko-KR"/>
              </w:rPr>
              <w:t>Te_NTN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for 60kHz and 120kHz in Case2</w:t>
            </w:r>
          </w:p>
          <w:p w:rsidR="00A70020" w:rsidRDefault="00A70020" w:rsidP="00A70020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>
              <w:rPr>
                <w:b/>
                <w:bCs/>
                <w:highlight w:val="green"/>
                <w:u w:val="single"/>
                <w:lang w:eastAsia="ja-JP"/>
              </w:rPr>
              <w:t>Agreement: (ad-hoc agreement)</w:t>
            </w:r>
          </w:p>
          <w:bookmarkEnd w:id="2"/>
          <w:p w:rsidR="00A70020" w:rsidRDefault="00A70020" w:rsidP="00EA18A0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proofErr w:type="gramStart"/>
            <w:r>
              <w:rPr>
                <w:lang w:eastAsia="ja-JP"/>
              </w:rPr>
              <w:t>120kHz</w:t>
            </w:r>
            <w:proofErr w:type="gramEnd"/>
            <w:r>
              <w:rPr>
                <w:lang w:eastAsia="ja-JP"/>
              </w:rPr>
              <w:t xml:space="preserve"> of UL SCS in case2, the requirements are applicable only if the ephemeris information be refreshed (i.e. update rate of ephemeris information in SIB19) at least every X seconds.</w:t>
            </w:r>
          </w:p>
          <w:p w:rsidR="00A70020" w:rsidRDefault="00A70020" w:rsidP="00EA18A0">
            <w:pPr>
              <w:pStyle w:val="af8"/>
              <w:widowControl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</w:pPr>
            <w:r>
              <w:t>X= [7] s</w:t>
            </w:r>
          </w:p>
          <w:p w:rsidR="00A70020" w:rsidRDefault="00A70020" w:rsidP="00A70020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Issue 1-6B: </w:t>
            </w:r>
            <w:proofErr w:type="spellStart"/>
            <w:r>
              <w:rPr>
                <w:b/>
                <w:u w:val="single"/>
                <w:lang w:eastAsia="zh-CN"/>
              </w:rPr>
              <w:t>Te_NTN</w:t>
            </w:r>
            <w:proofErr w:type="spellEnd"/>
            <w:r>
              <w:rPr>
                <w:b/>
                <w:u w:val="single"/>
                <w:lang w:eastAsia="zh-CN"/>
              </w:rPr>
              <w:t xml:space="preserve"> for 60kHz and 120kHz in Case3</w:t>
            </w:r>
          </w:p>
          <w:p w:rsidR="00A70020" w:rsidRDefault="00A70020" w:rsidP="00A70020">
            <w:pPr>
              <w:rPr>
                <w:b/>
                <w:highlight w:val="green"/>
                <w:u w:val="single"/>
                <w:lang w:val="en-US" w:eastAsia="zh-CN"/>
              </w:rPr>
            </w:pPr>
            <w:r>
              <w:rPr>
                <w:b/>
                <w:highlight w:val="green"/>
                <w:u w:val="single"/>
                <w:lang w:val="en-US" w:eastAsia="zh-CN"/>
              </w:rPr>
              <w:t>Agreement:</w:t>
            </w:r>
          </w:p>
          <w:p w:rsidR="00A70020" w:rsidRDefault="00A70020" w:rsidP="00EA18A0">
            <w:pPr>
              <w:pStyle w:val="af8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proofErr w:type="gramStart"/>
            <w:r>
              <w:rPr>
                <w:lang w:eastAsia="ja-JP"/>
              </w:rPr>
              <w:t>120kHz</w:t>
            </w:r>
            <w:proofErr w:type="gramEnd"/>
            <w:r>
              <w:rPr>
                <w:lang w:eastAsia="ja-JP"/>
              </w:rPr>
              <w:t xml:space="preserve"> of UL SCS in case3, </w:t>
            </w:r>
            <w:proofErr w:type="spellStart"/>
            <w:r>
              <w:t>Te_NTN</w:t>
            </w:r>
            <w:proofErr w:type="spellEnd"/>
            <w:r>
              <w:t xml:space="preserve"> [</w:t>
            </w:r>
            <w:proofErr w:type="spellStart"/>
            <w:r>
              <w:t>Ts</w:t>
            </w:r>
            <w:proofErr w:type="spellEnd"/>
            <w:r>
              <w:t>] is X.</w:t>
            </w:r>
          </w:p>
          <w:p w:rsidR="00A70020" w:rsidRDefault="00A70020" w:rsidP="00EA18A0">
            <w:pPr>
              <w:pStyle w:val="af8"/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  <w:rPr>
                <w:lang w:eastAsia="en-US"/>
              </w:rPr>
            </w:pPr>
            <w:r>
              <w:t xml:space="preserve">[10] </w:t>
            </w:r>
            <w:proofErr w:type="spellStart"/>
            <w:r>
              <w:t>Ts</w:t>
            </w:r>
            <w:proofErr w:type="spellEnd"/>
          </w:p>
          <w:p w:rsidR="00A70020" w:rsidRDefault="00A70020" w:rsidP="00EA18A0">
            <w:pPr>
              <w:pStyle w:val="af8"/>
              <w:widowControl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180" w:line="276" w:lineRule="auto"/>
              <w:ind w:firstLineChars="0"/>
              <w:contextualSpacing/>
              <w:jc w:val="left"/>
              <w:textAlignment w:val="baseline"/>
            </w:pPr>
            <w:r>
              <w:t>Further discussion on the side condition is not precluded in maintenance part based on contribution driven.</w:t>
            </w:r>
          </w:p>
          <w:p w:rsidR="00EA18A0" w:rsidRDefault="00EA18A0" w:rsidP="00EA18A0">
            <w:pPr>
              <w:pStyle w:val="af8"/>
              <w:widowControl/>
              <w:numPr>
                <w:ilvl w:val="0"/>
                <w:numId w:val="14"/>
              </w:numPr>
              <w:spacing w:before="0" w:after="160" w:line="256" w:lineRule="auto"/>
              <w:ind w:firstLineChars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 1: Stationary UE +  GSO satellite</w:t>
            </w:r>
          </w:p>
          <w:p w:rsidR="00EA18A0" w:rsidRDefault="00EA18A0" w:rsidP="00EA18A0">
            <w:pPr>
              <w:pStyle w:val="af8"/>
              <w:widowControl/>
              <w:numPr>
                <w:ilvl w:val="0"/>
                <w:numId w:val="14"/>
              </w:numPr>
              <w:spacing w:before="0" w:after="160" w:line="256" w:lineRule="auto"/>
              <w:ind w:firstLineChars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 2: Stationary UE + NGSO satellite</w:t>
            </w:r>
          </w:p>
          <w:p w:rsidR="00EA18A0" w:rsidRDefault="00EA18A0" w:rsidP="00EA18A0">
            <w:pPr>
              <w:pStyle w:val="af8"/>
              <w:widowControl/>
              <w:numPr>
                <w:ilvl w:val="0"/>
                <w:numId w:val="14"/>
              </w:numPr>
              <w:spacing w:before="0" w:after="160" w:line="256" w:lineRule="auto"/>
              <w:ind w:firstLineChars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Case 3: Mobile UE + GSO satellite</w:t>
            </w:r>
          </w:p>
          <w:p w:rsidR="00EA18A0" w:rsidRPr="00EA18A0" w:rsidRDefault="00EA18A0" w:rsidP="00EA18A0">
            <w:pPr>
              <w:pStyle w:val="af8"/>
              <w:widowControl/>
              <w:numPr>
                <w:ilvl w:val="0"/>
                <w:numId w:val="14"/>
              </w:numPr>
              <w:spacing w:before="0" w:after="160" w:line="256" w:lineRule="auto"/>
              <w:ind w:firstLineChars="0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Case 4: Mobile UE + NGSO satellite (out of scope of this WI). </w:t>
            </w:r>
          </w:p>
        </w:tc>
      </w:tr>
    </w:tbl>
    <w:p w:rsidR="00A70020" w:rsidRDefault="00A847FE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proofErr w:type="gramStart"/>
      <w:r>
        <w:rPr>
          <w:rFonts w:hint="eastAsia"/>
          <w:lang w:val="en-US" w:eastAsia="zh-CN"/>
        </w:rPr>
        <w:t>60kHz</w:t>
      </w:r>
      <w:proofErr w:type="gramEnd"/>
      <w:r>
        <w:rPr>
          <w:rFonts w:hint="eastAsia"/>
          <w:lang w:val="en-US" w:eastAsia="zh-CN"/>
        </w:rPr>
        <w:t>, the requirements for all the cases are the same</w:t>
      </w:r>
      <w:r w:rsidR="00EA18A0">
        <w:rPr>
          <w:rFonts w:hint="eastAsia"/>
          <w:lang w:val="en-US" w:eastAsia="zh-CN"/>
        </w:rPr>
        <w:t xml:space="preserve">. </w:t>
      </w:r>
      <w:r w:rsidR="00EA18A0">
        <w:rPr>
          <w:lang w:val="en-US" w:eastAsia="zh-CN"/>
        </w:rPr>
        <w:t>T</w:t>
      </w:r>
      <w:r w:rsidR="00EA18A0">
        <w:rPr>
          <w:rFonts w:hint="eastAsia"/>
          <w:lang w:val="en-US" w:eastAsia="zh-CN"/>
        </w:rPr>
        <w:t xml:space="preserve">o reduce </w:t>
      </w:r>
      <w:r w:rsidR="00EA18A0">
        <w:rPr>
          <w:lang w:val="en-US" w:eastAsia="zh-CN"/>
        </w:rPr>
        <w:t>the</w:t>
      </w:r>
      <w:r w:rsidR="00EA18A0">
        <w:rPr>
          <w:rFonts w:hint="eastAsia"/>
          <w:lang w:val="en-US" w:eastAsia="zh-CN"/>
        </w:rPr>
        <w:t xml:space="preserve"> number of test cases, one test for the worst case i.e., case 3 is enough. </w:t>
      </w:r>
      <w:r w:rsidR="00EA18A0">
        <w:rPr>
          <w:lang w:val="en-US" w:eastAsia="zh-CN"/>
        </w:rPr>
        <w:t>F</w:t>
      </w:r>
      <w:r w:rsidR="00EA18A0">
        <w:rPr>
          <w:rFonts w:hint="eastAsia"/>
          <w:lang w:val="en-US" w:eastAsia="zh-CN"/>
        </w:rPr>
        <w:t xml:space="preserve">or </w:t>
      </w:r>
      <w:proofErr w:type="gramStart"/>
      <w:r w:rsidR="00EA18A0">
        <w:rPr>
          <w:rFonts w:hint="eastAsia"/>
          <w:lang w:val="en-US" w:eastAsia="zh-CN"/>
        </w:rPr>
        <w:t>120kHz</w:t>
      </w:r>
      <w:proofErr w:type="gramEnd"/>
      <w:r w:rsidR="00EA18A0">
        <w:rPr>
          <w:rFonts w:hint="eastAsia"/>
          <w:lang w:val="en-US" w:eastAsia="zh-CN"/>
        </w:rPr>
        <w:t xml:space="preserve">, since the requirements are different, different test cases are needed. </w:t>
      </w:r>
    </w:p>
    <w:p w:rsidR="00EA18A0" w:rsidRDefault="00EA18A0" w:rsidP="00EA18A0">
      <w:pPr>
        <w:spacing w:beforeLines="100" w:before="240"/>
        <w:rPr>
          <w:b/>
          <w:lang w:val="en-US" w:eastAsia="zh-CN"/>
        </w:rPr>
      </w:pPr>
      <w:r w:rsidRPr="006D706A">
        <w:rPr>
          <w:b/>
          <w:lang w:val="en-US" w:eastAsia="zh-CN"/>
        </w:rPr>
        <w:t>P</w:t>
      </w:r>
      <w:r w:rsidRPr="006D706A">
        <w:rPr>
          <w:rFonts w:hint="eastAsia"/>
          <w:b/>
          <w:lang w:val="en-US" w:eastAsia="zh-CN"/>
        </w:rPr>
        <w:t xml:space="preserve">roposal </w:t>
      </w:r>
      <w:r w:rsidR="006F2186">
        <w:rPr>
          <w:rFonts w:hint="eastAsia"/>
          <w:b/>
          <w:lang w:val="en-US" w:eastAsia="zh-CN"/>
        </w:rPr>
        <w:t>2</w:t>
      </w:r>
      <w:r w:rsidRPr="006D706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UL timing requirements, </w:t>
      </w:r>
    </w:p>
    <w:p w:rsidR="00EA18A0" w:rsidRDefault="00EA18A0" w:rsidP="00EA18A0">
      <w:pPr>
        <w:pStyle w:val="af8"/>
        <w:numPr>
          <w:ilvl w:val="0"/>
          <w:numId w:val="17"/>
        </w:numPr>
        <w:spacing w:before="0" w:line="240" w:lineRule="auto"/>
        <w:ind w:left="443" w:hangingChars="210" w:hanging="443"/>
        <w:rPr>
          <w:b/>
          <w:lang w:val="en-US"/>
        </w:rPr>
      </w:pPr>
      <w:r>
        <w:rPr>
          <w:rFonts w:hint="eastAsia"/>
          <w:b/>
          <w:lang w:val="en-US"/>
        </w:rPr>
        <w:t>D</w:t>
      </w:r>
      <w:r w:rsidRPr="00EA18A0">
        <w:rPr>
          <w:rFonts w:hint="eastAsia"/>
          <w:b/>
          <w:lang w:val="en-US"/>
        </w:rPr>
        <w:t xml:space="preserve">efine </w:t>
      </w:r>
      <w:r>
        <w:rPr>
          <w:rFonts w:hint="eastAsia"/>
          <w:b/>
          <w:lang w:val="en-US"/>
        </w:rPr>
        <w:t xml:space="preserve">one </w:t>
      </w:r>
      <w:r w:rsidRPr="00EA18A0">
        <w:rPr>
          <w:rFonts w:hint="eastAsia"/>
          <w:b/>
          <w:lang w:val="en-US"/>
        </w:rPr>
        <w:t xml:space="preserve">test </w:t>
      </w:r>
      <w:r>
        <w:rPr>
          <w:rFonts w:hint="eastAsia"/>
          <w:b/>
          <w:lang w:val="en-US"/>
        </w:rPr>
        <w:t xml:space="preserve">case </w:t>
      </w:r>
      <w:r w:rsidRPr="00EA18A0">
        <w:rPr>
          <w:rFonts w:hint="eastAsia"/>
          <w:b/>
          <w:lang w:val="en-US"/>
        </w:rPr>
        <w:t xml:space="preserve">for </w:t>
      </w:r>
      <w:r>
        <w:rPr>
          <w:rFonts w:hint="eastAsia"/>
          <w:b/>
          <w:lang w:val="en-US"/>
        </w:rPr>
        <w:t xml:space="preserve">Case 3 for 60kHz UL SCS, and </w:t>
      </w:r>
    </w:p>
    <w:p w:rsidR="00EA18A0" w:rsidRPr="00EA18A0" w:rsidRDefault="00EA18A0" w:rsidP="00EA18A0">
      <w:pPr>
        <w:pStyle w:val="af8"/>
        <w:numPr>
          <w:ilvl w:val="0"/>
          <w:numId w:val="17"/>
        </w:numPr>
        <w:spacing w:before="0" w:line="240" w:lineRule="auto"/>
        <w:ind w:left="443" w:hangingChars="210" w:hanging="443"/>
        <w:rPr>
          <w:b/>
          <w:lang w:val="en-US"/>
        </w:rPr>
      </w:pPr>
      <w:r>
        <w:rPr>
          <w:rFonts w:hint="eastAsia"/>
          <w:b/>
          <w:lang w:val="en-US"/>
        </w:rPr>
        <w:t>Define separate test cases for Case 1/2/3</w:t>
      </w:r>
      <w:r w:rsidRPr="00EA18A0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 xml:space="preserve">for 120kHz UL SCS. </w:t>
      </w:r>
    </w:p>
    <w:p w:rsidR="006D706A" w:rsidRPr="00180CD0" w:rsidRDefault="006D706A" w:rsidP="0009566B">
      <w:pPr>
        <w:spacing w:beforeLines="100" w:before="240"/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5C5EEB">
        <w:rPr>
          <w:rFonts w:hint="eastAsia"/>
          <w:lang w:val="en-US" w:eastAsia="zh-CN"/>
        </w:rPr>
        <w:t>p</w:t>
      </w:r>
      <w:r w:rsidR="00B43EDA">
        <w:rPr>
          <w:rFonts w:hint="eastAsia"/>
          <w:lang w:val="en-US" w:eastAsia="zh-CN"/>
        </w:rPr>
        <w:t>erformance requirements for NTN in above 10GHz bands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2E1814" w:rsidRPr="006D706A" w:rsidRDefault="002E1814" w:rsidP="002E1814">
      <w:pPr>
        <w:spacing w:beforeLines="100" w:before="240"/>
        <w:rPr>
          <w:b/>
          <w:lang w:val="en-US" w:eastAsia="zh-CN"/>
        </w:rPr>
      </w:pPr>
      <w:r w:rsidRPr="006D706A">
        <w:rPr>
          <w:b/>
          <w:lang w:val="en-US" w:eastAsia="zh-CN"/>
        </w:rPr>
        <w:t>P</w:t>
      </w:r>
      <w:r w:rsidRPr="006D706A">
        <w:rPr>
          <w:rFonts w:hint="eastAsia"/>
          <w:b/>
          <w:lang w:val="en-US" w:eastAsia="zh-CN"/>
        </w:rPr>
        <w:t xml:space="preserve">roposal 1: Define </w:t>
      </w:r>
      <w:r w:rsidR="0096072D">
        <w:rPr>
          <w:rFonts w:hint="eastAsia"/>
          <w:b/>
          <w:lang w:val="en-US" w:eastAsia="zh-CN"/>
        </w:rPr>
        <w:t>common</w:t>
      </w:r>
      <w:r w:rsidRPr="006D706A">
        <w:rPr>
          <w:rFonts w:hint="eastAsia"/>
          <w:b/>
          <w:lang w:val="en-US" w:eastAsia="zh-CN"/>
        </w:rPr>
        <w:t xml:space="preserve"> test cases for both type 1 UE and type 2 UE. </w:t>
      </w:r>
    </w:p>
    <w:p w:rsidR="002E1814" w:rsidRDefault="002E1814" w:rsidP="002E1814">
      <w:pPr>
        <w:spacing w:beforeLines="100" w:before="240"/>
        <w:rPr>
          <w:b/>
          <w:lang w:val="en-US" w:eastAsia="zh-CN"/>
        </w:rPr>
      </w:pPr>
      <w:r w:rsidRPr="006D706A">
        <w:rPr>
          <w:b/>
          <w:lang w:val="en-US" w:eastAsia="zh-CN"/>
        </w:rPr>
        <w:t>P</w:t>
      </w:r>
      <w:r w:rsidRPr="006D706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6D706A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UL timing requirements, </w:t>
      </w:r>
    </w:p>
    <w:p w:rsidR="002E1814" w:rsidRDefault="002E1814" w:rsidP="002E1814">
      <w:pPr>
        <w:pStyle w:val="af8"/>
        <w:numPr>
          <w:ilvl w:val="0"/>
          <w:numId w:val="17"/>
        </w:numPr>
        <w:spacing w:before="0" w:line="240" w:lineRule="auto"/>
        <w:ind w:left="443" w:hangingChars="210" w:hanging="443"/>
        <w:rPr>
          <w:b/>
          <w:lang w:val="en-US"/>
        </w:rPr>
      </w:pPr>
      <w:r>
        <w:rPr>
          <w:rFonts w:hint="eastAsia"/>
          <w:b/>
          <w:lang w:val="en-US"/>
        </w:rPr>
        <w:lastRenderedPageBreak/>
        <w:t>D</w:t>
      </w:r>
      <w:r w:rsidRPr="00EA18A0">
        <w:rPr>
          <w:rFonts w:hint="eastAsia"/>
          <w:b/>
          <w:lang w:val="en-US"/>
        </w:rPr>
        <w:t xml:space="preserve">efine </w:t>
      </w:r>
      <w:r>
        <w:rPr>
          <w:rFonts w:hint="eastAsia"/>
          <w:b/>
          <w:lang w:val="en-US"/>
        </w:rPr>
        <w:t xml:space="preserve">one </w:t>
      </w:r>
      <w:r w:rsidRPr="00EA18A0">
        <w:rPr>
          <w:rFonts w:hint="eastAsia"/>
          <w:b/>
          <w:lang w:val="en-US"/>
        </w:rPr>
        <w:t xml:space="preserve">test </w:t>
      </w:r>
      <w:r>
        <w:rPr>
          <w:rFonts w:hint="eastAsia"/>
          <w:b/>
          <w:lang w:val="en-US"/>
        </w:rPr>
        <w:t xml:space="preserve">case </w:t>
      </w:r>
      <w:r w:rsidRPr="00EA18A0">
        <w:rPr>
          <w:rFonts w:hint="eastAsia"/>
          <w:b/>
          <w:lang w:val="en-US"/>
        </w:rPr>
        <w:t xml:space="preserve">for </w:t>
      </w:r>
      <w:r>
        <w:rPr>
          <w:rFonts w:hint="eastAsia"/>
          <w:b/>
          <w:lang w:val="en-US"/>
        </w:rPr>
        <w:t xml:space="preserve">Case 3 for 60kHz UL SCS, and </w:t>
      </w:r>
    </w:p>
    <w:p w:rsidR="002E1814" w:rsidRPr="00EA18A0" w:rsidRDefault="002E1814" w:rsidP="002E1814">
      <w:pPr>
        <w:pStyle w:val="af8"/>
        <w:numPr>
          <w:ilvl w:val="0"/>
          <w:numId w:val="17"/>
        </w:numPr>
        <w:spacing w:before="0" w:line="240" w:lineRule="auto"/>
        <w:ind w:left="443" w:hangingChars="210" w:hanging="443"/>
        <w:rPr>
          <w:b/>
          <w:lang w:val="en-US"/>
        </w:rPr>
      </w:pPr>
      <w:r>
        <w:rPr>
          <w:rFonts w:hint="eastAsia"/>
          <w:b/>
          <w:lang w:val="en-US"/>
        </w:rPr>
        <w:t>Define separate test cases for Case 1/2/3</w:t>
      </w:r>
      <w:r w:rsidRPr="00EA18A0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 xml:space="preserve">for 120kHz UL SCS. </w:t>
      </w:r>
    </w:p>
    <w:p w:rsidR="000E6CA0" w:rsidRPr="00897449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7009AF" w:rsidRPr="00674058" w:rsidRDefault="007009AF" w:rsidP="007009AF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7009AF">
        <w:t>R4-2403492</w:t>
      </w:r>
      <w:r>
        <w:rPr>
          <w:rFonts w:hint="eastAsia"/>
        </w:rPr>
        <w:t xml:space="preserve"> </w:t>
      </w:r>
      <w:r w:rsidRPr="007009AF">
        <w:t xml:space="preserve">WF on RRM requirements for </w:t>
      </w:r>
      <w:proofErr w:type="spellStart"/>
      <w:r w:rsidRPr="007009AF">
        <w:t>NR_NTN_enh</w:t>
      </w:r>
      <w:proofErr w:type="spellEnd"/>
      <w:r>
        <w:rPr>
          <w:rFonts w:hint="eastAsia"/>
        </w:rPr>
        <w:t>, Qualcomm, RAN4#110</w:t>
      </w:r>
    </w:p>
    <w:sectPr w:rsidR="007009AF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2D5" w:rsidRDefault="00B642D5">
      <w:r>
        <w:separator/>
      </w:r>
    </w:p>
  </w:endnote>
  <w:endnote w:type="continuationSeparator" w:id="0">
    <w:p w:rsidR="00B642D5" w:rsidRDefault="00B64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2D5" w:rsidRDefault="00B642D5">
      <w:r>
        <w:separator/>
      </w:r>
    </w:p>
  </w:footnote>
  <w:footnote w:type="continuationSeparator" w:id="0">
    <w:p w:rsidR="00B642D5" w:rsidRDefault="00B64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C47E87"/>
    <w:multiLevelType w:val="multilevel"/>
    <w:tmpl w:val="0BC47E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B55369B"/>
    <w:multiLevelType w:val="hybridMultilevel"/>
    <w:tmpl w:val="9738C262"/>
    <w:lvl w:ilvl="0" w:tplc="8D9ADA5C">
      <w:start w:val="1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>
    <w:nsid w:val="578E3572"/>
    <w:multiLevelType w:val="hybridMultilevel"/>
    <w:tmpl w:val="0ECCF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9"/>
  </w:num>
  <w:num w:numId="6">
    <w:abstractNumId w:val="12"/>
  </w:num>
  <w:num w:numId="7">
    <w:abstractNumId w:val="7"/>
  </w:num>
  <w:num w:numId="8">
    <w:abstractNumId w:val="0"/>
  </w:num>
  <w:num w:numId="9">
    <w:abstractNumId w:val="12"/>
  </w:num>
  <w:num w:numId="10">
    <w:abstractNumId w:val="3"/>
  </w:num>
  <w:num w:numId="11">
    <w:abstractNumId w:val="12"/>
  </w:num>
  <w:num w:numId="12">
    <w:abstractNumId w:val="8"/>
  </w:num>
  <w:num w:numId="13">
    <w:abstractNumId w:val="3"/>
  </w:num>
  <w:num w:numId="14">
    <w:abstractNumId w:val="8"/>
  </w:num>
  <w:num w:numId="15">
    <w:abstractNumId w:val="1"/>
  </w:num>
  <w:num w:numId="16">
    <w:abstractNumId w:val="6"/>
  </w:num>
  <w:num w:numId="1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E47"/>
    <w:rsid w:val="0005640B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08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0CD0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5C8D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6DA4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1814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4F8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9E2"/>
    <w:rsid w:val="00413D8A"/>
    <w:rsid w:val="00413FC7"/>
    <w:rsid w:val="00416DCE"/>
    <w:rsid w:val="0041762A"/>
    <w:rsid w:val="00420209"/>
    <w:rsid w:val="004206C9"/>
    <w:rsid w:val="00420D67"/>
    <w:rsid w:val="00421734"/>
    <w:rsid w:val="00421A57"/>
    <w:rsid w:val="00421E27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1E1"/>
    <w:rsid w:val="00454779"/>
    <w:rsid w:val="00454CBD"/>
    <w:rsid w:val="0045573E"/>
    <w:rsid w:val="00455E77"/>
    <w:rsid w:val="004572B5"/>
    <w:rsid w:val="00457BA2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2842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1B0E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7E1"/>
    <w:rsid w:val="00596A03"/>
    <w:rsid w:val="005A01D5"/>
    <w:rsid w:val="005A142A"/>
    <w:rsid w:val="005A1468"/>
    <w:rsid w:val="005A2462"/>
    <w:rsid w:val="005A2D48"/>
    <w:rsid w:val="005A31F5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5EEB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5147"/>
    <w:rsid w:val="006B67FE"/>
    <w:rsid w:val="006B69D4"/>
    <w:rsid w:val="006B7517"/>
    <w:rsid w:val="006C05FE"/>
    <w:rsid w:val="006C15A1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06A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186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9AF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0B27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3C2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38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A18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072D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E0C"/>
    <w:rsid w:val="009C302E"/>
    <w:rsid w:val="009C312B"/>
    <w:rsid w:val="009C4438"/>
    <w:rsid w:val="009C4BD4"/>
    <w:rsid w:val="009C5555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2E36"/>
    <w:rsid w:val="00A235A5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020"/>
    <w:rsid w:val="00A7013E"/>
    <w:rsid w:val="00A7083D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47FE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042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0A6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3D7B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3EDA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2D5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130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2AE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7DC"/>
    <w:rsid w:val="00D916F8"/>
    <w:rsid w:val="00D91944"/>
    <w:rsid w:val="00D91C71"/>
    <w:rsid w:val="00D920BD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23A2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66DE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18A0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D00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83B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목록,목록 단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목록,목록 단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4</cp:revision>
  <cp:lastPrinted>2009-01-30T04:53:00Z</cp:lastPrinted>
  <dcterms:created xsi:type="dcterms:W3CDTF">2024-04-08T21:28:00Z</dcterms:created>
  <dcterms:modified xsi:type="dcterms:W3CDTF">2024-04-08T21:29:00Z</dcterms:modified>
</cp:coreProperties>
</file>