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FFE14" w14:textId="3C6D9897"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3A082C">
        <w:rPr>
          <w:rFonts w:cs="Arial"/>
          <w:noProof w:val="0"/>
          <w:sz w:val="22"/>
          <w:szCs w:val="22"/>
        </w:rPr>
        <w:t>RAN</w:t>
      </w:r>
      <w:r w:rsidRPr="00DA53A0">
        <w:rPr>
          <w:rFonts w:cs="Arial"/>
          <w:bCs/>
          <w:sz w:val="22"/>
          <w:szCs w:val="22"/>
        </w:rPr>
        <w:t xml:space="preserve"> WG </w:t>
      </w:r>
      <w:bookmarkEnd w:id="0"/>
      <w:bookmarkEnd w:id="1"/>
      <w:bookmarkEnd w:id="2"/>
      <w:r w:rsidR="003A082C">
        <w:rPr>
          <w:rFonts w:cs="Arial"/>
          <w:bCs/>
          <w:sz w:val="22"/>
          <w:szCs w:val="22"/>
        </w:rPr>
        <w:t>4</w:t>
      </w:r>
      <w:r w:rsidRPr="00DA53A0">
        <w:rPr>
          <w:rFonts w:cs="Arial"/>
          <w:bCs/>
          <w:sz w:val="22"/>
          <w:szCs w:val="22"/>
        </w:rPr>
        <w:t xml:space="preserve"> Meeting </w:t>
      </w:r>
      <w:r w:rsidR="003A082C">
        <w:rPr>
          <w:rFonts w:cs="Arial"/>
          <w:noProof w:val="0"/>
          <w:sz w:val="22"/>
          <w:szCs w:val="22"/>
        </w:rPr>
        <w:t>#1</w:t>
      </w:r>
      <w:r w:rsidR="00046709">
        <w:rPr>
          <w:rFonts w:cs="Arial"/>
          <w:noProof w:val="0"/>
          <w:sz w:val="22"/>
          <w:szCs w:val="22"/>
        </w:rPr>
        <w:t>10</w:t>
      </w:r>
      <w:r w:rsidR="003A082C">
        <w:rPr>
          <w:rFonts w:cs="Arial"/>
          <w:noProof w:val="0"/>
          <w:sz w:val="22"/>
          <w:szCs w:val="22"/>
        </w:rPr>
        <w:tab/>
      </w:r>
      <w:r w:rsidR="003A082C">
        <w:rPr>
          <w:rFonts w:cs="Arial"/>
          <w:noProof w:val="0"/>
          <w:sz w:val="22"/>
          <w:szCs w:val="22"/>
        </w:rPr>
        <w:tab/>
      </w:r>
      <w:r w:rsidRPr="00DA53A0">
        <w:rPr>
          <w:rFonts w:cs="Arial"/>
          <w:bCs/>
          <w:sz w:val="22"/>
          <w:szCs w:val="22"/>
        </w:rPr>
        <w:t xml:space="preserve">TDoc </w:t>
      </w:r>
      <w:r w:rsidR="003A082C">
        <w:rPr>
          <w:rFonts w:cs="Arial"/>
          <w:noProof w:val="0"/>
          <w:sz w:val="22"/>
          <w:szCs w:val="22"/>
        </w:rPr>
        <w:t>R4-2</w:t>
      </w:r>
      <w:r w:rsidR="00046709">
        <w:rPr>
          <w:rFonts w:cs="Arial"/>
          <w:noProof w:val="0"/>
          <w:sz w:val="22"/>
          <w:szCs w:val="22"/>
        </w:rPr>
        <w:t>40</w:t>
      </w:r>
      <w:r w:rsidR="00C1260F">
        <w:rPr>
          <w:rFonts w:cs="Arial"/>
          <w:noProof w:val="0"/>
          <w:sz w:val="22"/>
          <w:szCs w:val="22"/>
        </w:rPr>
        <w:t>0687</w:t>
      </w:r>
    </w:p>
    <w:p w14:paraId="3A4304A8" w14:textId="6A8A8D0D" w:rsidR="004E3939" w:rsidRPr="00DA53A0" w:rsidRDefault="00046709" w:rsidP="004E3939">
      <w:pPr>
        <w:pStyle w:val="Header"/>
        <w:rPr>
          <w:sz w:val="22"/>
          <w:szCs w:val="22"/>
        </w:rPr>
      </w:pPr>
      <w:r>
        <w:rPr>
          <w:sz w:val="22"/>
          <w:szCs w:val="22"/>
        </w:rPr>
        <w:t>Athens</w:t>
      </w:r>
      <w:r w:rsidR="004E3939" w:rsidRPr="00DA53A0">
        <w:rPr>
          <w:sz w:val="22"/>
          <w:szCs w:val="22"/>
        </w:rPr>
        <w:t xml:space="preserve">, </w:t>
      </w:r>
      <w:r>
        <w:rPr>
          <w:sz w:val="22"/>
          <w:szCs w:val="22"/>
        </w:rPr>
        <w:t>Greece</w:t>
      </w:r>
      <w:r w:rsidR="003A082C">
        <w:rPr>
          <w:sz w:val="22"/>
          <w:szCs w:val="22"/>
        </w:rPr>
        <w:t>,</w:t>
      </w:r>
      <w:r w:rsidR="004E3939" w:rsidRPr="00DA53A0">
        <w:rPr>
          <w:sz w:val="22"/>
          <w:szCs w:val="22"/>
        </w:rPr>
        <w:t xml:space="preserve"> </w:t>
      </w:r>
      <w:r w:rsidR="003A082C">
        <w:rPr>
          <w:sz w:val="22"/>
          <w:szCs w:val="22"/>
        </w:rPr>
        <w:t>2</w:t>
      </w:r>
      <w:r>
        <w:rPr>
          <w:sz w:val="22"/>
          <w:szCs w:val="22"/>
        </w:rPr>
        <w:t>6 February</w:t>
      </w:r>
      <w:r w:rsidR="003A082C">
        <w:rPr>
          <w:sz w:val="22"/>
          <w:szCs w:val="22"/>
        </w:rPr>
        <w:t xml:space="preserve"> – </w:t>
      </w:r>
      <w:r>
        <w:rPr>
          <w:sz w:val="22"/>
          <w:szCs w:val="22"/>
        </w:rPr>
        <w:t>1</w:t>
      </w:r>
      <w:r w:rsidR="003A082C">
        <w:rPr>
          <w:sz w:val="22"/>
          <w:szCs w:val="22"/>
        </w:rPr>
        <w:t xml:space="preserve"> </w:t>
      </w:r>
      <w:r>
        <w:rPr>
          <w:sz w:val="22"/>
          <w:szCs w:val="22"/>
        </w:rPr>
        <w:t>March</w:t>
      </w:r>
      <w:r w:rsidR="003A082C">
        <w:rPr>
          <w:sz w:val="22"/>
          <w:szCs w:val="22"/>
        </w:rPr>
        <w:t xml:space="preserve"> 202</w:t>
      </w:r>
      <w:r>
        <w:rPr>
          <w:sz w:val="22"/>
          <w:szCs w:val="22"/>
        </w:rPr>
        <w:t>4</w:t>
      </w:r>
    </w:p>
    <w:p w14:paraId="38168523" w14:textId="77777777" w:rsidR="00B97703" w:rsidRDefault="00B97703">
      <w:pPr>
        <w:rPr>
          <w:rFonts w:ascii="Arial" w:hAnsi="Arial" w:cs="Arial"/>
        </w:rPr>
      </w:pPr>
    </w:p>
    <w:p w14:paraId="52FE5CF7" w14:textId="3FEFA54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F5E07">
        <w:rPr>
          <w:rFonts w:ascii="Arial" w:hAnsi="Arial" w:cs="Arial"/>
          <w:b/>
          <w:sz w:val="22"/>
          <w:szCs w:val="22"/>
        </w:rPr>
        <w:t xml:space="preserve">Reply </w:t>
      </w:r>
      <w:r w:rsidRPr="004E3939">
        <w:rPr>
          <w:rFonts w:ascii="Arial" w:hAnsi="Arial" w:cs="Arial"/>
          <w:b/>
          <w:sz w:val="22"/>
          <w:szCs w:val="22"/>
        </w:rPr>
        <w:t xml:space="preserve">LS on </w:t>
      </w:r>
      <w:r w:rsidR="00AE19C2" w:rsidRPr="00AE19C2">
        <w:rPr>
          <w:rFonts w:ascii="Arial" w:hAnsi="Arial" w:cs="Arial"/>
          <w:b/>
          <w:sz w:val="22"/>
          <w:szCs w:val="22"/>
        </w:rPr>
        <w:t>in-block output power requirements for bands n100 and n101 and on additional unwanted emission limits for band n100</w:t>
      </w:r>
    </w:p>
    <w:p w14:paraId="034153FD" w14:textId="4DA1BF39"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roofErr w:type="gramStart"/>
      <w:r w:rsidR="00D21978" w:rsidRPr="00D21978">
        <w:rPr>
          <w:rFonts w:ascii="Arial" w:hAnsi="Arial" w:cs="Arial"/>
          <w:b/>
          <w:bCs/>
          <w:sz w:val="22"/>
          <w:szCs w:val="22"/>
        </w:rPr>
        <w:t>FM(</w:t>
      </w:r>
      <w:proofErr w:type="gramEnd"/>
      <w:r w:rsidR="00D21978" w:rsidRPr="00D21978">
        <w:rPr>
          <w:rFonts w:ascii="Arial" w:hAnsi="Arial" w:cs="Arial"/>
          <w:b/>
          <w:bCs/>
          <w:sz w:val="22"/>
          <w:szCs w:val="22"/>
        </w:rPr>
        <w:t>24)058Annex24</w:t>
      </w:r>
    </w:p>
    <w:p w14:paraId="7C3FC5BB" w14:textId="2D42187B"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C4CC6">
        <w:rPr>
          <w:rFonts w:ascii="Arial" w:hAnsi="Arial" w:cs="Arial"/>
          <w:b/>
          <w:bCs/>
          <w:sz w:val="22"/>
          <w:szCs w:val="22"/>
        </w:rPr>
        <w:t>1</w:t>
      </w:r>
      <w:r w:rsidR="00A04C6F">
        <w:rPr>
          <w:rFonts w:ascii="Arial" w:hAnsi="Arial" w:cs="Arial"/>
          <w:b/>
          <w:bCs/>
          <w:sz w:val="22"/>
          <w:szCs w:val="22"/>
        </w:rPr>
        <w:t>7</w:t>
      </w:r>
    </w:p>
    <w:bookmarkEnd w:id="5"/>
    <w:bookmarkEnd w:id="6"/>
    <w:bookmarkEnd w:id="7"/>
    <w:p w14:paraId="35919950" w14:textId="196380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E19C2" w:rsidRPr="00AE19C2">
        <w:rPr>
          <w:rFonts w:ascii="Arial" w:hAnsi="Arial" w:cs="Arial"/>
          <w:b/>
          <w:bCs/>
          <w:sz w:val="22"/>
          <w:szCs w:val="22"/>
        </w:rPr>
        <w:t>Introduction of 900MHz NR band for Europe for Rail Mobile Radio (RMR)</w:t>
      </w:r>
      <w:r w:rsidR="00AE19C2">
        <w:rPr>
          <w:rFonts w:ascii="Arial" w:hAnsi="Arial" w:cs="Arial"/>
          <w:b/>
          <w:bCs/>
          <w:sz w:val="22"/>
          <w:szCs w:val="22"/>
        </w:rPr>
        <w:t xml:space="preserve"> (</w:t>
      </w:r>
      <w:r w:rsidR="00AE19C2" w:rsidRPr="00AE19C2">
        <w:rPr>
          <w:rFonts w:ascii="Arial" w:hAnsi="Arial" w:cs="Arial"/>
          <w:b/>
          <w:bCs/>
          <w:sz w:val="22"/>
          <w:szCs w:val="22"/>
        </w:rPr>
        <w:t>NR_RAIL_EU_900MHz</w:t>
      </w:r>
      <w:r w:rsidR="00AE19C2">
        <w:rPr>
          <w:rFonts w:ascii="Arial" w:hAnsi="Arial" w:cs="Arial"/>
          <w:b/>
          <w:bCs/>
          <w:sz w:val="22"/>
          <w:szCs w:val="22"/>
        </w:rPr>
        <w:t xml:space="preserve">), </w:t>
      </w:r>
      <w:r w:rsidR="00A04C6F" w:rsidRPr="00A04C6F">
        <w:rPr>
          <w:rFonts w:ascii="Arial" w:hAnsi="Arial" w:cs="Arial"/>
          <w:b/>
          <w:bCs/>
          <w:sz w:val="22"/>
          <w:szCs w:val="22"/>
        </w:rPr>
        <w:t>Introduction of 1900MHz NR band for Europe for Rail Mobile Radio (RMR)</w:t>
      </w:r>
      <w:r w:rsidRPr="00B97703">
        <w:rPr>
          <w:rFonts w:ascii="Arial" w:hAnsi="Arial" w:cs="Arial"/>
          <w:b/>
          <w:bCs/>
          <w:sz w:val="22"/>
          <w:szCs w:val="22"/>
        </w:rPr>
        <w:t xml:space="preserve"> </w:t>
      </w:r>
      <w:r w:rsidR="001C4CC6">
        <w:rPr>
          <w:rFonts w:ascii="Arial" w:hAnsi="Arial" w:cs="Arial"/>
          <w:b/>
          <w:bCs/>
          <w:sz w:val="22"/>
          <w:szCs w:val="22"/>
        </w:rPr>
        <w:t>(</w:t>
      </w:r>
      <w:r w:rsidR="00A04C6F" w:rsidRPr="00A04C6F">
        <w:rPr>
          <w:rFonts w:ascii="Arial" w:hAnsi="Arial" w:cs="Arial"/>
          <w:b/>
          <w:bCs/>
          <w:sz w:val="22"/>
          <w:szCs w:val="22"/>
        </w:rPr>
        <w:t>NR_RAIL_EU_1900MHz_TDD</w:t>
      </w:r>
      <w:r w:rsidR="001C4CC6">
        <w:rPr>
          <w:rFonts w:ascii="Arial" w:hAnsi="Arial" w:cs="Arial"/>
          <w:b/>
          <w:bCs/>
          <w:sz w:val="22"/>
          <w:szCs w:val="22"/>
        </w:rPr>
        <w:t>)</w:t>
      </w:r>
    </w:p>
    <w:p w14:paraId="2DB35EB7" w14:textId="77777777" w:rsidR="00B97703" w:rsidRPr="004E3939" w:rsidRDefault="00B97703">
      <w:pPr>
        <w:spacing w:after="60"/>
        <w:ind w:left="1985" w:hanging="1985"/>
        <w:rPr>
          <w:rFonts w:ascii="Arial" w:hAnsi="Arial" w:cs="Arial"/>
          <w:b/>
          <w:sz w:val="22"/>
          <w:szCs w:val="22"/>
        </w:rPr>
      </w:pPr>
    </w:p>
    <w:p w14:paraId="5545655A" w14:textId="32866DC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E19C2" w:rsidRPr="001C4CC6">
        <w:rPr>
          <w:rFonts w:ascii="Arial" w:hAnsi="Arial" w:cs="Arial"/>
          <w:b/>
          <w:sz w:val="22"/>
          <w:szCs w:val="22"/>
        </w:rPr>
        <w:t>Nokia, Nokia Shanghai Bell</w:t>
      </w:r>
      <w:r w:rsidR="00AE19C2">
        <w:rPr>
          <w:rFonts w:ascii="Arial" w:hAnsi="Arial" w:cs="Arial"/>
          <w:b/>
          <w:sz w:val="22"/>
          <w:szCs w:val="22"/>
        </w:rPr>
        <w:t>, UIC</w:t>
      </w:r>
    </w:p>
    <w:p w14:paraId="624E037D" w14:textId="4413808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E19C2">
        <w:rPr>
          <w:rFonts w:ascii="Arial" w:hAnsi="Arial" w:cs="Arial"/>
          <w:b/>
          <w:bCs/>
          <w:sz w:val="22"/>
          <w:szCs w:val="22"/>
        </w:rPr>
        <w:t xml:space="preserve">CEPT ECC </w:t>
      </w:r>
      <w:r w:rsidR="00AE19C2" w:rsidRPr="001C4CC6">
        <w:rPr>
          <w:rFonts w:ascii="Arial" w:hAnsi="Arial" w:cs="Arial"/>
          <w:b/>
          <w:bCs/>
          <w:sz w:val="22"/>
          <w:szCs w:val="22"/>
        </w:rPr>
        <w:t>WG FM</w:t>
      </w:r>
    </w:p>
    <w:p w14:paraId="65E8AB6C" w14:textId="55F71153"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AE19C2">
        <w:rPr>
          <w:rFonts w:ascii="Arial" w:hAnsi="Arial" w:cs="Arial"/>
          <w:b/>
          <w:bCs/>
          <w:sz w:val="22"/>
          <w:szCs w:val="22"/>
        </w:rPr>
        <w:t>RAN</w:t>
      </w:r>
    </w:p>
    <w:bookmarkEnd w:id="8"/>
    <w:bookmarkEnd w:id="9"/>
    <w:p w14:paraId="2A054659" w14:textId="77777777" w:rsidR="00B97703" w:rsidRDefault="00B97703">
      <w:pPr>
        <w:spacing w:after="60"/>
        <w:ind w:left="1985" w:hanging="1985"/>
        <w:rPr>
          <w:rFonts w:ascii="Arial" w:hAnsi="Arial" w:cs="Arial"/>
          <w:bCs/>
        </w:rPr>
      </w:pPr>
    </w:p>
    <w:p w14:paraId="27687E54" w14:textId="5BA429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F6376">
        <w:rPr>
          <w:rFonts w:ascii="Arial" w:hAnsi="Arial" w:cs="Arial"/>
          <w:b/>
          <w:bCs/>
          <w:sz w:val="22"/>
          <w:szCs w:val="22"/>
        </w:rPr>
        <w:t>Man Hung Ng</w:t>
      </w:r>
    </w:p>
    <w:p w14:paraId="6EC3269E" w14:textId="453BCB8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F6376">
        <w:rPr>
          <w:rFonts w:ascii="Arial" w:hAnsi="Arial" w:cs="Arial"/>
          <w:b/>
          <w:bCs/>
          <w:sz w:val="22"/>
          <w:szCs w:val="22"/>
        </w:rPr>
        <w:t>man_hung.ng@nokia.com</w:t>
      </w:r>
    </w:p>
    <w:p w14:paraId="4FAD6DE3" w14:textId="2F17E8CF"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B5D8C4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5EDB98CC" w14:textId="77777777" w:rsidR="00383545" w:rsidRDefault="00383545">
      <w:pPr>
        <w:spacing w:after="60"/>
        <w:ind w:left="1985" w:hanging="1985"/>
        <w:rPr>
          <w:rFonts w:ascii="Arial" w:hAnsi="Arial" w:cs="Arial"/>
          <w:b/>
        </w:rPr>
      </w:pPr>
    </w:p>
    <w:p w14:paraId="2981A081" w14:textId="052528C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32A7B" w:rsidRPr="00D32A7B">
        <w:rPr>
          <w:rFonts w:ascii="Arial" w:hAnsi="Arial" w:cs="Arial"/>
          <w:b/>
        </w:rPr>
        <w:t>R4-240xxxxx</w:t>
      </w:r>
    </w:p>
    <w:p w14:paraId="6CF738E5" w14:textId="77777777" w:rsidR="00B97703" w:rsidRDefault="00B97703">
      <w:pPr>
        <w:rPr>
          <w:rFonts w:ascii="Arial" w:hAnsi="Arial" w:cs="Arial"/>
        </w:rPr>
      </w:pPr>
    </w:p>
    <w:p w14:paraId="634EA6B2" w14:textId="77777777" w:rsidR="00B97703" w:rsidRDefault="000F6242" w:rsidP="00B97703">
      <w:pPr>
        <w:pStyle w:val="Heading1"/>
      </w:pPr>
      <w:r>
        <w:t>1</w:t>
      </w:r>
      <w:r w:rsidR="002F1940">
        <w:tab/>
      </w:r>
      <w:r>
        <w:t>Overall description</w:t>
      </w:r>
    </w:p>
    <w:p w14:paraId="3E5AFC42" w14:textId="118E345B" w:rsidR="00AE19C2" w:rsidRPr="002552B0" w:rsidRDefault="00AE19C2" w:rsidP="00AE19C2">
      <w:pPr>
        <w:rPr>
          <w:rFonts w:ascii="Arial" w:hAnsi="Arial" w:cs="Arial"/>
        </w:rPr>
      </w:pPr>
      <w:r w:rsidRPr="002552B0">
        <w:rPr>
          <w:rFonts w:ascii="Arial" w:hAnsi="Arial" w:cs="Arial"/>
        </w:rPr>
        <w:t xml:space="preserve">RAN4 would like to thank WG FM for the reply LS </w:t>
      </w:r>
      <w:bookmarkStart w:id="10" w:name="_Hlk158990030"/>
      <w:proofErr w:type="gramStart"/>
      <w:r w:rsidR="00D32A7B" w:rsidRPr="00D32A7B">
        <w:rPr>
          <w:rFonts w:ascii="Arial" w:hAnsi="Arial" w:cs="Arial"/>
        </w:rPr>
        <w:t>FM(</w:t>
      </w:r>
      <w:proofErr w:type="gramEnd"/>
      <w:r w:rsidR="00D32A7B" w:rsidRPr="00D32A7B">
        <w:rPr>
          <w:rFonts w:ascii="Arial" w:hAnsi="Arial" w:cs="Arial"/>
        </w:rPr>
        <w:t>24)058Annex24</w:t>
      </w:r>
      <w:bookmarkEnd w:id="10"/>
      <w:r w:rsidRPr="002552B0">
        <w:rPr>
          <w:rFonts w:ascii="Arial" w:hAnsi="Arial" w:cs="Arial"/>
        </w:rPr>
        <w:t xml:space="preserve"> on </w:t>
      </w:r>
      <w:r w:rsidR="00EA63D2" w:rsidRPr="00EA63D2">
        <w:rPr>
          <w:rFonts w:ascii="Arial" w:hAnsi="Arial" w:cs="Arial"/>
        </w:rPr>
        <w:t>in-block output power requirements for bands n100 and n101 and on additional unwanted emission limits for band n100</w:t>
      </w:r>
      <w:r w:rsidRPr="002552B0">
        <w:rPr>
          <w:rFonts w:ascii="Arial" w:hAnsi="Arial" w:cs="Arial"/>
        </w:rPr>
        <w:t>, and would like to provide further information regarding the guidance in the reply LS.</w:t>
      </w:r>
    </w:p>
    <w:p w14:paraId="438C482B" w14:textId="39FDF5D8" w:rsidR="00AE19C2" w:rsidRPr="00C36FD7" w:rsidRDefault="00AE19C2" w:rsidP="00AE19C2">
      <w:pPr>
        <w:rPr>
          <w:rFonts w:ascii="Arial" w:hAnsi="Arial" w:cs="Arial"/>
          <w:b/>
          <w:bCs/>
        </w:rPr>
      </w:pPr>
      <w:r w:rsidRPr="00C36FD7">
        <w:rPr>
          <w:rFonts w:ascii="Arial" w:hAnsi="Arial" w:cs="Arial"/>
          <w:b/>
          <w:bCs/>
        </w:rPr>
        <w:t>1.1</w:t>
      </w:r>
      <w:r w:rsidRPr="00C36FD7">
        <w:rPr>
          <w:rFonts w:ascii="Arial" w:hAnsi="Arial" w:cs="Arial"/>
          <w:b/>
          <w:bCs/>
        </w:rPr>
        <w:tab/>
      </w:r>
      <w:r w:rsidR="00EA63D2" w:rsidRPr="00C36FD7">
        <w:rPr>
          <w:rFonts w:ascii="Arial" w:hAnsi="Arial" w:cs="Arial"/>
          <w:b/>
          <w:bCs/>
        </w:rPr>
        <w:t>In-block output power requirements for bands n100 and n101</w:t>
      </w:r>
    </w:p>
    <w:p w14:paraId="41B09432" w14:textId="0359C370" w:rsidR="00AE19C2" w:rsidRDefault="00EA63D2" w:rsidP="00AE19C2">
      <w:pPr>
        <w:rPr>
          <w:rFonts w:ascii="Arial" w:hAnsi="Arial" w:cs="Arial"/>
        </w:rPr>
      </w:pPr>
      <w:r>
        <w:rPr>
          <w:rFonts w:ascii="Arial" w:hAnsi="Arial" w:cs="Arial"/>
        </w:rPr>
        <w:t xml:space="preserve">To follow </w:t>
      </w:r>
      <w:r>
        <w:rPr>
          <w:rFonts w:ascii="Arial" w:hAnsi="Arial" w:cs="Arial"/>
          <w:i/>
        </w:rPr>
        <w:t>decides 4</w:t>
      </w:r>
      <w:r>
        <w:rPr>
          <w:rFonts w:ascii="Arial" w:hAnsi="Arial" w:cs="Arial"/>
        </w:rPr>
        <w:t xml:space="preserve"> in ECC Decision (20)02 that “</w:t>
      </w:r>
      <w:r w:rsidRPr="00774652">
        <w:rPr>
          <w:rFonts w:ascii="Arial" w:hAnsi="Arial" w:cs="Arial"/>
          <w:i/>
        </w:rPr>
        <w:t xml:space="preserve">CEPT administrations wishing to allow </w:t>
      </w:r>
      <w:r>
        <w:rPr>
          <w:rFonts w:ascii="Arial" w:hAnsi="Arial" w:cs="Arial"/>
        </w:rPr>
        <w:t>[…]</w:t>
      </w:r>
      <w:r w:rsidRPr="00774652">
        <w:rPr>
          <w:rFonts w:ascii="Arial" w:hAnsi="Arial" w:cs="Arial"/>
          <w:i/>
        </w:rPr>
        <w:t xml:space="preserve"> higher e.i.r.p. for RMR BS than stated in the technical conditions should consider the implementation of a coordination procedure or other mitigation measures</w:t>
      </w:r>
      <w:r>
        <w:rPr>
          <w:rFonts w:ascii="Arial" w:hAnsi="Arial" w:cs="Arial"/>
        </w:rPr>
        <w:t xml:space="preserve">”, RAN4 has </w:t>
      </w:r>
      <w:r w:rsidR="006E5305">
        <w:rPr>
          <w:rFonts w:ascii="Arial" w:hAnsi="Arial" w:cs="Arial"/>
        </w:rPr>
        <w:t xml:space="preserve">clearly stated in clause 6.2.4 in TS 38.104 that </w:t>
      </w:r>
      <w:r w:rsidR="006E5305" w:rsidRPr="006E5305">
        <w:rPr>
          <w:rFonts w:ascii="Arial" w:hAnsi="Arial" w:cs="Arial"/>
        </w:rPr>
        <w:t>higher output power values may be allowed</w:t>
      </w:r>
      <w:r w:rsidR="006E5305">
        <w:rPr>
          <w:rFonts w:ascii="Arial" w:hAnsi="Arial" w:cs="Arial"/>
        </w:rPr>
        <w:t xml:space="preserve"> </w:t>
      </w:r>
      <w:r w:rsidR="006E5305" w:rsidRPr="006E5305">
        <w:rPr>
          <w:rFonts w:ascii="Arial" w:hAnsi="Arial" w:cs="Arial"/>
        </w:rPr>
        <w:t>in case of coordinated deployments</w:t>
      </w:r>
      <w:r w:rsidR="006E5305">
        <w:rPr>
          <w:rFonts w:ascii="Arial" w:hAnsi="Arial" w:cs="Arial"/>
        </w:rPr>
        <w:t xml:space="preserve"> when the base station output power limits in clause 6.2.4 are not applicable. Clause 6.2.4 is extracted from TS 38.104 below for reference.</w:t>
      </w:r>
    </w:p>
    <w:p w14:paraId="4078714A" w14:textId="7F1F86B1" w:rsidR="006E5305" w:rsidRPr="006E5305" w:rsidRDefault="006E5305" w:rsidP="00AE19C2">
      <w:pPr>
        <w:rPr>
          <w:rFonts w:ascii="Arial" w:hAnsi="Arial" w:cs="Arial"/>
          <w:b/>
          <w:bCs/>
        </w:rPr>
      </w:pPr>
      <w:r w:rsidRPr="006E5305">
        <w:rPr>
          <w:rFonts w:ascii="Arial" w:hAnsi="Arial" w:cs="Arial"/>
          <w:b/>
          <w:bCs/>
        </w:rPr>
        <w:t>&lt;Start of extraction&gt;</w:t>
      </w:r>
    </w:p>
    <w:p w14:paraId="7937D32C" w14:textId="77777777" w:rsidR="006E5305" w:rsidRPr="006E5305" w:rsidRDefault="006E5305" w:rsidP="006E5305">
      <w:pPr>
        <w:keepNext/>
        <w:keepLines/>
        <w:overflowPunct/>
        <w:autoSpaceDE/>
        <w:autoSpaceDN/>
        <w:adjustRightInd/>
        <w:spacing w:before="120"/>
        <w:ind w:left="1134" w:hanging="1134"/>
        <w:textAlignment w:val="auto"/>
        <w:outlineLvl w:val="2"/>
        <w:rPr>
          <w:rFonts w:ascii="Arial" w:hAnsi="Arial"/>
          <w:sz w:val="28"/>
          <w:lang w:eastAsia="en-US"/>
        </w:rPr>
      </w:pPr>
      <w:bookmarkStart w:id="11" w:name="_Toc21127453"/>
      <w:bookmarkStart w:id="12" w:name="_Toc29811659"/>
      <w:bookmarkStart w:id="13" w:name="_Toc36817211"/>
      <w:bookmarkStart w:id="14" w:name="_Toc37260127"/>
      <w:bookmarkStart w:id="15" w:name="_Toc37267515"/>
      <w:bookmarkStart w:id="16" w:name="_Toc44712117"/>
      <w:bookmarkStart w:id="17" w:name="_Toc45893430"/>
      <w:bookmarkStart w:id="18" w:name="_Toc53178157"/>
      <w:bookmarkStart w:id="19" w:name="_Toc53178608"/>
      <w:bookmarkStart w:id="20" w:name="_Toc61178834"/>
      <w:bookmarkStart w:id="21" w:name="_Toc61179304"/>
      <w:bookmarkStart w:id="22" w:name="_Toc67916600"/>
      <w:bookmarkStart w:id="23" w:name="_Toc74663198"/>
      <w:bookmarkStart w:id="24" w:name="_Toc82621738"/>
      <w:bookmarkStart w:id="25" w:name="_Toc90422585"/>
      <w:bookmarkStart w:id="26" w:name="_Toc106782778"/>
      <w:bookmarkStart w:id="27" w:name="_Toc107311669"/>
      <w:bookmarkStart w:id="28" w:name="_Toc107419253"/>
      <w:bookmarkStart w:id="29" w:name="_Toc107474880"/>
      <w:bookmarkStart w:id="30" w:name="_Toc114255473"/>
      <w:bookmarkStart w:id="31" w:name="_Toc115186153"/>
      <w:bookmarkStart w:id="32" w:name="_Toc123048967"/>
      <w:bookmarkStart w:id="33" w:name="_Toc123051886"/>
      <w:bookmarkStart w:id="34" w:name="_Toc123054355"/>
      <w:bookmarkStart w:id="35" w:name="_Toc123717456"/>
      <w:bookmarkStart w:id="36" w:name="_Toc124157032"/>
      <w:bookmarkStart w:id="37" w:name="_Toc124266436"/>
      <w:bookmarkStart w:id="38" w:name="_Toc131595794"/>
      <w:bookmarkStart w:id="39" w:name="_Toc131740792"/>
      <w:bookmarkStart w:id="40" w:name="_Toc131766326"/>
      <w:bookmarkStart w:id="41" w:name="_Toc138837548"/>
      <w:bookmarkStart w:id="42" w:name="_Toc156567369"/>
      <w:r w:rsidRPr="006E5305">
        <w:rPr>
          <w:rFonts w:ascii="Arial" w:hAnsi="Arial"/>
          <w:sz w:val="28"/>
          <w:lang w:eastAsia="en-US"/>
        </w:rPr>
        <w:t>6.2.4</w:t>
      </w:r>
      <w:r w:rsidRPr="006E5305">
        <w:rPr>
          <w:rFonts w:ascii="Arial" w:hAnsi="Arial"/>
          <w:sz w:val="28"/>
          <w:lang w:eastAsia="en-US"/>
        </w:rPr>
        <w:tab/>
        <w:t>Additional requirements (regional)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DAD343F" w14:textId="77777777" w:rsidR="006E5305" w:rsidRPr="006E5305" w:rsidRDefault="006E5305" w:rsidP="006E5305">
      <w:pPr>
        <w:overflowPunct/>
        <w:autoSpaceDE/>
        <w:autoSpaceDN/>
        <w:adjustRightInd/>
        <w:textAlignment w:val="auto"/>
        <w:rPr>
          <w:lang w:eastAsia="en-US"/>
        </w:rPr>
      </w:pPr>
      <w:r w:rsidRPr="006E5305">
        <w:rPr>
          <w:lang w:eastAsia="en-US"/>
        </w:rPr>
        <w:t>In certain regions, additional regional requirements may apply.</w:t>
      </w:r>
    </w:p>
    <w:p w14:paraId="28BA3911" w14:textId="77777777" w:rsidR="006E5305" w:rsidRPr="006E5305" w:rsidRDefault="006E5305" w:rsidP="006E5305">
      <w:pPr>
        <w:overflowPunct/>
        <w:autoSpaceDE/>
        <w:autoSpaceDN/>
        <w:adjustRightInd/>
        <w:textAlignment w:val="auto"/>
        <w:rPr>
          <w:lang w:eastAsia="en-US"/>
        </w:rPr>
      </w:pPr>
      <w:r w:rsidRPr="006E5305">
        <w:rPr>
          <w:lang w:eastAsia="en-US"/>
        </w:rPr>
        <w:t>For Band n</w:t>
      </w:r>
      <w:r w:rsidRPr="006E5305">
        <w:rPr>
          <w:lang w:eastAsia="zh-CN"/>
        </w:rPr>
        <w:t>41</w:t>
      </w:r>
      <w:r w:rsidRPr="006E5305">
        <w:rPr>
          <w:lang w:eastAsia="en-US"/>
        </w:rPr>
        <w:t xml:space="preserve"> and n90 operation in Japan, the </w:t>
      </w:r>
      <w:r w:rsidRPr="006E5305">
        <w:rPr>
          <w:rFonts w:cs="v5.0.0"/>
          <w:lang w:eastAsia="en-US"/>
        </w:rPr>
        <w:t xml:space="preserve">rated output power, </w:t>
      </w:r>
      <w:proofErr w:type="gramStart"/>
      <w:r w:rsidRPr="006E5305">
        <w:rPr>
          <w:rFonts w:eastAsia="?c?e?o“A‘??S?V?b?N‘I" w:cs="v4.2.0"/>
          <w:lang w:eastAsia="en-US"/>
        </w:rPr>
        <w:t>P</w:t>
      </w:r>
      <w:r w:rsidRPr="006E5305">
        <w:rPr>
          <w:rFonts w:eastAsia="?c?e?o“A‘??S?V?b?N‘I" w:cs="v4.2.0"/>
          <w:vertAlign w:val="subscript"/>
          <w:lang w:eastAsia="en-US"/>
        </w:rPr>
        <w:t>rated,c.sys</w:t>
      </w:r>
      <w:proofErr w:type="gramEnd"/>
      <w:r w:rsidRPr="006E5305">
        <w:rPr>
          <w:rFonts w:cs="v5.0.0"/>
          <w:lang w:eastAsia="en-US"/>
        </w:rPr>
        <w:t xml:space="preserve"> for BS type 1-H or sum of </w:t>
      </w:r>
      <w:r w:rsidRPr="006E5305">
        <w:rPr>
          <w:lang w:eastAsia="en-US"/>
        </w:rPr>
        <w:t>P</w:t>
      </w:r>
      <w:r w:rsidRPr="006E5305">
        <w:rPr>
          <w:vertAlign w:val="subscript"/>
          <w:lang w:eastAsia="en-US"/>
        </w:rPr>
        <w:t>rated,c,AC</w:t>
      </w:r>
      <w:r w:rsidRPr="006E5305">
        <w:rPr>
          <w:rFonts w:cs="v5.0.0"/>
          <w:lang w:eastAsia="zh-CN"/>
        </w:rPr>
        <w:t xml:space="preserve"> over all </w:t>
      </w:r>
      <w:r w:rsidRPr="006E5305">
        <w:rPr>
          <w:rFonts w:cs="v5.0.0"/>
          <w:i/>
          <w:lang w:eastAsia="zh-CN"/>
        </w:rPr>
        <w:t>antenna connectors</w:t>
      </w:r>
      <w:r w:rsidRPr="006E5305">
        <w:rPr>
          <w:rFonts w:cs="v5.0.0"/>
          <w:lang w:eastAsia="zh-CN"/>
        </w:rPr>
        <w:t xml:space="preserve"> for BS type 1-C </w:t>
      </w:r>
      <w:r w:rsidRPr="006E5305">
        <w:rPr>
          <w:rFonts w:cs="v5.0.0"/>
          <w:lang w:eastAsia="en-US"/>
        </w:rPr>
        <w:t xml:space="preserve">declared by the manufacturer </w:t>
      </w:r>
      <w:r w:rsidRPr="006E5305">
        <w:rPr>
          <w:lang w:eastAsia="en-US"/>
        </w:rPr>
        <w:t>shall be equal to or less than 20 W per 10 MHz bandwidth.</w:t>
      </w:r>
    </w:p>
    <w:p w14:paraId="0B2C1579" w14:textId="77777777" w:rsidR="006E5305" w:rsidRPr="006E5305" w:rsidRDefault="006E5305" w:rsidP="006E5305">
      <w:pPr>
        <w:overflowPunct/>
        <w:autoSpaceDE/>
        <w:autoSpaceDN/>
        <w:adjustRightInd/>
        <w:textAlignment w:val="auto"/>
        <w:rPr>
          <w:lang w:eastAsia="en-US"/>
        </w:rPr>
      </w:pPr>
      <w:r w:rsidRPr="006E5305">
        <w:rPr>
          <w:lang w:eastAsia="en-US"/>
        </w:rPr>
        <w:t xml:space="preserve">For band n100 in CEPT countries, </w:t>
      </w:r>
      <w:proofErr w:type="gramStart"/>
      <w:r w:rsidRPr="006E5305">
        <w:rPr>
          <w:lang w:eastAsia="en-US"/>
        </w:rPr>
        <w:t>P</w:t>
      </w:r>
      <w:r w:rsidRPr="006E5305">
        <w:rPr>
          <w:vertAlign w:val="subscript"/>
          <w:lang w:eastAsia="en-US"/>
        </w:rPr>
        <w:t>rated,c</w:t>
      </w:r>
      <w:proofErr w:type="gramEnd"/>
      <w:r w:rsidRPr="006E5305">
        <w:rPr>
          <w:vertAlign w:val="subscript"/>
          <w:lang w:eastAsia="en-US"/>
        </w:rPr>
        <w:t>,AC</w:t>
      </w:r>
      <w:r w:rsidRPr="006E5305">
        <w:rPr>
          <w:lang w:eastAsia="en-US"/>
        </w:rPr>
        <w:t xml:space="preserve"> of the WA BS shall not exceed 51.5 dBm/5MHz + (f</w:t>
      </w:r>
      <w:r w:rsidRPr="006E5305">
        <w:rPr>
          <w:vertAlign w:val="subscript"/>
          <w:lang w:eastAsia="en-US"/>
        </w:rPr>
        <w:t>DL</w:t>
      </w:r>
      <w:r w:rsidRPr="006E5305">
        <w:rPr>
          <w:lang w:eastAsia="en-US"/>
        </w:rPr>
        <w:t>-922.1) x 40/3 dB, with f</w:t>
      </w:r>
      <w:r w:rsidRPr="006E5305">
        <w:rPr>
          <w:vertAlign w:val="subscript"/>
          <w:lang w:eastAsia="en-US"/>
        </w:rPr>
        <w:t>DL</w:t>
      </w:r>
      <w:r w:rsidRPr="006E5305">
        <w:rPr>
          <w:lang w:eastAsia="en-US"/>
        </w:rPr>
        <w:t xml:space="preserve"> being the centre frequency in MHz. This limit is derived from ECC </w:t>
      </w:r>
      <w:proofErr w:type="gramStart"/>
      <w:r w:rsidRPr="006E5305">
        <w:rPr>
          <w:lang w:eastAsia="en-US"/>
        </w:rPr>
        <w:t>Decision(</w:t>
      </w:r>
      <w:proofErr w:type="gramEnd"/>
      <w:r w:rsidRPr="006E5305">
        <w:rPr>
          <w:lang w:eastAsia="en-US"/>
        </w:rPr>
        <w:t>20)02 [21] assuming a 17 dBi maximum antenna gain and 4 dB losses, and assuming one antenna connector. The above rated output power limit for band n100 applies to uncoordinated deployments and in case of coordinated deployments, higher output power values may be allowed.</w:t>
      </w:r>
    </w:p>
    <w:p w14:paraId="354083B2" w14:textId="77777777" w:rsidR="006E5305" w:rsidRPr="006E5305" w:rsidRDefault="006E5305" w:rsidP="006E5305">
      <w:pPr>
        <w:keepLines/>
        <w:overflowPunct/>
        <w:autoSpaceDE/>
        <w:autoSpaceDN/>
        <w:adjustRightInd/>
        <w:ind w:left="1135" w:hanging="851"/>
        <w:textAlignment w:val="auto"/>
        <w:rPr>
          <w:lang w:val="en-US" w:eastAsia="en-US"/>
        </w:rPr>
      </w:pPr>
      <w:r w:rsidRPr="006E5305">
        <w:rPr>
          <w:lang w:val="en-US" w:eastAsia="en-US"/>
        </w:rPr>
        <w:t>NOTE: for more details on the maximum level derivation, refer to TR 38.853 [23].</w:t>
      </w:r>
    </w:p>
    <w:p w14:paraId="07091B1C" w14:textId="77777777" w:rsidR="006E5305" w:rsidRPr="006E5305" w:rsidRDefault="006E5305" w:rsidP="006E5305">
      <w:pPr>
        <w:keepLines/>
        <w:overflowPunct/>
        <w:autoSpaceDE/>
        <w:autoSpaceDN/>
        <w:adjustRightInd/>
        <w:ind w:left="1135" w:hanging="851"/>
        <w:textAlignment w:val="auto"/>
        <w:rPr>
          <w:lang w:val="en-US" w:eastAsia="en-US"/>
        </w:rPr>
      </w:pPr>
      <w:r w:rsidRPr="006E5305">
        <w:rPr>
          <w:lang w:val="en-US" w:eastAsia="en-US"/>
        </w:rPr>
        <w:t>NOTE: The additional maximum output power requirement for 3 MHz channel bandwidth will be updated in a later version, based on CEPT WG FM’s feedback.</w:t>
      </w:r>
    </w:p>
    <w:p w14:paraId="0361B3AD" w14:textId="77777777" w:rsidR="006E5305" w:rsidRPr="006E5305" w:rsidRDefault="006E5305" w:rsidP="006E5305">
      <w:pPr>
        <w:keepLines/>
        <w:overflowPunct/>
        <w:autoSpaceDE/>
        <w:autoSpaceDN/>
        <w:adjustRightInd/>
        <w:ind w:left="1135" w:hanging="851"/>
        <w:textAlignment w:val="auto"/>
        <w:rPr>
          <w:lang w:eastAsia="en-US"/>
        </w:rPr>
      </w:pPr>
    </w:p>
    <w:p w14:paraId="5636B7A8" w14:textId="77777777" w:rsidR="006E5305" w:rsidRPr="006E5305" w:rsidRDefault="006E5305" w:rsidP="006E5305">
      <w:pPr>
        <w:overflowPunct/>
        <w:autoSpaceDE/>
        <w:autoSpaceDN/>
        <w:adjustRightInd/>
        <w:textAlignment w:val="auto"/>
        <w:rPr>
          <w:lang w:eastAsia="en-US"/>
        </w:rPr>
      </w:pPr>
      <w:r w:rsidRPr="006E5305">
        <w:rPr>
          <w:lang w:eastAsia="en-US"/>
        </w:rPr>
        <w:t xml:space="preserve">For band n101 in CEPT countries, </w:t>
      </w:r>
      <w:proofErr w:type="gramStart"/>
      <w:r w:rsidRPr="006E5305">
        <w:rPr>
          <w:lang w:eastAsia="en-US"/>
        </w:rPr>
        <w:t>P</w:t>
      </w:r>
      <w:r w:rsidRPr="006E5305">
        <w:rPr>
          <w:vertAlign w:val="subscript"/>
          <w:lang w:eastAsia="en-US"/>
        </w:rPr>
        <w:t>rated,c</w:t>
      </w:r>
      <w:proofErr w:type="gramEnd"/>
      <w:r w:rsidRPr="006E5305">
        <w:rPr>
          <w:vertAlign w:val="subscript"/>
          <w:lang w:eastAsia="en-US"/>
        </w:rPr>
        <w:t>,AC</w:t>
      </w:r>
      <w:r w:rsidRPr="006E5305">
        <w:rPr>
          <w:lang w:eastAsia="en-US"/>
        </w:rPr>
        <w:t xml:space="preserve"> shall not exceed 51 dBm/10MHz or 48 dBm/5MHz. This limit is derived from ECC </w:t>
      </w:r>
      <w:proofErr w:type="gramStart"/>
      <w:r w:rsidRPr="006E5305">
        <w:rPr>
          <w:lang w:eastAsia="en-US"/>
        </w:rPr>
        <w:t>Decision(</w:t>
      </w:r>
      <w:proofErr w:type="gramEnd"/>
      <w:r w:rsidRPr="006E5305">
        <w:rPr>
          <w:lang w:eastAsia="en-US"/>
        </w:rPr>
        <w:t>20)02 [21] assuming a 18 dBi maximum antenna gain and 4 dB losses, and assuming one antenna connector. The above rated output power limit for band n101 applies to uncoordinated deployments and in case of coordinated deployments, higher output power values may be allowed.</w:t>
      </w:r>
    </w:p>
    <w:p w14:paraId="0C3090A2" w14:textId="77777777" w:rsidR="006E5305" w:rsidRPr="006E5305" w:rsidRDefault="006E5305" w:rsidP="006E5305">
      <w:pPr>
        <w:keepLines/>
        <w:overflowPunct/>
        <w:autoSpaceDE/>
        <w:autoSpaceDN/>
        <w:adjustRightInd/>
        <w:ind w:left="1135" w:hanging="851"/>
        <w:textAlignment w:val="auto"/>
        <w:rPr>
          <w:lang w:eastAsia="en-US"/>
        </w:rPr>
      </w:pPr>
      <w:r w:rsidRPr="006E5305">
        <w:rPr>
          <w:lang w:val="en-US" w:eastAsia="en-US"/>
        </w:rPr>
        <w:t>NOTE: for more details on the maximum level derivation, refer to TR 38.852 [22].</w:t>
      </w:r>
    </w:p>
    <w:p w14:paraId="64535E86" w14:textId="55C53469" w:rsidR="006E5305" w:rsidRPr="006E5305" w:rsidRDefault="006E5305" w:rsidP="006E5305">
      <w:pPr>
        <w:rPr>
          <w:rFonts w:ascii="Arial" w:hAnsi="Arial" w:cs="Arial"/>
          <w:b/>
          <w:bCs/>
        </w:rPr>
      </w:pPr>
      <w:r w:rsidRPr="006E5305">
        <w:rPr>
          <w:rFonts w:ascii="Arial" w:hAnsi="Arial" w:cs="Arial"/>
          <w:b/>
          <w:bCs/>
        </w:rPr>
        <w:t>&lt;</w:t>
      </w:r>
      <w:r>
        <w:rPr>
          <w:rFonts w:ascii="Arial" w:hAnsi="Arial" w:cs="Arial"/>
          <w:b/>
          <w:bCs/>
        </w:rPr>
        <w:t>End</w:t>
      </w:r>
      <w:r w:rsidRPr="006E5305">
        <w:rPr>
          <w:rFonts w:ascii="Arial" w:hAnsi="Arial" w:cs="Arial"/>
          <w:b/>
          <w:bCs/>
        </w:rPr>
        <w:t xml:space="preserve"> of extraction&gt;</w:t>
      </w:r>
    </w:p>
    <w:p w14:paraId="35E4E37C" w14:textId="45A98C7E" w:rsidR="006E5305" w:rsidRDefault="006E5305" w:rsidP="00AE19C2">
      <w:pPr>
        <w:rPr>
          <w:rFonts w:ascii="Arial" w:hAnsi="Arial" w:cs="Arial"/>
        </w:rPr>
      </w:pPr>
      <w:r>
        <w:rPr>
          <w:rFonts w:ascii="Arial" w:hAnsi="Arial" w:cs="Arial"/>
        </w:rPr>
        <w:t xml:space="preserve">Therefore, RAN4 currently consider that clause 6.2.4 in TS 38.104 could be kept without contradicting </w:t>
      </w:r>
      <w:r>
        <w:rPr>
          <w:rFonts w:ascii="Arial" w:hAnsi="Arial" w:cs="Arial"/>
          <w:i/>
        </w:rPr>
        <w:t>decides 4</w:t>
      </w:r>
      <w:r>
        <w:rPr>
          <w:rFonts w:ascii="Arial" w:hAnsi="Arial" w:cs="Arial"/>
        </w:rPr>
        <w:t xml:space="preserve"> in ECC Decision (20)02, while providing the base station output power limits in alignment with </w:t>
      </w:r>
      <w:r w:rsidR="00B00408" w:rsidRPr="00B00408">
        <w:rPr>
          <w:rFonts w:ascii="Arial" w:hAnsi="Arial" w:cs="Arial"/>
        </w:rPr>
        <w:t>the 65 dBm EIRP limit in the ECC Decision (20)02</w:t>
      </w:r>
      <w:r w:rsidR="00B00408">
        <w:rPr>
          <w:rFonts w:ascii="Arial" w:hAnsi="Arial" w:cs="Arial"/>
        </w:rPr>
        <w:t>. Note that the current base station output power limits</w:t>
      </w:r>
      <w:r w:rsidR="00B00408" w:rsidRPr="00B00408">
        <w:rPr>
          <w:rFonts w:ascii="Arial" w:hAnsi="Arial" w:cs="Arial"/>
        </w:rPr>
        <w:t xml:space="preserve"> </w:t>
      </w:r>
      <w:r w:rsidR="00B00408">
        <w:rPr>
          <w:rFonts w:ascii="Arial" w:hAnsi="Arial" w:cs="Arial"/>
        </w:rPr>
        <w:t xml:space="preserve">in clause 6.2.4 are derived </w:t>
      </w:r>
      <w:r w:rsidR="00B00408" w:rsidRPr="00B00408">
        <w:rPr>
          <w:rFonts w:ascii="Arial" w:hAnsi="Arial" w:cs="Arial"/>
        </w:rPr>
        <w:t xml:space="preserve">using an antenna gain of 18 dBi and 4 dB losses in accordance with the ECC Report 318, </w:t>
      </w:r>
      <w:proofErr w:type="gramStart"/>
      <w:r w:rsidR="00B00408" w:rsidRPr="00B00408">
        <w:rPr>
          <w:rFonts w:ascii="Arial" w:hAnsi="Arial" w:cs="Arial"/>
        </w:rPr>
        <w:t>in order to</w:t>
      </w:r>
      <w:proofErr w:type="gramEnd"/>
      <w:r w:rsidR="00B00408" w:rsidRPr="00B00408">
        <w:rPr>
          <w:rFonts w:ascii="Arial" w:hAnsi="Arial" w:cs="Arial"/>
        </w:rPr>
        <w:t xml:space="preserve"> specify the limit at the base station antenna connector as explained in clause 7.1.1 in</w:t>
      </w:r>
      <w:r w:rsidR="00B00408">
        <w:rPr>
          <w:rFonts w:ascii="Arial" w:hAnsi="Arial" w:cs="Arial"/>
        </w:rPr>
        <w:t xml:space="preserve"> TR 38.853 and TR 38.852.</w:t>
      </w:r>
    </w:p>
    <w:p w14:paraId="0A0A19DA" w14:textId="47AF3AF8" w:rsidR="00AE19C2" w:rsidRPr="00FF691D" w:rsidRDefault="00AE19C2" w:rsidP="00AE19C2">
      <w:pPr>
        <w:rPr>
          <w:rFonts w:cs="Arial"/>
          <w:b/>
          <w:bCs/>
        </w:rPr>
      </w:pPr>
      <w:r w:rsidRPr="00801D28">
        <w:rPr>
          <w:b/>
          <w:bCs/>
        </w:rPr>
        <w:t>1</w:t>
      </w:r>
      <w:r w:rsidR="00C36FD7">
        <w:rPr>
          <w:b/>
          <w:bCs/>
        </w:rPr>
        <w:t>.2</w:t>
      </w:r>
      <w:r w:rsidRPr="00801D28">
        <w:rPr>
          <w:b/>
          <w:bCs/>
        </w:rPr>
        <w:tab/>
      </w:r>
      <w:r w:rsidRPr="003543A7">
        <w:rPr>
          <w:rFonts w:ascii="Arial" w:hAnsi="Arial" w:cs="Arial"/>
          <w:b/>
          <w:bCs/>
          <w:kern w:val="2"/>
        </w:rPr>
        <w:t>Additional unwanted emission limits for band n100</w:t>
      </w:r>
    </w:p>
    <w:p w14:paraId="34BE5A40" w14:textId="2AD4C938" w:rsidR="00AE19C2" w:rsidRPr="003543A7" w:rsidRDefault="000740E6" w:rsidP="00AE19C2">
      <w:pPr>
        <w:rPr>
          <w:rFonts w:ascii="Arial" w:hAnsi="Arial" w:cs="Arial"/>
        </w:rPr>
      </w:pPr>
      <w:r>
        <w:rPr>
          <w:rFonts w:ascii="Arial" w:hAnsi="Arial" w:cs="Arial"/>
          <w:kern w:val="2"/>
        </w:rPr>
        <w:t xml:space="preserve">RAN4 would like to thank </w:t>
      </w:r>
      <w:r w:rsidRPr="002552B0">
        <w:rPr>
          <w:rFonts w:ascii="Arial" w:hAnsi="Arial" w:cs="Arial"/>
        </w:rPr>
        <w:t xml:space="preserve">WG FM for the </w:t>
      </w:r>
      <w:r w:rsidR="00865629">
        <w:rPr>
          <w:rFonts w:ascii="Arial" w:hAnsi="Arial" w:cs="Arial"/>
        </w:rPr>
        <w:t>clarifications</w:t>
      </w:r>
      <w:r>
        <w:rPr>
          <w:rFonts w:ascii="Arial" w:hAnsi="Arial" w:cs="Arial"/>
        </w:rPr>
        <w:t xml:space="preserve"> on </w:t>
      </w:r>
      <w:r w:rsidRPr="000740E6">
        <w:rPr>
          <w:rFonts w:ascii="Arial" w:hAnsi="Arial" w:cs="Arial"/>
        </w:rPr>
        <w:t>Table 5 in ECC/DEC</w:t>
      </w:r>
      <w:proofErr w:type="gramStart"/>
      <w:r w:rsidRPr="000740E6">
        <w:rPr>
          <w:rFonts w:ascii="Arial" w:hAnsi="Arial" w:cs="Arial"/>
        </w:rPr>
        <w:t>/(</w:t>
      </w:r>
      <w:proofErr w:type="gramEnd"/>
      <w:r w:rsidRPr="000740E6">
        <w:rPr>
          <w:rFonts w:ascii="Arial" w:hAnsi="Arial" w:cs="Arial"/>
        </w:rPr>
        <w:t>20)02</w:t>
      </w:r>
      <w:r>
        <w:rPr>
          <w:rFonts w:ascii="Arial" w:hAnsi="Arial" w:cs="Arial"/>
        </w:rPr>
        <w:t xml:space="preserve">. </w:t>
      </w:r>
      <w:r>
        <w:rPr>
          <w:rFonts w:ascii="Arial" w:hAnsi="Arial" w:cs="Arial"/>
          <w:kern w:val="2"/>
        </w:rPr>
        <w:t xml:space="preserve">To follow WG FM guidance, RAN4 has agreed </w:t>
      </w:r>
      <w:r w:rsidR="00D32A7B">
        <w:rPr>
          <w:rFonts w:ascii="Arial" w:hAnsi="Arial" w:cs="Arial"/>
          <w:kern w:val="2"/>
        </w:rPr>
        <w:t xml:space="preserve">the attached CR </w:t>
      </w:r>
      <w:r>
        <w:rPr>
          <w:rFonts w:ascii="Arial" w:hAnsi="Arial" w:cs="Arial"/>
          <w:kern w:val="2"/>
        </w:rPr>
        <w:t>to void clause 6.6.4.2.5.7 in TS 38.104 and the corresponding clause 6.6.4.5.6.7 in TS 38.141-1</w:t>
      </w:r>
      <w:r w:rsidR="00AE19C2">
        <w:rPr>
          <w:rFonts w:ascii="Arial" w:hAnsi="Arial" w:cs="Arial"/>
        </w:rPr>
        <w:t>.</w:t>
      </w:r>
      <w:r w:rsidR="005C41B8">
        <w:rPr>
          <w:rFonts w:ascii="Arial" w:hAnsi="Arial" w:cs="Arial"/>
        </w:rPr>
        <w:t xml:space="preserve"> Note that ‘void’ is used to withdraw the requirements in the clauses according to the 3GPP specifications drafting rules in TS 21.801.</w:t>
      </w:r>
    </w:p>
    <w:p w14:paraId="05991827" w14:textId="77777777" w:rsidR="00AE19C2" w:rsidRDefault="00AE19C2" w:rsidP="00AE19C2">
      <w:pPr>
        <w:pStyle w:val="Heading1"/>
      </w:pPr>
      <w:r>
        <w:t>2</w:t>
      </w:r>
      <w:r>
        <w:tab/>
        <w:t>Actions</w:t>
      </w:r>
    </w:p>
    <w:p w14:paraId="5D404DE8" w14:textId="77777777" w:rsidR="00AE19C2" w:rsidRDefault="00AE19C2" w:rsidP="00AE19C2">
      <w:pPr>
        <w:spacing w:after="120"/>
        <w:ind w:left="1985" w:hanging="1985"/>
        <w:rPr>
          <w:rFonts w:ascii="Arial" w:hAnsi="Arial" w:cs="Arial"/>
          <w:b/>
        </w:rPr>
      </w:pPr>
      <w:r>
        <w:rPr>
          <w:rFonts w:ascii="Arial" w:hAnsi="Arial" w:cs="Arial"/>
          <w:b/>
        </w:rPr>
        <w:t xml:space="preserve">To </w:t>
      </w:r>
      <w:r w:rsidRPr="00CE7E5C">
        <w:rPr>
          <w:rFonts w:ascii="Arial" w:hAnsi="Arial" w:cs="Arial"/>
          <w:b/>
        </w:rPr>
        <w:t>CEPT ECC WG FM</w:t>
      </w:r>
      <w:r>
        <w:rPr>
          <w:rFonts w:ascii="Arial" w:hAnsi="Arial" w:cs="Arial"/>
          <w:b/>
        </w:rPr>
        <w:t xml:space="preserve"> </w:t>
      </w:r>
    </w:p>
    <w:p w14:paraId="06F9B0E6" w14:textId="5353B556" w:rsidR="00AE19C2" w:rsidRPr="00017F23" w:rsidRDefault="00AE19C2" w:rsidP="00AE19C2">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CE7E5C">
        <w:rPr>
          <w:rFonts w:ascii="Arial" w:hAnsi="Arial" w:cs="Arial"/>
          <w:bCs/>
        </w:rPr>
        <w:t>RAN4 asks</w:t>
      </w:r>
      <w:r>
        <w:rPr>
          <w:rFonts w:ascii="Arial" w:hAnsi="Arial" w:cs="Arial"/>
          <w:bCs/>
        </w:rPr>
        <w:t xml:space="preserve"> WG FM to consider the information provided in this LS. </w:t>
      </w:r>
      <w:r w:rsidRPr="000C6F87">
        <w:rPr>
          <w:rFonts w:ascii="Arial" w:hAnsi="Arial" w:cs="Arial"/>
          <w:bCs/>
        </w:rPr>
        <w:t>RAN</w:t>
      </w:r>
      <w:r>
        <w:rPr>
          <w:rFonts w:ascii="Arial" w:hAnsi="Arial" w:cs="Arial"/>
          <w:bCs/>
        </w:rPr>
        <w:t xml:space="preserve"> WG</w:t>
      </w:r>
      <w:r w:rsidRPr="000C6F87">
        <w:rPr>
          <w:rFonts w:ascii="Arial" w:hAnsi="Arial" w:cs="Arial"/>
          <w:bCs/>
        </w:rPr>
        <w:t>4 welcomes any additional feedback from WG FM.</w:t>
      </w:r>
    </w:p>
    <w:p w14:paraId="3DA627AD" w14:textId="4930735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A68BF">
        <w:rPr>
          <w:rFonts w:cs="Arial"/>
          <w:szCs w:val="36"/>
        </w:rPr>
        <w:t>RAN</w:t>
      </w:r>
      <w:r w:rsidR="000F6242" w:rsidRPr="000F6242">
        <w:rPr>
          <w:rFonts w:cs="Arial"/>
          <w:bCs/>
          <w:szCs w:val="36"/>
        </w:rPr>
        <w:t xml:space="preserve"> WG </w:t>
      </w:r>
      <w:r w:rsidR="00CA68BF">
        <w:rPr>
          <w:rFonts w:cs="Arial"/>
          <w:bCs/>
          <w:szCs w:val="36"/>
        </w:rPr>
        <w:t>4</w:t>
      </w:r>
      <w:r w:rsidR="000F6242">
        <w:rPr>
          <w:szCs w:val="36"/>
        </w:rPr>
        <w:t xml:space="preserve"> </w:t>
      </w:r>
      <w:proofErr w:type="gramStart"/>
      <w:r w:rsidR="000F6242">
        <w:rPr>
          <w:szCs w:val="36"/>
        </w:rPr>
        <w:t>m</w:t>
      </w:r>
      <w:r w:rsidR="000F6242" w:rsidRPr="000F6242">
        <w:rPr>
          <w:szCs w:val="36"/>
        </w:rPr>
        <w:t>eetings</w:t>
      </w:r>
      <w:proofErr w:type="gramEnd"/>
    </w:p>
    <w:p w14:paraId="2A4CEC85" w14:textId="7E3E4A4D" w:rsidR="002F1940" w:rsidRDefault="00CA68BF" w:rsidP="002F1940">
      <w:bookmarkStart w:id="43" w:name="OLE_LINK55"/>
      <w:bookmarkStart w:id="44" w:name="OLE_LINK56"/>
      <w:bookmarkStart w:id="45" w:name="OLE_LINK53"/>
      <w:bookmarkStart w:id="46" w:name="OLE_LINK54"/>
      <w:r>
        <w:t>RAN4#1</w:t>
      </w:r>
      <w:r w:rsidR="00CF09B8">
        <w:t>10</w:t>
      </w:r>
      <w:r>
        <w:t>-bis</w:t>
      </w:r>
      <w:r>
        <w:tab/>
      </w:r>
      <w:r w:rsidR="002F1940">
        <w:tab/>
      </w:r>
      <w:r w:rsidR="00CF09B8">
        <w:t>15</w:t>
      </w:r>
      <w:r>
        <w:t xml:space="preserve"> – 1</w:t>
      </w:r>
      <w:r w:rsidR="00CF09B8">
        <w:t>9</w:t>
      </w:r>
      <w:r>
        <w:t xml:space="preserve"> </w:t>
      </w:r>
      <w:r w:rsidR="00307886">
        <w:t>April</w:t>
      </w:r>
      <w:r>
        <w:t xml:space="preserve"> 202</w:t>
      </w:r>
      <w:r w:rsidR="00CF09B8">
        <w:t>4</w:t>
      </w:r>
      <w:r w:rsidR="002F1940">
        <w:tab/>
      </w:r>
      <w:r w:rsidR="00CF09B8" w:rsidRPr="00CF09B8">
        <w:t>Changsha, Hunan Province</w:t>
      </w:r>
      <w:r w:rsidR="00CF09B8">
        <w:t>,</w:t>
      </w:r>
      <w:r w:rsidR="002F1940">
        <w:t xml:space="preserve"> </w:t>
      </w:r>
      <w:bookmarkEnd w:id="43"/>
      <w:bookmarkEnd w:id="44"/>
      <w:r>
        <w:t>China</w:t>
      </w:r>
    </w:p>
    <w:p w14:paraId="641A6788" w14:textId="22DD1490" w:rsidR="002F1940" w:rsidRPr="002F1940" w:rsidRDefault="00CA68BF" w:rsidP="002F1940">
      <w:r>
        <w:t>RAN4#1</w:t>
      </w:r>
      <w:r w:rsidR="00CF09B8">
        <w:t>11</w:t>
      </w:r>
      <w:r>
        <w:tab/>
      </w:r>
      <w:r w:rsidR="002F1940">
        <w:tab/>
      </w:r>
      <w:r w:rsidR="00307886">
        <w:t>20</w:t>
      </w:r>
      <w:r>
        <w:t xml:space="preserve"> </w:t>
      </w:r>
      <w:r w:rsidR="00307886">
        <w:t xml:space="preserve">– 24 May </w:t>
      </w:r>
      <w:r>
        <w:t>202</w:t>
      </w:r>
      <w:r w:rsidR="00307886">
        <w:t>4</w:t>
      </w:r>
      <w:r w:rsidR="002F1940">
        <w:tab/>
      </w:r>
      <w:r w:rsidR="00307886" w:rsidRPr="00307886">
        <w:t>Fukuoka City, Fukuoka</w:t>
      </w:r>
      <w:r w:rsidR="002F1940">
        <w:t xml:space="preserve">, </w:t>
      </w:r>
      <w:r w:rsidR="00307886">
        <w:t>Japan</w:t>
      </w:r>
    </w:p>
    <w:bookmarkEnd w:id="45"/>
    <w:bookmarkEnd w:id="46"/>
    <w:p w14:paraId="6402B59B"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0B947" w14:textId="77777777" w:rsidR="00A853D0" w:rsidRDefault="00A853D0">
      <w:pPr>
        <w:spacing w:after="0"/>
      </w:pPr>
      <w:r>
        <w:separator/>
      </w:r>
    </w:p>
  </w:endnote>
  <w:endnote w:type="continuationSeparator" w:id="0">
    <w:p w14:paraId="1BC3BA31" w14:textId="77777777" w:rsidR="00A853D0" w:rsidRDefault="00A853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63DA5" w14:textId="77777777" w:rsidR="00A853D0" w:rsidRDefault="00A853D0">
      <w:pPr>
        <w:spacing w:after="0"/>
      </w:pPr>
      <w:r>
        <w:separator/>
      </w:r>
    </w:p>
  </w:footnote>
  <w:footnote w:type="continuationSeparator" w:id="0">
    <w:p w14:paraId="53D277C0" w14:textId="77777777" w:rsidR="00A853D0" w:rsidRDefault="00A853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22252304">
    <w:abstractNumId w:val="3"/>
  </w:num>
  <w:num w:numId="2" w16cid:durableId="246115679">
    <w:abstractNumId w:val="2"/>
  </w:num>
  <w:num w:numId="3" w16cid:durableId="1157841987">
    <w:abstractNumId w:val="1"/>
  </w:num>
  <w:num w:numId="4" w16cid:durableId="143342808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69E"/>
    <w:rsid w:val="00017F23"/>
    <w:rsid w:val="00023FB4"/>
    <w:rsid w:val="00046709"/>
    <w:rsid w:val="00050F03"/>
    <w:rsid w:val="000740E6"/>
    <w:rsid w:val="000F6242"/>
    <w:rsid w:val="001C4CC6"/>
    <w:rsid w:val="002552B0"/>
    <w:rsid w:val="002F1940"/>
    <w:rsid w:val="00307886"/>
    <w:rsid w:val="00320C62"/>
    <w:rsid w:val="00383545"/>
    <w:rsid w:val="0039013F"/>
    <w:rsid w:val="003A082C"/>
    <w:rsid w:val="003C47EF"/>
    <w:rsid w:val="00433500"/>
    <w:rsid w:val="00433F71"/>
    <w:rsid w:val="00440D43"/>
    <w:rsid w:val="004E3939"/>
    <w:rsid w:val="00563409"/>
    <w:rsid w:val="005747E7"/>
    <w:rsid w:val="005C185B"/>
    <w:rsid w:val="005C3DCD"/>
    <w:rsid w:val="005C41B8"/>
    <w:rsid w:val="00645F86"/>
    <w:rsid w:val="00687073"/>
    <w:rsid w:val="006A2C1F"/>
    <w:rsid w:val="006E5305"/>
    <w:rsid w:val="006F3031"/>
    <w:rsid w:val="006F5E07"/>
    <w:rsid w:val="007F4F92"/>
    <w:rsid w:val="00865629"/>
    <w:rsid w:val="008D772F"/>
    <w:rsid w:val="0099764C"/>
    <w:rsid w:val="009F6376"/>
    <w:rsid w:val="00A04C6F"/>
    <w:rsid w:val="00A072A2"/>
    <w:rsid w:val="00A70423"/>
    <w:rsid w:val="00A853D0"/>
    <w:rsid w:val="00AE19C2"/>
    <w:rsid w:val="00B00408"/>
    <w:rsid w:val="00B61944"/>
    <w:rsid w:val="00B97703"/>
    <w:rsid w:val="00BB5046"/>
    <w:rsid w:val="00C1260F"/>
    <w:rsid w:val="00C36FD7"/>
    <w:rsid w:val="00CA68BF"/>
    <w:rsid w:val="00CE7E5C"/>
    <w:rsid w:val="00CF09B8"/>
    <w:rsid w:val="00CF6087"/>
    <w:rsid w:val="00D21978"/>
    <w:rsid w:val="00D32A7B"/>
    <w:rsid w:val="00D379F5"/>
    <w:rsid w:val="00E43569"/>
    <w:rsid w:val="00E733C9"/>
    <w:rsid w:val="00EA63D2"/>
    <w:rsid w:val="00EB4646"/>
    <w:rsid w:val="00F370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71386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uiPriority w:val="39"/>
    <w:rsid w:val="00BB5046"/>
    <w:rPr>
      <w:rFonts w:asciiTheme="minorHAnsi" w:eastAsiaTheme="minorHAnsi" w:hAnsiTheme="minorHAnsi" w:cstheme="minorBidi"/>
      <w:sz w:val="22"/>
      <w:szCs w:val="22"/>
      <w:lang w:val="hu-H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61931">
      <w:bodyDiv w:val="1"/>
      <w:marLeft w:val="0"/>
      <w:marRight w:val="0"/>
      <w:marTop w:val="0"/>
      <w:marBottom w:val="0"/>
      <w:divBdr>
        <w:top w:val="none" w:sz="0" w:space="0" w:color="auto"/>
        <w:left w:val="none" w:sz="0" w:space="0" w:color="auto"/>
        <w:bottom w:val="none" w:sz="0" w:space="0" w:color="auto"/>
        <w:right w:val="none" w:sz="0" w:space="0" w:color="auto"/>
      </w:divBdr>
    </w:div>
    <w:div w:id="626005736">
      <w:bodyDiv w:val="1"/>
      <w:marLeft w:val="0"/>
      <w:marRight w:val="0"/>
      <w:marTop w:val="0"/>
      <w:marBottom w:val="0"/>
      <w:divBdr>
        <w:top w:val="none" w:sz="0" w:space="0" w:color="auto"/>
        <w:left w:val="none" w:sz="0" w:space="0" w:color="auto"/>
        <w:bottom w:val="none" w:sz="0" w:space="0" w:color="auto"/>
        <w:right w:val="none" w:sz="0" w:space="0" w:color="auto"/>
      </w:divBdr>
    </w:div>
    <w:div w:id="865141859">
      <w:bodyDiv w:val="1"/>
      <w:marLeft w:val="0"/>
      <w:marRight w:val="0"/>
      <w:marTop w:val="0"/>
      <w:marBottom w:val="0"/>
      <w:divBdr>
        <w:top w:val="none" w:sz="0" w:space="0" w:color="auto"/>
        <w:left w:val="none" w:sz="0" w:space="0" w:color="auto"/>
        <w:bottom w:val="none" w:sz="0" w:space="0" w:color="auto"/>
        <w:right w:val="none" w:sz="0" w:space="0" w:color="auto"/>
      </w:divBdr>
    </w:div>
    <w:div w:id="1306935292">
      <w:bodyDiv w:val="1"/>
      <w:marLeft w:val="0"/>
      <w:marRight w:val="0"/>
      <w:marTop w:val="0"/>
      <w:marBottom w:val="0"/>
      <w:divBdr>
        <w:top w:val="none" w:sz="0" w:space="0" w:color="auto"/>
        <w:left w:val="none" w:sz="0" w:space="0" w:color="auto"/>
        <w:bottom w:val="none" w:sz="0" w:space="0" w:color="auto"/>
        <w:right w:val="none" w:sz="0" w:space="0" w:color="auto"/>
      </w:divBdr>
    </w:div>
    <w:div w:id="144233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2</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Man Hung Ng (Nokia)</cp:lastModifiedBy>
  <cp:revision>10</cp:revision>
  <cp:lastPrinted>2002-04-23T07:10:00Z</cp:lastPrinted>
  <dcterms:created xsi:type="dcterms:W3CDTF">2024-02-12T11:41:00Z</dcterms:created>
  <dcterms:modified xsi:type="dcterms:W3CDTF">2024-02-16T15:38:00Z</dcterms:modified>
</cp:coreProperties>
</file>