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E383A" w14:textId="01E6B66F" w:rsidR="00CB40E6" w:rsidRDefault="007C3C3A" w:rsidP="005A6903">
      <w:pPr>
        <w:keepLines/>
        <w:tabs>
          <w:tab w:val="left" w:pos="567"/>
        </w:tabs>
        <w:overflowPunct/>
        <w:autoSpaceDE/>
        <w:autoSpaceDN/>
        <w:snapToGrid w:val="0"/>
        <w:spacing w:after="0"/>
        <w:textAlignment w:val="auto"/>
        <w:rPr>
          <w:rFonts w:ascii="Calibri" w:eastAsia="MS Mincho" w:hAnsi="Calibri" w:cs="Calibri"/>
          <w:bCs/>
          <w:sz w:val="28"/>
          <w:szCs w:val="28"/>
        </w:rPr>
      </w:pPr>
      <w:r>
        <w:rPr>
          <w:rFonts w:ascii="Calibri" w:hAnsi="Calibri" w:cs="Calibri"/>
          <w:bCs/>
          <w:sz w:val="28"/>
          <w:szCs w:val="28"/>
        </w:rPr>
        <w:t xml:space="preserve">3GPP </w:t>
      </w:r>
      <w:r w:rsidR="001C18EB">
        <w:rPr>
          <w:rFonts w:ascii="Calibri" w:hAnsi="Calibri" w:cs="Calibri"/>
          <w:bCs/>
          <w:sz w:val="28"/>
          <w:szCs w:val="28"/>
        </w:rPr>
        <w:t xml:space="preserve">TSG </w:t>
      </w:r>
      <w:r w:rsidR="003757A2">
        <w:rPr>
          <w:rFonts w:ascii="Calibri" w:hAnsi="Calibri" w:cs="Calibri"/>
          <w:bCs/>
          <w:sz w:val="28"/>
          <w:szCs w:val="28"/>
        </w:rPr>
        <w:t>RAN</w:t>
      </w:r>
      <w:r w:rsidR="00F61093">
        <w:rPr>
          <w:rFonts w:ascii="Calibri" w:hAnsi="Calibri" w:cs="Calibri"/>
          <w:bCs/>
          <w:sz w:val="28"/>
          <w:szCs w:val="28"/>
        </w:rPr>
        <w:t>4</w:t>
      </w:r>
      <w:r w:rsidR="003757A2">
        <w:rPr>
          <w:rFonts w:ascii="Calibri" w:hAnsi="Calibri" w:cs="Calibri"/>
          <w:bCs/>
          <w:sz w:val="28"/>
          <w:szCs w:val="28"/>
        </w:rPr>
        <w:t xml:space="preserve"> Meeting #</w:t>
      </w:r>
      <w:r w:rsidR="000A773F">
        <w:rPr>
          <w:rFonts w:ascii="Calibri" w:hAnsi="Calibri" w:cs="Calibri"/>
          <w:bCs/>
          <w:sz w:val="28"/>
          <w:szCs w:val="28"/>
        </w:rPr>
        <w:t>1</w:t>
      </w:r>
      <w:r w:rsidR="00F61093">
        <w:rPr>
          <w:rFonts w:ascii="Calibri" w:hAnsi="Calibri" w:cs="Calibri"/>
          <w:bCs/>
          <w:sz w:val="28"/>
          <w:szCs w:val="28"/>
        </w:rPr>
        <w:t>10</w:t>
      </w:r>
      <w:r w:rsidR="00F35990">
        <w:rPr>
          <w:rFonts w:ascii="Calibri" w:hAnsi="Calibri" w:cs="Calibri"/>
          <w:bCs/>
          <w:sz w:val="28"/>
          <w:szCs w:val="28"/>
        </w:rPr>
        <w:tab/>
      </w:r>
      <w:r w:rsidR="00921759">
        <w:rPr>
          <w:rFonts w:ascii="Calibri" w:hAnsi="Calibri" w:cs="Calibri"/>
          <w:bCs/>
          <w:sz w:val="28"/>
          <w:szCs w:val="28"/>
        </w:rPr>
        <w:tab/>
      </w:r>
      <w:r w:rsidR="00F35990">
        <w:rPr>
          <w:rFonts w:ascii="Calibri" w:hAnsi="Calibri" w:cs="Calibri"/>
          <w:bCs/>
          <w:sz w:val="28"/>
          <w:szCs w:val="28"/>
        </w:rPr>
        <w:tab/>
      </w:r>
      <w:r w:rsidR="005B2698">
        <w:rPr>
          <w:rFonts w:ascii="Calibri" w:eastAsia="MS Mincho" w:hAnsi="Calibri" w:cs="Calibri"/>
          <w:bCs/>
          <w:sz w:val="28"/>
          <w:szCs w:val="28"/>
        </w:rPr>
        <w:tab/>
      </w:r>
      <w:r w:rsidR="00B715DB">
        <w:rPr>
          <w:rFonts w:ascii="Calibri" w:eastAsia="MS Mincho" w:hAnsi="Calibri" w:cs="Calibri"/>
          <w:bCs/>
          <w:sz w:val="28"/>
          <w:szCs w:val="28"/>
        </w:rPr>
        <w:tab/>
      </w:r>
      <w:r w:rsidR="008D6A62">
        <w:rPr>
          <w:rFonts w:ascii="Calibri" w:eastAsia="MS Mincho" w:hAnsi="Calibri" w:cs="Calibri"/>
          <w:bCs/>
          <w:sz w:val="28"/>
          <w:szCs w:val="28"/>
        </w:rPr>
        <w:tab/>
      </w:r>
      <w:r w:rsidR="008D6A62">
        <w:rPr>
          <w:rFonts w:ascii="Calibri" w:eastAsia="MS Mincho" w:hAnsi="Calibri" w:cs="Calibri"/>
          <w:bCs/>
          <w:sz w:val="28"/>
          <w:szCs w:val="28"/>
        </w:rPr>
        <w:tab/>
      </w:r>
      <w:r w:rsidR="0016678E" w:rsidRPr="0016678E">
        <w:rPr>
          <w:rFonts w:ascii="Calibri" w:hAnsi="Calibri" w:cs="Calibri"/>
          <w:bCs/>
          <w:sz w:val="28"/>
          <w:szCs w:val="28"/>
        </w:rPr>
        <w:t>R4-2402391</w:t>
      </w:r>
    </w:p>
    <w:p w14:paraId="184FB5CE" w14:textId="505FD1E0" w:rsidR="00CB40E6" w:rsidRDefault="00F61093" w:rsidP="005A6903">
      <w:pPr>
        <w:keepLines/>
        <w:tabs>
          <w:tab w:val="left" w:pos="567"/>
        </w:tabs>
        <w:rPr>
          <w:rFonts w:ascii="Calibri" w:hAnsi="Calibri" w:cs="Calibri"/>
          <w:bCs/>
          <w:sz w:val="28"/>
          <w:szCs w:val="28"/>
        </w:rPr>
      </w:pPr>
      <w:r>
        <w:rPr>
          <w:rFonts w:ascii="Calibri" w:hAnsi="Calibri" w:cs="Calibri"/>
          <w:bCs/>
          <w:sz w:val="28"/>
          <w:szCs w:val="28"/>
        </w:rPr>
        <w:t>Athens, Greece</w:t>
      </w:r>
      <w:r w:rsidR="00D3043B">
        <w:rPr>
          <w:rFonts w:ascii="Calibri" w:hAnsi="Calibri" w:cs="Calibri"/>
          <w:bCs/>
          <w:sz w:val="28"/>
          <w:szCs w:val="28"/>
        </w:rPr>
        <w:t>,</w:t>
      </w:r>
      <w:r w:rsidR="00B41743">
        <w:rPr>
          <w:rFonts w:ascii="Calibri" w:hAnsi="Calibri" w:cs="Calibri"/>
          <w:bCs/>
          <w:sz w:val="28"/>
          <w:szCs w:val="28"/>
        </w:rPr>
        <w:t xml:space="preserve"> </w:t>
      </w:r>
      <w:r>
        <w:rPr>
          <w:rFonts w:ascii="Calibri" w:hAnsi="Calibri" w:cs="Calibri"/>
          <w:bCs/>
          <w:sz w:val="28"/>
          <w:szCs w:val="28"/>
        </w:rPr>
        <w:t>Feb. 26 – March 1</w:t>
      </w:r>
      <w:r w:rsidR="00342553">
        <w:rPr>
          <w:rFonts w:ascii="Calibri" w:hAnsi="Calibri" w:cs="Calibri"/>
          <w:bCs/>
          <w:sz w:val="28"/>
          <w:szCs w:val="28"/>
        </w:rPr>
        <w:t>,</w:t>
      </w:r>
      <w:r w:rsidR="00B41743">
        <w:rPr>
          <w:rFonts w:ascii="Calibri" w:hAnsi="Calibri" w:cs="Calibri"/>
          <w:bCs/>
          <w:sz w:val="28"/>
          <w:szCs w:val="28"/>
        </w:rPr>
        <w:t xml:space="preserve"> </w:t>
      </w:r>
      <w:r w:rsidR="00CE0A2B">
        <w:rPr>
          <w:rFonts w:ascii="Calibri" w:hAnsi="Calibri" w:cs="Calibri"/>
          <w:bCs/>
          <w:sz w:val="28"/>
          <w:szCs w:val="28"/>
        </w:rPr>
        <w:t>20</w:t>
      </w:r>
      <w:r w:rsidR="00B41743">
        <w:rPr>
          <w:rFonts w:ascii="Calibri" w:hAnsi="Calibri" w:cs="Calibri"/>
          <w:bCs/>
          <w:sz w:val="28"/>
          <w:szCs w:val="28"/>
        </w:rPr>
        <w:t>2</w:t>
      </w:r>
      <w:r>
        <w:rPr>
          <w:rFonts w:ascii="Calibri" w:hAnsi="Calibri" w:cs="Calibri"/>
          <w:bCs/>
          <w:sz w:val="28"/>
          <w:szCs w:val="28"/>
        </w:rPr>
        <w:t>4</w:t>
      </w:r>
      <w:r w:rsidR="008D6A62">
        <w:rPr>
          <w:rFonts w:ascii="Calibri" w:hAnsi="Calibri" w:cs="Calibri"/>
          <w:bCs/>
          <w:sz w:val="28"/>
          <w:szCs w:val="28"/>
        </w:rPr>
        <w:tab/>
      </w:r>
      <w:r w:rsidR="008D6A62">
        <w:rPr>
          <w:rFonts w:ascii="Calibri" w:hAnsi="Calibri" w:cs="Calibri"/>
          <w:bCs/>
          <w:sz w:val="28"/>
          <w:szCs w:val="28"/>
        </w:rPr>
        <w:tab/>
      </w:r>
      <w:r w:rsidR="008D6A62">
        <w:rPr>
          <w:rFonts w:ascii="Calibri" w:hAnsi="Calibri" w:cs="Calibri"/>
          <w:bCs/>
          <w:sz w:val="28"/>
          <w:szCs w:val="28"/>
        </w:rPr>
        <w:tab/>
      </w:r>
    </w:p>
    <w:p w14:paraId="6E55B8A2" w14:textId="1E97A0EA" w:rsidR="009E4C39" w:rsidRDefault="00CB40E6" w:rsidP="005E5CA2">
      <w:pPr>
        <w:pStyle w:val="Heading3"/>
        <w:keepNext w:val="0"/>
        <w:keepLines w:val="0"/>
        <w:widowControl w:val="0"/>
        <w:spacing w:after="0"/>
        <w:ind w:left="0" w:firstLine="0"/>
        <w:rPr>
          <w:rFonts w:ascii="Calibri" w:hAnsi="Calibri" w:cs="Calibri"/>
          <w:b/>
          <w:sz w:val="20"/>
          <w:szCs w:val="16"/>
        </w:rPr>
      </w:pPr>
      <w:r>
        <w:rPr>
          <w:rFonts w:ascii="Calibri" w:hAnsi="Calibri" w:cs="Calibri"/>
          <w:b/>
          <w:sz w:val="22"/>
          <w:szCs w:val="16"/>
          <w:lang w:val="en-US"/>
        </w:rPr>
        <w:t>Agenda Item:</w:t>
      </w:r>
      <w:r>
        <w:rPr>
          <w:rFonts w:ascii="Calibri" w:hAnsi="Calibri" w:cs="Calibri"/>
          <w:b/>
          <w:sz w:val="22"/>
          <w:szCs w:val="16"/>
          <w:lang w:val="en-US"/>
        </w:rPr>
        <w:tab/>
      </w:r>
      <w:bookmarkStart w:id="0" w:name="Source"/>
      <w:bookmarkEnd w:id="0"/>
      <w:r w:rsidR="00F35990">
        <w:rPr>
          <w:rFonts w:ascii="Calibri" w:hAnsi="Calibri" w:cs="Calibri"/>
          <w:b/>
          <w:sz w:val="22"/>
          <w:szCs w:val="16"/>
          <w:lang w:val="en-US"/>
        </w:rPr>
        <w:tab/>
      </w:r>
      <w:r w:rsidR="009E4C39">
        <w:rPr>
          <w:rFonts w:ascii="Calibri" w:hAnsi="Calibri" w:cs="Calibri"/>
          <w:b/>
          <w:sz w:val="22"/>
          <w:szCs w:val="16"/>
        </w:rPr>
        <w:t>1</w:t>
      </w:r>
      <w:r w:rsidR="00F61093">
        <w:rPr>
          <w:rFonts w:ascii="Calibri" w:hAnsi="Calibri" w:cs="Calibri"/>
          <w:b/>
          <w:sz w:val="22"/>
          <w:szCs w:val="16"/>
        </w:rPr>
        <w:t>3.2</w:t>
      </w:r>
    </w:p>
    <w:p w14:paraId="69991815" w14:textId="60F1AB8F" w:rsidR="00CB40E6" w:rsidRDefault="00F35990" w:rsidP="005E5CA2">
      <w:pPr>
        <w:keepLines/>
        <w:tabs>
          <w:tab w:val="left" w:pos="567"/>
        </w:tabs>
        <w:spacing w:after="0"/>
        <w:ind w:left="2268" w:hanging="2268"/>
        <w:rPr>
          <w:rFonts w:ascii="Calibri" w:hAnsi="Calibri" w:cs="Calibri"/>
          <w:sz w:val="22"/>
          <w:szCs w:val="22"/>
        </w:rPr>
      </w:pPr>
      <w:r>
        <w:rPr>
          <w:rFonts w:ascii="Calibri" w:hAnsi="Calibri" w:cs="Calibri"/>
          <w:b/>
          <w:sz w:val="22"/>
          <w:szCs w:val="22"/>
        </w:rPr>
        <w:t>Source:</w:t>
      </w:r>
      <w:r w:rsidR="00CB40E6">
        <w:rPr>
          <w:rFonts w:ascii="Calibri" w:hAnsi="Calibri" w:cs="Calibri"/>
          <w:b/>
          <w:sz w:val="22"/>
          <w:szCs w:val="22"/>
        </w:rPr>
        <w:tab/>
      </w:r>
      <w:r w:rsidR="00F61093">
        <w:rPr>
          <w:rFonts w:ascii="Calibri" w:hAnsi="Calibri" w:cs="Calibri"/>
          <w:b/>
          <w:sz w:val="22"/>
          <w:szCs w:val="22"/>
        </w:rPr>
        <w:t>UIC</w:t>
      </w:r>
      <w:r w:rsidR="00003DC2">
        <w:rPr>
          <w:rFonts w:ascii="Calibri" w:hAnsi="Calibri" w:cs="Calibri"/>
          <w:b/>
          <w:sz w:val="22"/>
          <w:szCs w:val="22"/>
        </w:rPr>
        <w:t xml:space="preserve"> </w:t>
      </w:r>
      <w:r w:rsidR="0099172D">
        <w:rPr>
          <w:rFonts w:ascii="Calibri" w:hAnsi="Calibri" w:cs="Calibri"/>
          <w:b/>
          <w:sz w:val="22"/>
          <w:szCs w:val="22"/>
        </w:rPr>
        <w:t>(Union inte</w:t>
      </w:r>
      <w:r w:rsidR="00FB746B">
        <w:rPr>
          <w:rFonts w:ascii="Calibri" w:hAnsi="Calibri" w:cs="Calibri"/>
          <w:b/>
          <w:sz w:val="22"/>
          <w:szCs w:val="22"/>
        </w:rPr>
        <w:t>rnational Chemin de Fer)</w:t>
      </w:r>
    </w:p>
    <w:p w14:paraId="313DD9F0" w14:textId="47C3E6AC" w:rsidR="00CB40E6" w:rsidRDefault="00CB40E6" w:rsidP="005E5CA2">
      <w:pPr>
        <w:keepLines/>
        <w:tabs>
          <w:tab w:val="left" w:pos="567"/>
        </w:tabs>
        <w:spacing w:after="0"/>
        <w:rPr>
          <w:rFonts w:ascii="Calibri" w:hAnsi="Calibri" w:cs="Calibri"/>
          <w:sz w:val="22"/>
          <w:szCs w:val="22"/>
        </w:rPr>
      </w:pPr>
      <w:r>
        <w:rPr>
          <w:rFonts w:ascii="Calibri" w:hAnsi="Calibri" w:cs="Calibri"/>
          <w:b/>
          <w:sz w:val="22"/>
          <w:szCs w:val="22"/>
        </w:rPr>
        <w:t>Title:</w:t>
      </w:r>
      <w:r w:rsidR="00F35990">
        <w:rPr>
          <w:rFonts w:ascii="Calibri" w:hAnsi="Calibri" w:cs="Calibri"/>
          <w:sz w:val="22"/>
          <w:szCs w:val="22"/>
        </w:rPr>
        <w:tab/>
      </w:r>
      <w:r w:rsidR="00F35990">
        <w:rPr>
          <w:rFonts w:ascii="Calibri" w:hAnsi="Calibri" w:cs="Calibri"/>
          <w:sz w:val="22"/>
          <w:szCs w:val="22"/>
        </w:rPr>
        <w:tab/>
      </w:r>
      <w:r w:rsidR="00F35990">
        <w:rPr>
          <w:rFonts w:ascii="Calibri" w:hAnsi="Calibri" w:cs="Calibri"/>
          <w:sz w:val="22"/>
          <w:szCs w:val="22"/>
        </w:rPr>
        <w:tab/>
      </w:r>
      <w:r w:rsidR="00F35990">
        <w:rPr>
          <w:rFonts w:ascii="Calibri" w:hAnsi="Calibri" w:cs="Calibri"/>
          <w:sz w:val="22"/>
          <w:szCs w:val="22"/>
        </w:rPr>
        <w:tab/>
      </w:r>
      <w:r w:rsidR="00F61093">
        <w:rPr>
          <w:rFonts w:ascii="Calibri" w:hAnsi="Calibri" w:cs="Calibri"/>
          <w:b/>
          <w:sz w:val="22"/>
          <w:szCs w:val="22"/>
        </w:rPr>
        <w:t xml:space="preserve">Co-existence between RMR and MFCN in </w:t>
      </w:r>
      <w:r w:rsidR="00596AAA">
        <w:rPr>
          <w:rFonts w:ascii="Calibri" w:hAnsi="Calibri" w:cs="Calibri"/>
          <w:b/>
          <w:sz w:val="22"/>
          <w:szCs w:val="22"/>
        </w:rPr>
        <w:t xml:space="preserve">band </w:t>
      </w:r>
      <w:r w:rsidR="00F61093">
        <w:rPr>
          <w:rFonts w:ascii="Calibri" w:hAnsi="Calibri" w:cs="Calibri"/>
          <w:b/>
          <w:sz w:val="22"/>
          <w:szCs w:val="22"/>
        </w:rPr>
        <w:t>n101</w:t>
      </w:r>
    </w:p>
    <w:p w14:paraId="2CDE8CC7" w14:textId="64D18AE3" w:rsidR="00CB40E6" w:rsidRDefault="00CB40E6" w:rsidP="005E5CA2">
      <w:pPr>
        <w:keepLines/>
        <w:tabs>
          <w:tab w:val="left" w:pos="567"/>
        </w:tabs>
        <w:spacing w:after="0"/>
        <w:rPr>
          <w:rFonts w:ascii="Calibri" w:hAnsi="Calibri" w:cs="Calibri"/>
          <w:b/>
          <w:sz w:val="22"/>
          <w:szCs w:val="22"/>
        </w:rPr>
      </w:pPr>
      <w:r>
        <w:rPr>
          <w:rFonts w:ascii="Calibri" w:hAnsi="Calibri" w:cs="Calibri"/>
          <w:b/>
          <w:sz w:val="22"/>
          <w:szCs w:val="22"/>
        </w:rPr>
        <w:t>Document for:</w:t>
      </w:r>
      <w:r>
        <w:rPr>
          <w:rFonts w:ascii="Calibri" w:hAnsi="Calibri" w:cs="Calibri"/>
          <w:sz w:val="22"/>
          <w:szCs w:val="22"/>
        </w:rPr>
        <w:tab/>
      </w:r>
      <w:bookmarkStart w:id="1" w:name="DocumentFor"/>
      <w:bookmarkEnd w:id="1"/>
      <w:r w:rsidR="00F35990">
        <w:rPr>
          <w:rFonts w:ascii="Calibri" w:hAnsi="Calibri" w:cs="Calibri"/>
          <w:sz w:val="22"/>
          <w:szCs w:val="22"/>
        </w:rPr>
        <w:tab/>
      </w:r>
      <w:r w:rsidR="0047487E">
        <w:rPr>
          <w:rFonts w:ascii="Calibri" w:hAnsi="Calibri" w:cs="Calibri"/>
          <w:b/>
          <w:sz w:val="22"/>
          <w:szCs w:val="22"/>
        </w:rPr>
        <w:t>Discussion</w:t>
      </w:r>
    </w:p>
    <w:p w14:paraId="70CB77CC" w14:textId="77777777" w:rsidR="007A2D64" w:rsidRDefault="007A2D64" w:rsidP="007A2D64">
      <w:pPr>
        <w:keepLines/>
        <w:tabs>
          <w:tab w:val="left" w:pos="567"/>
        </w:tabs>
        <w:spacing w:after="0"/>
        <w:rPr>
          <w:rFonts w:ascii="Calibri" w:hAnsi="Calibri" w:cs="Calibri"/>
          <w:b/>
          <w:sz w:val="22"/>
          <w:szCs w:val="22"/>
        </w:rPr>
      </w:pPr>
      <w:r>
        <w:rPr>
          <w:rFonts w:ascii="Calibri" w:hAnsi="Calibri" w:cs="Calibri"/>
          <w:b/>
          <w:sz w:val="22"/>
          <w:szCs w:val="22"/>
        </w:rPr>
        <w:t xml:space="preserve">Related WIDs: </w:t>
      </w:r>
      <w:r>
        <w:rPr>
          <w:rFonts w:ascii="Calibri" w:hAnsi="Calibri" w:cs="Calibri"/>
          <w:b/>
          <w:sz w:val="22"/>
          <w:szCs w:val="22"/>
        </w:rPr>
        <w:tab/>
      </w:r>
      <w:r>
        <w:rPr>
          <w:rFonts w:ascii="Calibri" w:hAnsi="Calibri" w:cs="Calibri"/>
          <w:b/>
          <w:sz w:val="22"/>
          <w:szCs w:val="22"/>
        </w:rPr>
        <w:tab/>
      </w:r>
      <w:r>
        <w:rPr>
          <w:rFonts w:ascii="Calibri" w:hAnsi="Calibri" w:cs="Calibri"/>
          <w:b/>
          <w:bCs/>
          <w:sz w:val="22"/>
          <w:szCs w:val="22"/>
          <w:lang w:val="fr-CH"/>
        </w:rPr>
        <w:t>NR_RAIL_EU_1900MHz_TDD,</w:t>
      </w:r>
      <w:r>
        <w:rPr>
          <w:rFonts w:ascii="Calibri" w:hAnsi="Calibri" w:cs="Calibri"/>
          <w:sz w:val="22"/>
          <w:szCs w:val="22"/>
          <w:lang w:val="fr-CH"/>
        </w:rPr>
        <w:t xml:space="preserve"> </w:t>
      </w:r>
      <w:r>
        <w:rPr>
          <w:rFonts w:ascii="Calibri" w:hAnsi="Calibri" w:cs="Calibri"/>
          <w:b/>
          <w:bCs/>
          <w:sz w:val="22"/>
          <w:szCs w:val="22"/>
          <w:lang w:val="fr-CH"/>
        </w:rPr>
        <w:t>RAIL_HPUE_n100_n101</w:t>
      </w:r>
    </w:p>
    <w:p w14:paraId="48BFAE37" w14:textId="77777777" w:rsidR="00CB40E6" w:rsidRDefault="00CB40E6" w:rsidP="005A6903">
      <w:pPr>
        <w:keepLines/>
        <w:pBdr>
          <w:bottom w:val="single" w:sz="12" w:space="1" w:color="auto"/>
        </w:pBdr>
        <w:tabs>
          <w:tab w:val="left" w:pos="567"/>
        </w:tabs>
        <w:rPr>
          <w:rFonts w:ascii="Calibri" w:hAnsi="Calibri" w:cs="Calibri"/>
        </w:rPr>
      </w:pPr>
    </w:p>
    <w:p w14:paraId="384E7C54" w14:textId="0F3E37E8" w:rsidR="003225D8" w:rsidRPr="007B658D" w:rsidRDefault="00314863" w:rsidP="000B2BEE">
      <w:pPr>
        <w:pStyle w:val="Heading2"/>
        <w:numPr>
          <w:ilvl w:val="0"/>
          <w:numId w:val="24"/>
        </w:numPr>
        <w:rPr>
          <w:rFonts w:asciiTheme="minorHAnsi" w:hAnsiTheme="minorHAnsi" w:cstheme="minorHAnsi"/>
        </w:rPr>
      </w:pPr>
      <w:r w:rsidRPr="007B658D">
        <w:rPr>
          <w:rFonts w:asciiTheme="minorHAnsi" w:hAnsiTheme="minorHAnsi" w:cstheme="minorHAnsi"/>
        </w:rPr>
        <w:t>Introduction</w:t>
      </w:r>
    </w:p>
    <w:p w14:paraId="39CF928D" w14:textId="1F102353" w:rsidR="00074E0E" w:rsidRDefault="009E4C39" w:rsidP="00CE26DF">
      <w:pPr>
        <w:spacing w:after="0"/>
        <w:rPr>
          <w:rFonts w:ascii="Calibri" w:hAnsi="Calibri" w:cs="Calibri"/>
        </w:rPr>
      </w:pPr>
      <w:r>
        <w:rPr>
          <w:rFonts w:ascii="Calibri" w:hAnsi="Calibri" w:cs="Calibri"/>
        </w:rPr>
        <w:t>At RAN</w:t>
      </w:r>
      <w:r w:rsidR="00F61093">
        <w:rPr>
          <w:rFonts w:ascii="Calibri" w:hAnsi="Calibri" w:cs="Calibri"/>
        </w:rPr>
        <w:t xml:space="preserve">#102 (December 2023) document RP-233879 </w:t>
      </w:r>
      <w:r w:rsidR="00702C5B">
        <w:rPr>
          <w:rFonts w:ascii="Calibri" w:hAnsi="Calibri" w:cs="Calibri"/>
        </w:rPr>
        <w:t xml:space="preserve">[1] </w:t>
      </w:r>
      <w:r w:rsidR="00F61093">
        <w:rPr>
          <w:rFonts w:ascii="Calibri" w:hAnsi="Calibri" w:cs="Calibri"/>
        </w:rPr>
        <w:t>has been submitted</w:t>
      </w:r>
      <w:r w:rsidR="007405CB">
        <w:rPr>
          <w:rFonts w:ascii="Calibri" w:hAnsi="Calibri" w:cs="Calibri"/>
        </w:rPr>
        <w:t xml:space="preserve"> </w:t>
      </w:r>
      <w:r w:rsidR="00314863">
        <w:rPr>
          <w:rFonts w:ascii="Calibri" w:hAnsi="Calibri" w:cs="Calibri"/>
        </w:rPr>
        <w:t xml:space="preserve">by a number of MFCN </w:t>
      </w:r>
      <w:r w:rsidR="00596AAA">
        <w:rPr>
          <w:rFonts w:ascii="Calibri" w:hAnsi="Calibri" w:cs="Calibri"/>
        </w:rPr>
        <w:t xml:space="preserve">operators </w:t>
      </w:r>
      <w:r w:rsidR="007405CB">
        <w:rPr>
          <w:rFonts w:ascii="Calibri" w:hAnsi="Calibri" w:cs="Calibri"/>
        </w:rPr>
        <w:t xml:space="preserve">that </w:t>
      </w:r>
    </w:p>
    <w:p w14:paraId="20046CBE" w14:textId="72B607E4" w:rsidR="009E4B35" w:rsidRDefault="00BD2D39" w:rsidP="00CE26DF">
      <w:pPr>
        <w:spacing w:after="0"/>
        <w:rPr>
          <w:rFonts w:ascii="Calibri" w:hAnsi="Calibri" w:cs="Calibri"/>
        </w:rPr>
      </w:pPr>
      <w:r>
        <w:rPr>
          <w:rFonts w:ascii="Calibri" w:hAnsi="Calibri" w:cs="Calibri"/>
        </w:rPr>
        <w:t>stated</w:t>
      </w:r>
      <w:r w:rsidR="009E4B35">
        <w:rPr>
          <w:rFonts w:ascii="Calibri" w:hAnsi="Calibri" w:cs="Calibri"/>
        </w:rPr>
        <w:t>:</w:t>
      </w:r>
    </w:p>
    <w:p w14:paraId="5DB3AAC9" w14:textId="2D3318E1" w:rsidR="00311AE4" w:rsidRPr="00311AE4" w:rsidRDefault="00311AE4" w:rsidP="00AC5705">
      <w:pPr>
        <w:ind w:left="567"/>
        <w:rPr>
          <w:rFonts w:ascii="Calibri" w:hAnsi="Calibri" w:cs="Calibri"/>
          <w:i/>
          <w:iCs/>
        </w:rPr>
      </w:pPr>
      <w:r>
        <w:rPr>
          <w:rFonts w:ascii="Calibri" w:hAnsi="Calibri" w:cs="Calibri"/>
          <w:i/>
          <w:iCs/>
        </w:rPr>
        <w:t>“</w:t>
      </w:r>
      <w:r w:rsidR="009E4B35" w:rsidRPr="009E4B35">
        <w:rPr>
          <w:rFonts w:ascii="Calibri" w:hAnsi="Calibri" w:cs="Calibri"/>
          <w:i/>
          <w:iCs/>
        </w:rPr>
        <w:t>The co-signing companies request TSG-RAN to request RAN WG 4 to investigate whether the requirement to “avoid causing interference on already established networks” has been achieved by the specifications for band n101 (including the extensions for HPUE) and, if not met, to work to correct the Release 17 and 18 specifications such that it is achieved</w:t>
      </w:r>
      <w:r>
        <w:rPr>
          <w:rFonts w:ascii="Calibri" w:hAnsi="Calibri" w:cs="Calibri"/>
          <w:i/>
          <w:iCs/>
        </w:rPr>
        <w:t>”</w:t>
      </w:r>
      <w:r w:rsidR="003E6F96">
        <w:rPr>
          <w:rFonts w:ascii="Calibri" w:hAnsi="Calibri" w:cs="Calibri"/>
          <w:i/>
          <w:iCs/>
        </w:rPr>
        <w:t>.</w:t>
      </w:r>
    </w:p>
    <w:p w14:paraId="58845308" w14:textId="36F1B2A5" w:rsidR="000F25E7" w:rsidRDefault="000F25E7" w:rsidP="00CE26DF">
      <w:pPr>
        <w:spacing w:after="0"/>
        <w:rPr>
          <w:rFonts w:ascii="Calibri" w:hAnsi="Calibri" w:cs="Calibri"/>
        </w:rPr>
      </w:pPr>
      <w:r>
        <w:rPr>
          <w:rFonts w:ascii="Calibri" w:hAnsi="Calibri" w:cs="Calibri"/>
        </w:rPr>
        <w:t xml:space="preserve">After discussion in </w:t>
      </w:r>
      <w:r w:rsidRPr="000F25E7">
        <w:rPr>
          <w:rFonts w:ascii="Calibri" w:hAnsi="Calibri" w:cs="Calibri"/>
        </w:rPr>
        <w:t>RAN#102</w:t>
      </w:r>
      <w:r w:rsidR="001B5DE6">
        <w:rPr>
          <w:rFonts w:ascii="Calibri" w:hAnsi="Calibri" w:cs="Calibri"/>
        </w:rPr>
        <w:t>,</w:t>
      </w:r>
      <w:r>
        <w:rPr>
          <w:rFonts w:ascii="Calibri" w:hAnsi="Calibri" w:cs="Calibri"/>
        </w:rPr>
        <w:t xml:space="preserve"> RAN4 was </w:t>
      </w:r>
      <w:r w:rsidR="00D80CB7">
        <w:rPr>
          <w:rFonts w:ascii="Calibri" w:hAnsi="Calibri" w:cs="Calibri"/>
        </w:rPr>
        <w:t>tasked</w:t>
      </w:r>
      <w:r w:rsidR="001B5DE6">
        <w:rPr>
          <w:rFonts w:ascii="Calibri" w:hAnsi="Calibri" w:cs="Calibri"/>
        </w:rPr>
        <w:t xml:space="preserve"> with </w:t>
      </w:r>
      <w:r w:rsidR="001B5DE6" w:rsidRPr="001B5DE6">
        <w:rPr>
          <w:rFonts w:ascii="Calibri" w:hAnsi="Calibri" w:cs="Calibri"/>
        </w:rPr>
        <w:t>RP-234008</w:t>
      </w:r>
      <w:r w:rsidR="00702C5B">
        <w:rPr>
          <w:rFonts w:ascii="Calibri" w:hAnsi="Calibri" w:cs="Calibri"/>
        </w:rPr>
        <w:t xml:space="preserve"> [2]</w:t>
      </w:r>
      <w:r w:rsidR="00D80CB7">
        <w:rPr>
          <w:rFonts w:ascii="Calibri" w:hAnsi="Calibri" w:cs="Calibri"/>
        </w:rPr>
        <w:t xml:space="preserve"> to:</w:t>
      </w:r>
    </w:p>
    <w:p w14:paraId="7808E0ED" w14:textId="28EAC4D8" w:rsidR="007405CB" w:rsidRDefault="007405CB" w:rsidP="00CE26DF">
      <w:pPr>
        <w:spacing w:after="0"/>
        <w:ind w:left="360"/>
        <w:rPr>
          <w:rFonts w:ascii="Calibri" w:hAnsi="Calibri" w:cs="Calibri"/>
          <w:i/>
          <w:iCs/>
        </w:rPr>
      </w:pPr>
      <w:r>
        <w:rPr>
          <w:rFonts w:ascii="Calibri" w:hAnsi="Calibri" w:cs="Calibri"/>
        </w:rPr>
        <w:t xml:space="preserve"> </w:t>
      </w:r>
      <w:r>
        <w:rPr>
          <w:rFonts w:ascii="Calibri" w:hAnsi="Calibri" w:cs="Calibri"/>
          <w:i/>
          <w:iCs/>
        </w:rPr>
        <w:t>“investigate what possibilities exist in the RAN4 specifications for n101 to avoid causing interference on already established networks, which corresponds to the objectives of WID NR_RAIL_EU_1900MHz_TDD, and report to RAN#103.</w:t>
      </w:r>
    </w:p>
    <w:p w14:paraId="14045432" w14:textId="2B28ACF4" w:rsidR="00521053" w:rsidRDefault="007405CB" w:rsidP="00CE26DF">
      <w:pPr>
        <w:numPr>
          <w:ilvl w:val="0"/>
          <w:numId w:val="20"/>
        </w:numPr>
        <w:spacing w:after="0"/>
        <w:rPr>
          <w:rFonts w:ascii="Calibri" w:hAnsi="Calibri" w:cs="Calibri"/>
          <w:i/>
          <w:iCs/>
        </w:rPr>
      </w:pPr>
      <w:r>
        <w:rPr>
          <w:rFonts w:ascii="Calibri" w:hAnsi="Calibri" w:cs="Calibri"/>
          <w:i/>
          <w:iCs/>
        </w:rPr>
        <w:t>Taking the applicable regulations of CEPT countries into account.”</w:t>
      </w:r>
    </w:p>
    <w:p w14:paraId="567A54C0" w14:textId="48DFD656" w:rsidR="00314863" w:rsidRDefault="00314863" w:rsidP="00CE26DF">
      <w:pPr>
        <w:spacing w:after="0"/>
        <w:rPr>
          <w:rFonts w:ascii="Calibri" w:hAnsi="Calibri" w:cs="Calibri"/>
        </w:rPr>
      </w:pPr>
      <w:r>
        <w:rPr>
          <w:rFonts w:ascii="Calibri" w:hAnsi="Calibri" w:cs="Calibri"/>
        </w:rPr>
        <w:t xml:space="preserve">In this </w:t>
      </w:r>
      <w:r w:rsidR="006219B8">
        <w:rPr>
          <w:rFonts w:ascii="Calibri" w:hAnsi="Calibri" w:cs="Calibri"/>
        </w:rPr>
        <w:t>contribution</w:t>
      </w:r>
      <w:r>
        <w:rPr>
          <w:rFonts w:ascii="Calibri" w:hAnsi="Calibri" w:cs="Calibri"/>
        </w:rPr>
        <w:t xml:space="preserve"> UIC provides an analysis of this subject and </w:t>
      </w:r>
      <w:r w:rsidR="003E6F96">
        <w:rPr>
          <w:rFonts w:ascii="Calibri" w:hAnsi="Calibri" w:cs="Calibri"/>
        </w:rPr>
        <w:t>draws a number of conclusions</w:t>
      </w:r>
      <w:r>
        <w:rPr>
          <w:rFonts w:ascii="Calibri" w:hAnsi="Calibri" w:cs="Calibri"/>
        </w:rPr>
        <w:t>.</w:t>
      </w:r>
    </w:p>
    <w:p w14:paraId="56DCC796" w14:textId="590E4299" w:rsidR="00314863" w:rsidRPr="007B658D" w:rsidRDefault="00314863" w:rsidP="00540085">
      <w:pPr>
        <w:pStyle w:val="Heading2"/>
        <w:numPr>
          <w:ilvl w:val="0"/>
          <w:numId w:val="24"/>
        </w:numPr>
        <w:rPr>
          <w:rFonts w:asciiTheme="minorHAnsi" w:hAnsiTheme="minorHAnsi" w:cstheme="minorHAnsi"/>
        </w:rPr>
      </w:pPr>
      <w:r w:rsidRPr="007B658D">
        <w:rPr>
          <w:rFonts w:asciiTheme="minorHAnsi" w:hAnsiTheme="minorHAnsi" w:cstheme="minorHAnsi"/>
        </w:rPr>
        <w:t>UIC analysis</w:t>
      </w:r>
    </w:p>
    <w:p w14:paraId="262AD02A" w14:textId="26AAA744" w:rsidR="002F1DE8" w:rsidRDefault="00E04137" w:rsidP="007405CB">
      <w:pPr>
        <w:rPr>
          <w:rFonts w:ascii="Calibri" w:hAnsi="Calibri" w:cs="Calibri"/>
        </w:rPr>
      </w:pPr>
      <w:r>
        <w:rPr>
          <w:rFonts w:ascii="Calibri" w:hAnsi="Calibri" w:cs="Calibri"/>
        </w:rPr>
        <w:t>The band n101 has been defined in RAN4 as a result of the WID RP-211542</w:t>
      </w:r>
      <w:r w:rsidR="00702C5B">
        <w:rPr>
          <w:rFonts w:ascii="Calibri" w:hAnsi="Calibri" w:cs="Calibri"/>
        </w:rPr>
        <w:t xml:space="preserve"> [3]</w:t>
      </w:r>
      <w:r>
        <w:rPr>
          <w:rFonts w:ascii="Calibri" w:hAnsi="Calibri" w:cs="Calibri"/>
        </w:rPr>
        <w:t>. Report TR 38.852</w:t>
      </w:r>
      <w:r w:rsidR="00702C5B">
        <w:rPr>
          <w:rFonts w:ascii="Calibri" w:hAnsi="Calibri" w:cs="Calibri"/>
        </w:rPr>
        <w:t xml:space="preserve"> [4]</w:t>
      </w:r>
      <w:r>
        <w:rPr>
          <w:rFonts w:ascii="Calibri" w:hAnsi="Calibri" w:cs="Calibri"/>
        </w:rPr>
        <w:t xml:space="preserve"> has provided </w:t>
      </w:r>
      <w:r w:rsidR="004131B4">
        <w:rPr>
          <w:rFonts w:ascii="Calibri" w:hAnsi="Calibri" w:cs="Calibri"/>
        </w:rPr>
        <w:t xml:space="preserve">both the regulatory background and the </w:t>
      </w:r>
      <w:r>
        <w:rPr>
          <w:rFonts w:ascii="Calibri" w:hAnsi="Calibri" w:cs="Calibri"/>
        </w:rPr>
        <w:t xml:space="preserve">technical </w:t>
      </w:r>
      <w:r w:rsidR="003876FC">
        <w:rPr>
          <w:rFonts w:ascii="Calibri" w:hAnsi="Calibri" w:cs="Calibri"/>
        </w:rPr>
        <w:t>conditions</w:t>
      </w:r>
      <w:r>
        <w:rPr>
          <w:rFonts w:ascii="Calibri" w:hAnsi="Calibri" w:cs="Calibri"/>
        </w:rPr>
        <w:t xml:space="preserve"> for this</w:t>
      </w:r>
      <w:r w:rsidR="005A0002">
        <w:rPr>
          <w:rFonts w:ascii="Calibri" w:hAnsi="Calibri" w:cs="Calibri"/>
        </w:rPr>
        <w:t>, an</w:t>
      </w:r>
      <w:r w:rsidR="002F1DE8">
        <w:rPr>
          <w:rFonts w:ascii="Calibri" w:hAnsi="Calibri" w:cs="Calibri"/>
        </w:rPr>
        <w:t xml:space="preserve">d </w:t>
      </w:r>
      <w:r w:rsidR="005A0002">
        <w:rPr>
          <w:rFonts w:ascii="Calibri" w:hAnsi="Calibri" w:cs="Calibri"/>
        </w:rPr>
        <w:t>has concluded</w:t>
      </w:r>
      <w:r w:rsidR="002F1DE8">
        <w:rPr>
          <w:rFonts w:ascii="Calibri" w:hAnsi="Calibri" w:cs="Calibri"/>
        </w:rPr>
        <w:t xml:space="preserve"> that:</w:t>
      </w:r>
    </w:p>
    <w:p w14:paraId="77D5BB86" w14:textId="1498B796" w:rsidR="002F1DE8" w:rsidRPr="00AC5705" w:rsidRDefault="00B7797D" w:rsidP="00AC5705">
      <w:pPr>
        <w:spacing w:after="0"/>
        <w:ind w:left="567"/>
        <w:rPr>
          <w:rFonts w:ascii="Calibri" w:hAnsi="Calibri" w:cs="Calibri"/>
          <w:i/>
          <w:iCs/>
        </w:rPr>
      </w:pPr>
      <w:r w:rsidRPr="00AC5705">
        <w:rPr>
          <w:rFonts w:ascii="Calibri" w:hAnsi="Calibri" w:cs="Calibri"/>
          <w:i/>
          <w:iCs/>
        </w:rPr>
        <w:t>“</w:t>
      </w:r>
      <w:r w:rsidR="002F1DE8" w:rsidRPr="00AC5705">
        <w:rPr>
          <w:rFonts w:ascii="Calibri" w:hAnsi="Calibri" w:cs="Calibri"/>
          <w:i/>
          <w:iCs/>
        </w:rPr>
        <w:t>The study dealt with how the 1900-1910MHz spectrum block (RMR1900) can be used for rail communication using 5G NR applicable in Europe. The subject-areas 5G NR system, BS RF and UE RF were examined in detail.</w:t>
      </w:r>
    </w:p>
    <w:p w14:paraId="5D880800" w14:textId="76EA2D63" w:rsidR="002F1DE8" w:rsidRPr="00AC5705" w:rsidRDefault="002F1DE8" w:rsidP="00AC5705">
      <w:pPr>
        <w:spacing w:after="0"/>
        <w:ind w:left="567"/>
        <w:rPr>
          <w:rFonts w:ascii="Calibri" w:hAnsi="Calibri" w:cs="Calibri"/>
          <w:i/>
          <w:iCs/>
        </w:rPr>
      </w:pPr>
      <w:r w:rsidRPr="00AC5705">
        <w:rPr>
          <w:rFonts w:ascii="Calibri" w:hAnsi="Calibri" w:cs="Calibri"/>
          <w:i/>
          <w:iCs/>
        </w:rPr>
        <w:t>General:</w:t>
      </w:r>
      <w:r w:rsidR="00AC5705">
        <w:rPr>
          <w:rFonts w:ascii="Calibri" w:hAnsi="Calibri" w:cs="Calibri"/>
          <w:i/>
          <w:iCs/>
        </w:rPr>
        <w:t xml:space="preserve"> </w:t>
      </w:r>
      <w:r w:rsidRPr="00AC5705">
        <w:rPr>
          <w:rFonts w:ascii="Calibri" w:hAnsi="Calibri" w:cs="Calibri"/>
          <w:i/>
          <w:iCs/>
        </w:rPr>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46A7DFCF" w14:textId="77777777" w:rsidR="002F1DE8" w:rsidRPr="00AC5705" w:rsidRDefault="002F1DE8" w:rsidP="00AC5705">
      <w:pPr>
        <w:spacing w:after="0"/>
        <w:ind w:left="567"/>
        <w:rPr>
          <w:rFonts w:ascii="Calibri" w:hAnsi="Calibri" w:cs="Calibri"/>
          <w:i/>
          <w:iCs/>
        </w:rPr>
      </w:pPr>
      <w:r w:rsidRPr="00AC5705">
        <w:rPr>
          <w:rFonts w:ascii="Calibri" w:hAnsi="Calibri" w:cs="Calibri"/>
          <w:i/>
          <w:iCs/>
        </w:rPr>
        <w:t>System Parameter:</w:t>
      </w:r>
      <w:r w:rsidRPr="00AC5705">
        <w:rPr>
          <w:rFonts w:ascii="Calibri" w:hAnsi="Calibri" w:cs="Calibri"/>
          <w:i/>
          <w:iCs/>
        </w:rPr>
        <w:tab/>
        <w:t>The RMR1900 spectrum block can be used by either a 10MHz CBW or a 5MHz CBW. The corresponding system parameters are to be transferred to 3GPP TS 38.101-1 [2] and 3GPP TS 38.104 [4].</w:t>
      </w:r>
    </w:p>
    <w:p w14:paraId="3141F30C" w14:textId="77777777" w:rsidR="002F1DE8" w:rsidRPr="00AC5705" w:rsidRDefault="002F1DE8" w:rsidP="00AC5705">
      <w:pPr>
        <w:spacing w:after="0"/>
        <w:ind w:left="567"/>
        <w:rPr>
          <w:rFonts w:ascii="Calibri" w:hAnsi="Calibri" w:cs="Calibri"/>
          <w:i/>
          <w:iCs/>
        </w:rPr>
      </w:pPr>
      <w:r w:rsidRPr="00AC5705">
        <w:rPr>
          <w:rFonts w:ascii="Calibri" w:hAnsi="Calibri" w:cs="Calibri"/>
          <w:i/>
          <w:iCs/>
        </w:rPr>
        <w:t>BS RF:</w:t>
      </w:r>
      <w:r w:rsidRPr="00AC5705">
        <w:rPr>
          <w:rFonts w:ascii="Calibri" w:hAnsi="Calibri" w:cs="Calibri"/>
          <w:i/>
          <w:iCs/>
        </w:rPr>
        <w:tab/>
        <w:t xml:space="preserve">The ECC Decision (20)02 [1], i.e. EIRP limits were analysed accordingly and the necessary conclusions for an uncoordinated operational approach were derived. These include the BS rated output power using corresponding assumptions, the resulting emission values of the transmitter and the specifications of the </w:t>
      </w:r>
      <w:r w:rsidRPr="00AC5705">
        <w:rPr>
          <w:rFonts w:ascii="Calibri" w:hAnsi="Calibri" w:cs="Calibri"/>
          <w:i/>
          <w:iCs/>
        </w:rPr>
        <w:lastRenderedPageBreak/>
        <w:t>receiver. The agreed  parameters are to be transferred to 3GPP TS 38.104 [4]. Furthermore, the coexistence with other 3GPP radio technologies has been included. These are to be captured in the corresponding normative 3GPP technical specifications.</w:t>
      </w:r>
    </w:p>
    <w:p w14:paraId="0760836B" w14:textId="58DCC060" w:rsidR="002F1DE8" w:rsidRPr="00AC5705" w:rsidRDefault="002F1DE8" w:rsidP="00AC5705">
      <w:pPr>
        <w:spacing w:after="0"/>
        <w:ind w:left="567"/>
        <w:rPr>
          <w:rFonts w:ascii="Calibri" w:hAnsi="Calibri" w:cs="Calibri"/>
          <w:i/>
          <w:iCs/>
        </w:rPr>
      </w:pPr>
      <w:r w:rsidRPr="00AC5705">
        <w:rPr>
          <w:rFonts w:ascii="Calibri" w:hAnsi="Calibri" w:cs="Calibri"/>
          <w:i/>
          <w:iCs/>
        </w:rPr>
        <w:t>UE RF:</w:t>
      </w:r>
      <w:r w:rsidRPr="00AC5705">
        <w:rPr>
          <w:rFonts w:ascii="Calibri" w:hAnsi="Calibri" w:cs="Calibri"/>
          <w:i/>
          <w:iCs/>
        </w:rPr>
        <w:tab/>
        <w:t>The ECC Decision (20)02 [1], i.e. EIRP limits were analysed accordingly, and the necessary conclusions were derived for the use of Power Class 3 (23dBm). The agreed parameters in the present TR are to be transferred  to 3GPP TS 38.101-1 [2]</w:t>
      </w:r>
      <w:r w:rsidR="00B7797D" w:rsidRPr="00AC5705">
        <w:rPr>
          <w:rFonts w:ascii="Calibri" w:hAnsi="Calibri" w:cs="Calibri"/>
          <w:i/>
          <w:iCs/>
        </w:rPr>
        <w:t>”.</w:t>
      </w:r>
    </w:p>
    <w:p w14:paraId="1115EB3A" w14:textId="19D7673B" w:rsidR="00E416AF" w:rsidRDefault="008C181F" w:rsidP="007405CB">
      <w:pPr>
        <w:rPr>
          <w:rFonts w:ascii="Calibri" w:hAnsi="Calibri" w:cs="Calibri"/>
        </w:rPr>
      </w:pPr>
      <w:r>
        <w:rPr>
          <w:rFonts w:ascii="Calibri" w:hAnsi="Calibri" w:cs="Calibri"/>
          <w:b/>
          <w:bCs/>
        </w:rPr>
        <w:t xml:space="preserve">Observation 1: </w:t>
      </w:r>
      <w:r w:rsidRPr="0046027E">
        <w:rPr>
          <w:rFonts w:ascii="Calibri" w:hAnsi="Calibri" w:cs="Calibri"/>
          <w:b/>
          <w:bCs/>
        </w:rPr>
        <w:t>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sidRPr="008C181F">
        <w:rPr>
          <w:rFonts w:ascii="Calibri" w:hAnsi="Calibri" w:cs="Calibri"/>
        </w:rPr>
        <w:t>.</w:t>
      </w:r>
    </w:p>
    <w:p w14:paraId="0CF7DD96" w14:textId="08590AA5" w:rsidR="00E416AF" w:rsidRDefault="0040447B" w:rsidP="007405CB">
      <w:pPr>
        <w:rPr>
          <w:rFonts w:ascii="Calibri" w:hAnsi="Calibri" w:cs="Calibri"/>
        </w:rPr>
      </w:pPr>
      <w:r>
        <w:rPr>
          <w:rFonts w:ascii="Calibri" w:hAnsi="Calibri" w:cs="Calibri"/>
        </w:rPr>
        <w:t xml:space="preserve">In </w:t>
      </w:r>
      <w:r w:rsidRPr="0040447B">
        <w:rPr>
          <w:rFonts w:ascii="Calibri" w:hAnsi="Calibri" w:cs="Calibri"/>
        </w:rPr>
        <w:t>TSG RAN#95-e</w:t>
      </w:r>
      <w:r>
        <w:rPr>
          <w:rFonts w:ascii="Calibri" w:hAnsi="Calibri" w:cs="Calibri"/>
        </w:rPr>
        <w:t xml:space="preserve"> document </w:t>
      </w:r>
      <w:r w:rsidRPr="0040447B">
        <w:rPr>
          <w:rFonts w:ascii="Calibri" w:hAnsi="Calibri" w:cs="Calibri"/>
        </w:rPr>
        <w:t xml:space="preserve">RP-220376 [6] </w:t>
      </w:r>
      <w:r>
        <w:rPr>
          <w:rFonts w:ascii="Calibri" w:hAnsi="Calibri" w:cs="Calibri"/>
        </w:rPr>
        <w:t>has been approved</w:t>
      </w:r>
      <w:r w:rsidRPr="0040447B">
        <w:rPr>
          <w:rFonts w:ascii="Calibri" w:hAnsi="Calibri" w:cs="Calibri"/>
        </w:rPr>
        <w:t xml:space="preserve"> </w:t>
      </w:r>
      <w:r w:rsidR="00F408A5">
        <w:rPr>
          <w:rFonts w:ascii="Calibri" w:hAnsi="Calibri" w:cs="Calibri"/>
        </w:rPr>
        <w:t xml:space="preserve">which </w:t>
      </w:r>
      <w:r w:rsidR="0010333D">
        <w:rPr>
          <w:rFonts w:ascii="Calibri" w:hAnsi="Calibri" w:cs="Calibri"/>
        </w:rPr>
        <w:t>de</w:t>
      </w:r>
      <w:r w:rsidR="001112AB">
        <w:rPr>
          <w:rFonts w:ascii="Calibri" w:hAnsi="Calibri" w:cs="Calibri"/>
        </w:rPr>
        <w:t>f</w:t>
      </w:r>
      <w:r w:rsidR="0010333D">
        <w:rPr>
          <w:rFonts w:ascii="Calibri" w:hAnsi="Calibri" w:cs="Calibri"/>
        </w:rPr>
        <w:t xml:space="preserve">ined the following </w:t>
      </w:r>
      <w:r w:rsidR="001112AB">
        <w:rPr>
          <w:rFonts w:ascii="Calibri" w:hAnsi="Calibri" w:cs="Calibri"/>
        </w:rPr>
        <w:t>additional</w:t>
      </w:r>
      <w:r w:rsidR="0010333D">
        <w:rPr>
          <w:rFonts w:ascii="Calibri" w:hAnsi="Calibri" w:cs="Calibri"/>
        </w:rPr>
        <w:t xml:space="preserve"> </w:t>
      </w:r>
      <w:r w:rsidR="00452786">
        <w:rPr>
          <w:rFonts w:ascii="Calibri" w:hAnsi="Calibri" w:cs="Calibri"/>
        </w:rPr>
        <w:t>requirements</w:t>
      </w:r>
      <w:r w:rsidR="006D36B4">
        <w:rPr>
          <w:rFonts w:ascii="Calibri" w:hAnsi="Calibri" w:cs="Calibri"/>
        </w:rPr>
        <w:t xml:space="preserve"> </w:t>
      </w:r>
      <w:r w:rsidR="00F90304">
        <w:rPr>
          <w:rFonts w:ascii="Calibri" w:hAnsi="Calibri" w:cs="Calibri"/>
        </w:rPr>
        <w:t>based</w:t>
      </w:r>
      <w:r w:rsidR="006D36B4">
        <w:rPr>
          <w:rFonts w:ascii="Calibri" w:hAnsi="Calibri" w:cs="Calibri"/>
        </w:rPr>
        <w:t xml:space="preserve"> on the </w:t>
      </w:r>
      <w:r w:rsidR="001112AB">
        <w:rPr>
          <w:rFonts w:ascii="Calibri" w:hAnsi="Calibri" w:cs="Calibri"/>
        </w:rPr>
        <w:t xml:space="preserve"> </w:t>
      </w:r>
      <w:r w:rsidR="00F90304">
        <w:rPr>
          <w:rFonts w:ascii="Calibri" w:hAnsi="Calibri" w:cs="Calibri"/>
        </w:rPr>
        <w:t>E</w:t>
      </w:r>
      <w:r w:rsidR="00F90304" w:rsidRPr="008C181F">
        <w:rPr>
          <w:rFonts w:ascii="Calibri" w:hAnsi="Calibri" w:cs="Calibri"/>
        </w:rPr>
        <w:t xml:space="preserve">CC Decision (20)02 </w:t>
      </w:r>
      <w:r w:rsidR="00F90304">
        <w:rPr>
          <w:rFonts w:ascii="Calibri" w:hAnsi="Calibri" w:cs="Calibri"/>
        </w:rPr>
        <w:t>defined LRTC</w:t>
      </w:r>
      <w:r w:rsidR="00DA3A28">
        <w:rPr>
          <w:rFonts w:ascii="Calibri" w:hAnsi="Calibri" w:cs="Calibri"/>
        </w:rPr>
        <w:t xml:space="preserve"> and</w:t>
      </w:r>
      <w:r w:rsidR="00DA3A28" w:rsidRPr="00DA3A28">
        <w:rPr>
          <w:rFonts w:ascii="Calibri" w:hAnsi="Calibri" w:cs="Calibri"/>
        </w:rPr>
        <w:t xml:space="preserve"> </w:t>
      </w:r>
      <w:r w:rsidR="00DA3A28" w:rsidRPr="00044A3A">
        <w:rPr>
          <w:rFonts w:ascii="Calibri" w:hAnsi="Calibri" w:cs="Calibri"/>
        </w:rPr>
        <w:t>BS receiver characteristics</w:t>
      </w:r>
      <w:r w:rsidR="00F90304">
        <w:rPr>
          <w:rFonts w:ascii="Calibri" w:hAnsi="Calibri" w:cs="Calibri"/>
        </w:rPr>
        <w:t xml:space="preserve"> </w:t>
      </w:r>
      <w:r w:rsidR="001112AB">
        <w:rPr>
          <w:rFonts w:ascii="Calibri" w:hAnsi="Calibri" w:cs="Calibri"/>
        </w:rPr>
        <w:t>for RMR in band n101:</w:t>
      </w:r>
    </w:p>
    <w:p w14:paraId="1011BD60" w14:textId="77777777" w:rsidR="00044A3A" w:rsidRPr="00044A3A" w:rsidRDefault="00044A3A" w:rsidP="00F90304">
      <w:pPr>
        <w:numPr>
          <w:ilvl w:val="1"/>
          <w:numId w:val="26"/>
        </w:numPr>
        <w:spacing w:after="0"/>
        <w:rPr>
          <w:rFonts w:ascii="Calibri" w:hAnsi="Calibri" w:cs="Calibri"/>
        </w:rPr>
      </w:pPr>
      <w:r w:rsidRPr="00044A3A">
        <w:rPr>
          <w:rFonts w:ascii="Calibri" w:hAnsi="Calibri" w:cs="Calibri"/>
        </w:rPr>
        <w:t>The base station maximum output power in band n101 is limited to 51 dBm/10MHz or 48 dBm/5MHz at the base station antenna connector. Note that this limit is derived from the 65 dBm EIRP limit in the ECC Decision (20)02 using an antenna gain of 18 dBi and 4 dB losses in accordance with the ECC Report 318 [7], in order to specify the limit at the base station antenna connector as explained in clause 7.1.1 in [4].</w:t>
      </w:r>
    </w:p>
    <w:p w14:paraId="139ABD68" w14:textId="30530679" w:rsidR="00044A3A" w:rsidRPr="00044A3A" w:rsidRDefault="00044A3A" w:rsidP="00F90304">
      <w:pPr>
        <w:numPr>
          <w:ilvl w:val="1"/>
          <w:numId w:val="26"/>
        </w:numPr>
        <w:spacing w:after="0"/>
        <w:rPr>
          <w:rFonts w:ascii="Calibri" w:hAnsi="Calibri" w:cs="Calibri"/>
        </w:rPr>
      </w:pPr>
      <w:r w:rsidRPr="00044A3A">
        <w:rPr>
          <w:rFonts w:ascii="Calibri" w:hAnsi="Calibri" w:cs="Calibri"/>
        </w:rPr>
        <w:t xml:space="preserve">The maximum spurious emissions in 1920 to 1980 MHz are limited to -57 dBm/5MHz for base stations in band n101. </w:t>
      </w:r>
      <w:r w:rsidR="00E32B01">
        <w:rPr>
          <w:rFonts w:ascii="Calibri" w:hAnsi="Calibri" w:cs="Calibri"/>
        </w:rPr>
        <w:t>T</w:t>
      </w:r>
      <w:r w:rsidRPr="00044A3A">
        <w:rPr>
          <w:rFonts w:ascii="Calibri" w:hAnsi="Calibri" w:cs="Calibri"/>
        </w:rPr>
        <w:t>his limit is derived from the -43 dBm/5MHz EIRP limit in the ECC Decision (20)02 using an antenna gain of 18 dBi and 4 dB losses to specify the limit at the base station antenna connector.</w:t>
      </w:r>
    </w:p>
    <w:p w14:paraId="4C1DB1DA" w14:textId="06DA6C2B" w:rsidR="001A5F87" w:rsidRDefault="00044A3A" w:rsidP="00F90304">
      <w:pPr>
        <w:numPr>
          <w:ilvl w:val="1"/>
          <w:numId w:val="26"/>
        </w:numPr>
        <w:spacing w:after="0"/>
        <w:rPr>
          <w:rFonts w:ascii="Calibri" w:hAnsi="Calibri" w:cs="Calibri"/>
        </w:rPr>
      </w:pPr>
      <w:r w:rsidRPr="00044A3A">
        <w:rPr>
          <w:rFonts w:ascii="Calibri" w:hAnsi="Calibri" w:cs="Calibri"/>
        </w:rPr>
        <w:t>The out-of-band blocking requirements for base stations in band n101 which allow a maximum 3dB receiver desensitisation in the presence of a -20 dBm 5 MHz LTE interfering signal with centre frequencies between 1807.5 to 1877.5 MHz.</w:t>
      </w:r>
    </w:p>
    <w:p w14:paraId="2BDACEEF" w14:textId="3DD60344" w:rsidR="00DF7C6A" w:rsidRPr="007A3D2B" w:rsidRDefault="00F90304" w:rsidP="007405CB">
      <w:pPr>
        <w:rPr>
          <w:rFonts w:ascii="Calibri" w:hAnsi="Calibri" w:cs="Calibri"/>
          <w:b/>
          <w:bCs/>
        </w:rPr>
      </w:pPr>
      <w:r w:rsidRPr="0046027E">
        <w:rPr>
          <w:rFonts w:ascii="Calibri" w:hAnsi="Calibri" w:cs="Calibri"/>
          <w:b/>
          <w:bCs/>
        </w:rPr>
        <w:t xml:space="preserve">Observation 2: The technical conditions specified in ECC Decision (20)02 [5], i.e. </w:t>
      </w:r>
      <w:r w:rsidR="00F477C9" w:rsidRPr="0046027E">
        <w:rPr>
          <w:rFonts w:ascii="Calibri" w:hAnsi="Calibri" w:cs="Calibri"/>
          <w:b/>
          <w:bCs/>
        </w:rPr>
        <w:t xml:space="preserve">the </w:t>
      </w:r>
      <w:r w:rsidR="008A6A16" w:rsidRPr="0046027E">
        <w:rPr>
          <w:rFonts w:ascii="Calibri" w:hAnsi="Calibri" w:cs="Calibri"/>
          <w:b/>
          <w:bCs/>
        </w:rPr>
        <w:t>BS rated output power using corresponding assumptions</w:t>
      </w:r>
      <w:r w:rsidR="00F477C9" w:rsidRPr="0046027E">
        <w:rPr>
          <w:rFonts w:ascii="Calibri" w:hAnsi="Calibri" w:cs="Calibri"/>
          <w:b/>
          <w:bCs/>
        </w:rPr>
        <w:t xml:space="preserve"> to convert from the EIRP limits</w:t>
      </w:r>
      <w:r w:rsidR="008A6A16" w:rsidRPr="0046027E">
        <w:rPr>
          <w:rFonts w:ascii="Calibri" w:hAnsi="Calibri" w:cs="Calibri"/>
          <w:b/>
          <w:bCs/>
        </w:rPr>
        <w:t>, the resulting emission values of the transmitter and the specifications of the receiver</w:t>
      </w:r>
      <w:r w:rsidRPr="0046027E">
        <w:rPr>
          <w:rFonts w:ascii="Calibri" w:hAnsi="Calibri" w:cs="Calibri"/>
          <w:b/>
          <w:bCs/>
        </w:rPr>
        <w:t xml:space="preserve"> </w:t>
      </w:r>
      <w:r w:rsidR="00F477C9" w:rsidRPr="0046027E">
        <w:rPr>
          <w:rFonts w:ascii="Calibri" w:hAnsi="Calibri" w:cs="Calibri"/>
          <w:b/>
          <w:bCs/>
        </w:rPr>
        <w:t>have been transferred to the 3GPP specifications.</w:t>
      </w:r>
    </w:p>
    <w:p w14:paraId="4692DB6E" w14:textId="113379E6" w:rsidR="00D710C9" w:rsidRDefault="00DF7C6A" w:rsidP="007405CB">
      <w:pPr>
        <w:rPr>
          <w:rFonts w:ascii="Calibri" w:hAnsi="Calibri" w:cs="Calibri"/>
        </w:rPr>
      </w:pPr>
      <w:r>
        <w:rPr>
          <w:rFonts w:ascii="Calibri" w:hAnsi="Calibri" w:cs="Calibri"/>
        </w:rPr>
        <w:t>For the</w:t>
      </w:r>
      <w:r w:rsidR="007A3D2B" w:rsidRPr="007A3D2B">
        <w:t xml:space="preserve"> </w:t>
      </w:r>
      <w:r w:rsidR="007A3D2B" w:rsidRPr="007A3D2B">
        <w:rPr>
          <w:rFonts w:ascii="Calibri" w:hAnsi="Calibri" w:cs="Calibri"/>
        </w:rPr>
        <w:t>Regulatory background</w:t>
      </w:r>
      <w:r>
        <w:rPr>
          <w:rFonts w:ascii="Calibri" w:hAnsi="Calibri" w:cs="Calibri"/>
        </w:rPr>
        <w:t xml:space="preserve"> </w:t>
      </w:r>
      <w:r w:rsidR="007A3D2B">
        <w:rPr>
          <w:rFonts w:ascii="Calibri" w:hAnsi="Calibri" w:cs="Calibri"/>
        </w:rPr>
        <w:t>t</w:t>
      </w:r>
      <w:r w:rsidR="0046027E">
        <w:rPr>
          <w:rFonts w:ascii="Calibri" w:hAnsi="Calibri" w:cs="Calibri"/>
        </w:rPr>
        <w:t xml:space="preserve">he </w:t>
      </w:r>
      <w:r w:rsidR="0046027E" w:rsidRPr="0046027E">
        <w:rPr>
          <w:rFonts w:ascii="Calibri" w:hAnsi="Calibri" w:cs="Calibri"/>
        </w:rPr>
        <w:t xml:space="preserve">TR 38.852 [4] </w:t>
      </w:r>
      <w:r w:rsidR="00E04137">
        <w:rPr>
          <w:rFonts w:ascii="Calibri" w:hAnsi="Calibri" w:cs="Calibri"/>
        </w:rPr>
        <w:t xml:space="preserve">specifically refers to the </w:t>
      </w:r>
      <w:r w:rsidR="00992111">
        <w:rPr>
          <w:rFonts w:ascii="Calibri" w:hAnsi="Calibri" w:cs="Calibri"/>
        </w:rPr>
        <w:t>Commission Implementing Decision</w:t>
      </w:r>
      <w:r w:rsidR="00795293">
        <w:rPr>
          <w:rFonts w:ascii="Calibri" w:hAnsi="Calibri" w:cs="Calibri"/>
        </w:rPr>
        <w:t xml:space="preserve"> (EU) 2021/1730 </w:t>
      </w:r>
      <w:r w:rsidR="002229A3">
        <w:rPr>
          <w:rFonts w:ascii="Calibri" w:hAnsi="Calibri" w:cs="Calibri"/>
        </w:rPr>
        <w:t>[9]</w:t>
      </w:r>
      <w:r w:rsidR="00795293">
        <w:rPr>
          <w:rFonts w:ascii="Calibri" w:hAnsi="Calibri" w:cs="Calibri"/>
        </w:rPr>
        <w:t xml:space="preserve"> </w:t>
      </w:r>
      <w:r w:rsidR="00E04137">
        <w:rPr>
          <w:rFonts w:ascii="Calibri" w:hAnsi="Calibri" w:cs="Calibri"/>
        </w:rPr>
        <w:t>and the ECC Decision(20)02</w:t>
      </w:r>
      <w:r w:rsidR="0046027E">
        <w:rPr>
          <w:rFonts w:ascii="Calibri" w:hAnsi="Calibri" w:cs="Calibri"/>
        </w:rPr>
        <w:t xml:space="preserve"> </w:t>
      </w:r>
      <w:r w:rsidR="002229A3">
        <w:rPr>
          <w:rFonts w:ascii="Calibri" w:hAnsi="Calibri" w:cs="Calibri"/>
        </w:rPr>
        <w:t xml:space="preserve">[5] </w:t>
      </w:r>
      <w:r w:rsidR="0046027E">
        <w:rPr>
          <w:rFonts w:ascii="Calibri" w:hAnsi="Calibri" w:cs="Calibri"/>
        </w:rPr>
        <w:t xml:space="preserve">that </w:t>
      </w:r>
      <w:r w:rsidR="006C4A56">
        <w:rPr>
          <w:rFonts w:ascii="Calibri" w:hAnsi="Calibri" w:cs="Calibri"/>
        </w:rPr>
        <w:t xml:space="preserve">define the applicable regulatory conditions and the technical conditions </w:t>
      </w:r>
      <w:r w:rsidR="00331E34">
        <w:rPr>
          <w:rFonts w:ascii="Calibri" w:hAnsi="Calibri" w:cs="Calibri"/>
        </w:rPr>
        <w:t>for the use of the 1900 – 1910 MHz by Railway Mobile Radio.</w:t>
      </w:r>
      <w:r w:rsidR="00137B63">
        <w:rPr>
          <w:rFonts w:ascii="Calibri" w:hAnsi="Calibri" w:cs="Calibri"/>
        </w:rPr>
        <w:t xml:space="preserve"> </w:t>
      </w:r>
      <w:r w:rsidR="002229A3">
        <w:rPr>
          <w:rFonts w:ascii="Calibri" w:hAnsi="Calibri" w:cs="Calibri"/>
        </w:rPr>
        <w:t>T</w:t>
      </w:r>
      <w:r w:rsidR="00992111">
        <w:rPr>
          <w:rFonts w:ascii="Calibri" w:hAnsi="Calibri" w:cs="Calibri"/>
        </w:rPr>
        <w:t xml:space="preserve">he Commission Implementing Decision (EU) 2021/1730 states in </w:t>
      </w:r>
      <w:r w:rsidR="00754FFB">
        <w:rPr>
          <w:rFonts w:ascii="Calibri" w:hAnsi="Calibri" w:cs="Calibri"/>
        </w:rPr>
        <w:t xml:space="preserve">Whereas: </w:t>
      </w:r>
      <w:r w:rsidR="00D710C9">
        <w:rPr>
          <w:rFonts w:ascii="Calibri" w:hAnsi="Calibri" w:cs="Calibri"/>
        </w:rPr>
        <w:t>8)</w:t>
      </w:r>
    </w:p>
    <w:p w14:paraId="3286BAAE" w14:textId="2C302234" w:rsidR="00095BE3" w:rsidRDefault="00D710C9" w:rsidP="002D7385">
      <w:pPr>
        <w:ind w:left="567"/>
        <w:rPr>
          <w:rFonts w:ascii="Calibri" w:hAnsi="Calibri" w:cs="Calibri"/>
        </w:rPr>
      </w:pPr>
      <w:r>
        <w:rPr>
          <w:rFonts w:ascii="Calibri" w:hAnsi="Calibri" w:cs="Calibri"/>
        </w:rPr>
        <w:t>“</w:t>
      </w:r>
      <w:r w:rsidR="00095BE3">
        <w:rPr>
          <w:rFonts w:ascii="Calibri" w:hAnsi="Calibri" w:cs="Calibri"/>
          <w:i/>
          <w:iCs/>
        </w:rPr>
        <w:t>The harmonised technical conditions for RMR (FRMCS) base stations operating in the 1 900-1 910MHz band as defined in CEPT Report 76,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r>
        <w:rPr>
          <w:rFonts w:ascii="Calibri" w:hAnsi="Calibri" w:cs="Calibri"/>
        </w:rPr>
        <w:t>”.</w:t>
      </w:r>
    </w:p>
    <w:p w14:paraId="2696205A" w14:textId="4DF492CD" w:rsidR="0045461D" w:rsidRDefault="004143DF" w:rsidP="0027608F">
      <w:pPr>
        <w:rPr>
          <w:rFonts w:ascii="Calibri" w:hAnsi="Calibri" w:cs="Calibri"/>
        </w:rPr>
      </w:pPr>
      <w:r>
        <w:rPr>
          <w:rFonts w:ascii="Calibri" w:hAnsi="Calibri" w:cs="Calibri"/>
        </w:rPr>
        <w:t>As indicated in the Whereas 8),</w:t>
      </w:r>
      <w:r w:rsidR="002D7385">
        <w:rPr>
          <w:rFonts w:ascii="Calibri" w:hAnsi="Calibri" w:cs="Calibri"/>
        </w:rPr>
        <w:t xml:space="preserve"> Commission Implementing Decision (EU) 2021/1730 has been based on the </w:t>
      </w:r>
      <w:r w:rsidR="0045461D">
        <w:rPr>
          <w:rFonts w:ascii="Calibri" w:hAnsi="Calibri" w:cs="Calibri"/>
        </w:rPr>
        <w:t>CEPT Report 76</w:t>
      </w:r>
      <w:r w:rsidR="00CD78E1">
        <w:rPr>
          <w:rFonts w:ascii="Calibri" w:hAnsi="Calibri" w:cs="Calibri"/>
        </w:rPr>
        <w:t xml:space="preserve"> [10]</w:t>
      </w:r>
      <w:r w:rsidR="0027608F">
        <w:rPr>
          <w:rFonts w:ascii="Calibri" w:hAnsi="Calibri" w:cs="Calibri"/>
        </w:rPr>
        <w:t xml:space="preserve">. </w:t>
      </w:r>
      <w:r w:rsidR="005E7EE0">
        <w:rPr>
          <w:rFonts w:ascii="Calibri" w:hAnsi="Calibri" w:cs="Calibri"/>
        </w:rPr>
        <w:t xml:space="preserve"> </w:t>
      </w:r>
      <w:r w:rsidR="00282A05">
        <w:rPr>
          <w:rFonts w:ascii="Calibri" w:hAnsi="Calibri" w:cs="Calibri"/>
        </w:rPr>
        <w:t xml:space="preserve">CEPT </w:t>
      </w:r>
      <w:r w:rsidR="005E7EE0">
        <w:rPr>
          <w:rFonts w:ascii="Calibri" w:hAnsi="Calibri" w:cs="Calibri"/>
        </w:rPr>
        <w:t>Report 76</w:t>
      </w:r>
      <w:r w:rsidR="00282A05">
        <w:rPr>
          <w:rFonts w:ascii="Calibri" w:hAnsi="Calibri" w:cs="Calibri"/>
        </w:rPr>
        <w:t xml:space="preserve"> i</w:t>
      </w:r>
      <w:r w:rsidR="004A35E5">
        <w:rPr>
          <w:rFonts w:ascii="Calibri" w:hAnsi="Calibri" w:cs="Calibri"/>
        </w:rPr>
        <w:t>n its Executive summary stat</w:t>
      </w:r>
      <w:r w:rsidR="008B234E">
        <w:rPr>
          <w:rFonts w:ascii="Calibri" w:hAnsi="Calibri" w:cs="Calibri"/>
        </w:rPr>
        <w:t>es:</w:t>
      </w:r>
    </w:p>
    <w:p w14:paraId="10DDC4DA" w14:textId="3DA62668" w:rsidR="008B234E" w:rsidRDefault="008B234E" w:rsidP="002D7385">
      <w:pPr>
        <w:ind w:left="567"/>
        <w:rPr>
          <w:rFonts w:ascii="Calibri" w:hAnsi="Calibri" w:cs="Calibri"/>
        </w:rPr>
      </w:pPr>
      <w:r>
        <w:rPr>
          <w:rFonts w:ascii="Calibri" w:hAnsi="Calibri" w:cs="Calibri"/>
        </w:rPr>
        <w:lastRenderedPageBreak/>
        <w:t>“</w:t>
      </w:r>
      <w:r>
        <w:rPr>
          <w:rFonts w:ascii="Calibri" w:hAnsi="Calibri" w:cs="Calibri"/>
          <w:i/>
          <w:iCs/>
        </w:rPr>
        <w:t>The harmonised least restrictive technical conditions for wideband RMR (FRMCS) in 1900-1910 MHz are provided in section 4.1. The BEM for wideband RMR BS assumes that ECS BS have enhanced selectivity compared to the current Harmonised European Standards. This would facilitate coexistence with RMR BS transmitting up to 65 dBm e.i.r.p. ECS BS located near an RMR radio site which do not meet the enhanced selectivity criterion may need to be adapted so that they do not suffer interference. Operators of mobile networks in 1920-1980 MHz should have, sufficiently far in advance, information on the rollout of a new RMR BS in 1900-1910 MHz. Enhanced selectivity should be included (potentially as a specific receiver class) in the relevant ECS BS Harmonised European Standards in order to ensure the future availability of products placed on the market that fulfil this requirement</w:t>
      </w:r>
      <w:r>
        <w:rPr>
          <w:rFonts w:ascii="Calibri" w:hAnsi="Calibri" w:cs="Calibri"/>
        </w:rPr>
        <w:t>”.</w:t>
      </w:r>
    </w:p>
    <w:p w14:paraId="31DAE477" w14:textId="127FFA9B" w:rsidR="002D7385" w:rsidRDefault="002D7385" w:rsidP="007405CB">
      <w:pPr>
        <w:rPr>
          <w:rFonts w:ascii="Calibri" w:hAnsi="Calibri" w:cs="Calibri"/>
        </w:rPr>
      </w:pPr>
      <w:r>
        <w:rPr>
          <w:rFonts w:ascii="Calibri" w:hAnsi="Calibri" w:cs="Calibri"/>
        </w:rPr>
        <w:t>Furthermore it states in section 4.1.1 Technical conditions for RMR BS using wideband technologies:</w:t>
      </w:r>
    </w:p>
    <w:p w14:paraId="1927066B" w14:textId="41AC82D3" w:rsidR="008B234E" w:rsidRDefault="005E7EE0" w:rsidP="002D7385">
      <w:pPr>
        <w:ind w:left="567"/>
        <w:rPr>
          <w:rFonts w:ascii="Calibri" w:hAnsi="Calibri" w:cs="Calibri"/>
        </w:rPr>
      </w:pPr>
      <w:r>
        <w:rPr>
          <w:rFonts w:ascii="Calibri" w:hAnsi="Calibri" w:cs="Calibri"/>
        </w:rPr>
        <w:t>“</w:t>
      </w:r>
      <w:r>
        <w:rPr>
          <w:rFonts w:ascii="Calibri" w:hAnsi="Calibri" w:cs="Calibri"/>
          <w:i/>
          <w:iCs/>
        </w:rPr>
        <w:t>The BEM for wideband RMR BS assumes that ECS BS have enhanced selectivity compared to the current Harmonised European Standards. This facilitates coexistence with RMR BS transmitting up to 65 dBm e.i.r.p. ECS BS located near an RMR radio site which do not meet the enhanced selectivity criterion may need to be adapted so that they do not suffer interference. Operators of mobile networks in 1920-1980 MHz should have, sufficiently far in advance, information on the rollout of a new RMR BS in 1900-1910 MHz. Enhanced selectivity should be included (potentially as a specific receiver class) in the relevant ECS BS Harmonised European Standards in order to ensure the future availability of products placed on the market that fulfil this requirement</w:t>
      </w:r>
      <w:r>
        <w:rPr>
          <w:rFonts w:ascii="Calibri" w:hAnsi="Calibri" w:cs="Calibri"/>
        </w:rPr>
        <w:t>”.</w:t>
      </w:r>
    </w:p>
    <w:p w14:paraId="58675EC7" w14:textId="308630CF" w:rsidR="002D7385" w:rsidRDefault="00CE7A58" w:rsidP="002D7385">
      <w:pPr>
        <w:rPr>
          <w:rFonts w:ascii="Calibri" w:hAnsi="Calibri" w:cs="Calibri"/>
        </w:rPr>
      </w:pPr>
      <w:r>
        <w:rPr>
          <w:rFonts w:ascii="Calibri" w:hAnsi="Calibri" w:cs="Calibri"/>
        </w:rPr>
        <w:t>Also t</w:t>
      </w:r>
      <w:r w:rsidR="002D7385">
        <w:rPr>
          <w:rFonts w:ascii="Calibri" w:hAnsi="Calibri" w:cs="Calibri"/>
        </w:rPr>
        <w:t>he ECC Decision (20)02</w:t>
      </w:r>
      <w:r w:rsidR="00CF578A">
        <w:rPr>
          <w:rFonts w:ascii="Calibri" w:hAnsi="Calibri" w:cs="Calibri"/>
        </w:rPr>
        <w:t>, that</w:t>
      </w:r>
      <w:r w:rsidR="002D7385">
        <w:rPr>
          <w:rFonts w:ascii="Calibri" w:hAnsi="Calibri" w:cs="Calibri"/>
        </w:rPr>
        <w:t xml:space="preserve"> </w:t>
      </w:r>
      <w:r>
        <w:rPr>
          <w:rFonts w:ascii="Calibri" w:hAnsi="Calibri" w:cs="Calibri"/>
        </w:rPr>
        <w:t>has been based on CE</w:t>
      </w:r>
      <w:r w:rsidR="004F147E">
        <w:rPr>
          <w:rFonts w:ascii="Calibri" w:hAnsi="Calibri" w:cs="Calibri"/>
        </w:rPr>
        <w:t>PT report 76</w:t>
      </w:r>
      <w:r w:rsidR="00CF578A">
        <w:rPr>
          <w:rFonts w:ascii="Calibri" w:hAnsi="Calibri" w:cs="Calibri"/>
        </w:rPr>
        <w:t xml:space="preserve">, </w:t>
      </w:r>
      <w:r w:rsidR="004F147E">
        <w:rPr>
          <w:rFonts w:ascii="Calibri" w:hAnsi="Calibri" w:cs="Calibri"/>
        </w:rPr>
        <w:t xml:space="preserve"> </w:t>
      </w:r>
      <w:r w:rsidR="002D7385">
        <w:rPr>
          <w:rFonts w:ascii="Calibri" w:hAnsi="Calibri" w:cs="Calibri"/>
        </w:rPr>
        <w:t>states in considering k) and l):</w:t>
      </w:r>
    </w:p>
    <w:p w14:paraId="10ABCFF7" w14:textId="77777777" w:rsidR="002D7385" w:rsidRDefault="002D7385" w:rsidP="002D7385">
      <w:pPr>
        <w:ind w:left="567"/>
        <w:rPr>
          <w:rFonts w:ascii="Calibri" w:hAnsi="Calibri" w:cs="Calibri"/>
          <w:i/>
          <w:iCs/>
        </w:rPr>
      </w:pPr>
      <w:r>
        <w:rPr>
          <w:rFonts w:ascii="Calibri" w:hAnsi="Calibri" w:cs="Calibri"/>
        </w:rPr>
        <w:t>“</w:t>
      </w:r>
      <w:r>
        <w:rPr>
          <w:rFonts w:ascii="Calibri" w:hAnsi="Calibri" w:cs="Calibri"/>
          <w:i/>
          <w:iCs/>
        </w:rPr>
        <w:t>k) that the least restrictive technical conditions (LRTC) for wideband RMR in 1900-1910 MHz assume that MFCN base stations (BS) receiving above 1920 MHz have an enhanced selectivity compared to the current Harmonised European Standards, which would facilitate coexistence with RMR BS transmitting up to 65 dBm e.i.r.p., and that current MFCN BS located near an RMR radio site may need to be adapted so that they do not suffer interference;”.</w:t>
      </w:r>
    </w:p>
    <w:p w14:paraId="2A55E33D" w14:textId="4342C0F7" w:rsidR="002D7385" w:rsidRDefault="002D7385" w:rsidP="002D7385">
      <w:pPr>
        <w:ind w:left="567"/>
        <w:rPr>
          <w:rFonts w:ascii="Calibri" w:hAnsi="Calibri" w:cs="Calibri"/>
          <w:i/>
          <w:iCs/>
        </w:rPr>
      </w:pPr>
      <w:r>
        <w:rPr>
          <w:rFonts w:ascii="Calibri" w:hAnsi="Calibri" w:cs="Calibri"/>
          <w:i/>
          <w:iCs/>
        </w:rPr>
        <w:t>“l) that operators of commercial mobile networks in 1920-1980 MHz should have, sufficiently far in advance, information on the rollout of a new RMR BS in 1900-1910 MHz</w:t>
      </w:r>
      <w:r w:rsidR="00274686">
        <w:rPr>
          <w:rFonts w:ascii="Calibri" w:hAnsi="Calibri" w:cs="Calibri"/>
          <w:i/>
          <w:iCs/>
        </w:rPr>
        <w:t>”</w:t>
      </w:r>
      <w:r>
        <w:rPr>
          <w:rFonts w:ascii="Calibri" w:hAnsi="Calibri" w:cs="Calibri"/>
          <w:i/>
          <w:iCs/>
        </w:rPr>
        <w:t>.</w:t>
      </w:r>
    </w:p>
    <w:p w14:paraId="55494974" w14:textId="25089B67" w:rsidR="00ED332D" w:rsidRPr="00ED332D" w:rsidRDefault="004F147E" w:rsidP="00567F0D">
      <w:pPr>
        <w:rPr>
          <w:rFonts w:ascii="Calibri" w:hAnsi="Calibri" w:cs="Calibri"/>
        </w:rPr>
      </w:pPr>
      <w:r>
        <w:rPr>
          <w:rFonts w:ascii="Calibri" w:hAnsi="Calibri" w:cs="Calibri"/>
        </w:rPr>
        <w:t xml:space="preserve">The CEPT Report 76 has been based on </w:t>
      </w:r>
      <w:r w:rsidR="008E5125">
        <w:rPr>
          <w:rFonts w:ascii="Calibri" w:hAnsi="Calibri" w:cs="Calibri"/>
        </w:rPr>
        <w:t xml:space="preserve">the </w:t>
      </w:r>
      <w:r w:rsidR="00CE7A58">
        <w:rPr>
          <w:rFonts w:ascii="Calibri" w:hAnsi="Calibri" w:cs="Calibri"/>
        </w:rPr>
        <w:t>ECC Report 318</w:t>
      </w:r>
      <w:r w:rsidR="00B25768">
        <w:rPr>
          <w:rFonts w:ascii="Calibri" w:hAnsi="Calibri" w:cs="Calibri"/>
        </w:rPr>
        <w:t xml:space="preserve"> [7]</w:t>
      </w:r>
      <w:r w:rsidR="009C55A6">
        <w:rPr>
          <w:rFonts w:ascii="Calibri" w:hAnsi="Calibri" w:cs="Calibri"/>
        </w:rPr>
        <w:t xml:space="preserve">. </w:t>
      </w:r>
      <w:r w:rsidR="00504CA1" w:rsidRPr="00504CA1">
        <w:rPr>
          <w:rFonts w:ascii="Calibri" w:hAnsi="Calibri" w:cs="Calibri"/>
        </w:rPr>
        <w:t>ECC Report 318</w:t>
      </w:r>
      <w:r w:rsidR="003B479E">
        <w:rPr>
          <w:rFonts w:ascii="Calibri" w:hAnsi="Calibri" w:cs="Calibri"/>
        </w:rPr>
        <w:t xml:space="preserve"> </w:t>
      </w:r>
      <w:r w:rsidR="00CC406B" w:rsidRPr="00CC406B">
        <w:rPr>
          <w:rFonts w:ascii="Calibri" w:hAnsi="Calibri" w:cs="Calibri"/>
        </w:rPr>
        <w:t>studie</w:t>
      </w:r>
      <w:r w:rsidR="00044B9F">
        <w:rPr>
          <w:rFonts w:ascii="Calibri" w:hAnsi="Calibri" w:cs="Calibri"/>
        </w:rPr>
        <w:t>d</w:t>
      </w:r>
      <w:r w:rsidR="00CC406B" w:rsidRPr="00CC406B">
        <w:rPr>
          <w:rFonts w:ascii="Calibri" w:hAnsi="Calibri" w:cs="Calibri"/>
        </w:rPr>
        <w:t xml:space="preserve"> the compatibility of Railway Mobile Radio (RMR) with Mobile and Fixed Communication Networks (MFCN) as part of the answer to the mandate from the European Commission on FRMCS. </w:t>
      </w:r>
      <w:r w:rsidR="00567F0D">
        <w:rPr>
          <w:rFonts w:ascii="Calibri" w:hAnsi="Calibri" w:cs="Calibri"/>
        </w:rPr>
        <w:t xml:space="preserve">For </w:t>
      </w:r>
      <w:r w:rsidR="00ED332D">
        <w:rPr>
          <w:rFonts w:ascii="Calibri" w:hAnsi="Calibri" w:cs="Calibri"/>
        </w:rPr>
        <w:t>the c</w:t>
      </w:r>
      <w:r w:rsidR="00ED332D" w:rsidRPr="00ED332D">
        <w:rPr>
          <w:rFonts w:ascii="Calibri" w:hAnsi="Calibri" w:cs="Calibri"/>
        </w:rPr>
        <w:t>ompatibility of FRMCS in part of 1900-1920 MHz with MFCN</w:t>
      </w:r>
      <w:r w:rsidR="00F95A19">
        <w:rPr>
          <w:rFonts w:ascii="Calibri" w:hAnsi="Calibri" w:cs="Calibri"/>
        </w:rPr>
        <w:t xml:space="preserve"> the</w:t>
      </w:r>
      <w:r w:rsidR="00567F0D">
        <w:rPr>
          <w:rFonts w:ascii="Calibri" w:hAnsi="Calibri" w:cs="Calibri"/>
        </w:rPr>
        <w:t xml:space="preserve"> </w:t>
      </w:r>
      <w:r w:rsidR="00756FAD" w:rsidRPr="00756FAD">
        <w:rPr>
          <w:rFonts w:ascii="Calibri" w:hAnsi="Calibri" w:cs="Calibri"/>
        </w:rPr>
        <w:t xml:space="preserve">ECC Report 318 </w:t>
      </w:r>
      <w:r w:rsidR="00BB557F">
        <w:rPr>
          <w:rFonts w:ascii="Calibri" w:hAnsi="Calibri" w:cs="Calibri"/>
        </w:rPr>
        <w:t>h</w:t>
      </w:r>
      <w:r w:rsidR="00567F0D">
        <w:rPr>
          <w:rFonts w:ascii="Calibri" w:hAnsi="Calibri" w:cs="Calibri"/>
        </w:rPr>
        <w:t>as studied:</w:t>
      </w:r>
    </w:p>
    <w:p w14:paraId="7793C001" w14:textId="09EB4BAB" w:rsidR="00ED332D" w:rsidRPr="00ED332D" w:rsidRDefault="00ED332D" w:rsidP="00ED332D">
      <w:pPr>
        <w:numPr>
          <w:ilvl w:val="0"/>
          <w:numId w:val="20"/>
        </w:numPr>
        <w:spacing w:after="0"/>
        <w:rPr>
          <w:rFonts w:ascii="Calibri" w:hAnsi="Calibri" w:cs="Calibri"/>
        </w:rPr>
      </w:pPr>
      <w:r w:rsidRPr="00ED332D">
        <w:rPr>
          <w:rFonts w:ascii="Calibri" w:hAnsi="Calibri" w:cs="Calibri"/>
        </w:rPr>
        <w:t>Impact of FRMCS BS on MFCN BS receiving above 1920 MHz;</w:t>
      </w:r>
    </w:p>
    <w:p w14:paraId="6BF8AF72" w14:textId="4E34D6B9" w:rsidR="00ED332D" w:rsidRDefault="00ED332D" w:rsidP="00ED332D">
      <w:pPr>
        <w:numPr>
          <w:ilvl w:val="0"/>
          <w:numId w:val="20"/>
        </w:numPr>
        <w:spacing w:after="0"/>
        <w:rPr>
          <w:rFonts w:ascii="Calibri" w:hAnsi="Calibri" w:cs="Calibri"/>
        </w:rPr>
      </w:pPr>
      <w:r w:rsidRPr="00ED332D">
        <w:rPr>
          <w:rFonts w:ascii="Calibri" w:hAnsi="Calibri" w:cs="Calibri"/>
        </w:rPr>
        <w:t>Impact of FRMCS high-power UE on MFCN BS receiving above 1920 MHz</w:t>
      </w:r>
      <w:r w:rsidR="0066072F">
        <w:rPr>
          <w:rFonts w:ascii="Calibri" w:hAnsi="Calibri" w:cs="Calibri"/>
        </w:rPr>
        <w:t>.</w:t>
      </w:r>
    </w:p>
    <w:p w14:paraId="10B0F427" w14:textId="7CD703AA" w:rsidR="008E5125" w:rsidRDefault="00BD1C89" w:rsidP="00CE7A58">
      <w:pPr>
        <w:rPr>
          <w:rFonts w:ascii="Calibri" w:hAnsi="Calibri" w:cs="Calibri"/>
        </w:rPr>
      </w:pPr>
      <w:r>
        <w:rPr>
          <w:rFonts w:ascii="Calibri" w:hAnsi="Calibri" w:cs="Calibri"/>
        </w:rPr>
        <w:t xml:space="preserve">ECC </w:t>
      </w:r>
      <w:r w:rsidR="00897DF6">
        <w:rPr>
          <w:rFonts w:ascii="Calibri" w:hAnsi="Calibri" w:cs="Calibri"/>
        </w:rPr>
        <w:t>Report 31</w:t>
      </w:r>
      <w:r>
        <w:rPr>
          <w:rFonts w:ascii="Calibri" w:hAnsi="Calibri" w:cs="Calibri"/>
        </w:rPr>
        <w:t xml:space="preserve">8 in </w:t>
      </w:r>
      <w:r w:rsidR="002E0391">
        <w:rPr>
          <w:rFonts w:ascii="Calibri" w:hAnsi="Calibri" w:cs="Calibri"/>
        </w:rPr>
        <w:t>the Exec</w:t>
      </w:r>
      <w:r w:rsidR="00D26CEE">
        <w:rPr>
          <w:rFonts w:ascii="Calibri" w:hAnsi="Calibri" w:cs="Calibri"/>
        </w:rPr>
        <w:t>utive summary</w:t>
      </w:r>
      <w:r>
        <w:rPr>
          <w:rFonts w:ascii="Calibri" w:hAnsi="Calibri" w:cs="Calibri"/>
        </w:rPr>
        <w:t xml:space="preserve"> 0.2 BEM Derivation at 1900 MHz states:</w:t>
      </w:r>
    </w:p>
    <w:p w14:paraId="2F446E65" w14:textId="2D23098D" w:rsidR="00C06C0A" w:rsidRDefault="00803E18" w:rsidP="00803E18">
      <w:pPr>
        <w:ind w:left="567"/>
        <w:rPr>
          <w:rFonts w:ascii="Calibri" w:hAnsi="Calibri" w:cs="Calibri"/>
          <w:i/>
          <w:iCs/>
        </w:rPr>
      </w:pPr>
      <w:r>
        <w:rPr>
          <w:rFonts w:ascii="Calibri" w:hAnsi="Calibri" w:cs="Calibri"/>
          <w:i/>
          <w:iCs/>
        </w:rPr>
        <w:t>“</w:t>
      </w:r>
      <w:r w:rsidR="00C06C0A">
        <w:rPr>
          <w:rFonts w:ascii="Calibri" w:hAnsi="Calibri" w:cs="Calibri"/>
          <w:i/>
          <w:iCs/>
        </w:rPr>
        <w:t xml:space="preserve">This report looks at LRTC for operation of FRMCS in 1900-1910 MHz. The 100 metre MCL calculation approach and the statistical approach, assuming a MFCN BS selectivity as per CEPT Report 39 [4], result in LRTC requiring in-block e.i.r.p. limit for FRMCS BS of 40.7 dBm/10 MHz and 50.7 dBm/10 MHz respectively. However, the report </w:t>
      </w:r>
      <w:r w:rsidR="00C06C0A">
        <w:rPr>
          <w:rFonts w:ascii="Calibri" w:hAnsi="Calibri" w:cs="Calibri"/>
          <w:i/>
          <w:iCs/>
        </w:rPr>
        <w:lastRenderedPageBreak/>
        <w:t>also considers the operation of FRMCS in that band with macro coverage. This requires an in-block e.i.r.p. of 65 dBm/10 MHz for FRMCS BS and leads to a BEM as specified in Table 20. It may result in interference to some MFCN BS located near an FRMCS radio site</w:t>
      </w:r>
      <w:r w:rsidR="00E4455E">
        <w:rPr>
          <w:rFonts w:ascii="Calibri" w:hAnsi="Calibri" w:cs="Calibri"/>
          <w:i/>
          <w:iCs/>
        </w:rPr>
        <w:t>.</w:t>
      </w:r>
    </w:p>
    <w:p w14:paraId="5BF3A0D0" w14:textId="3B726975" w:rsidR="00803E18" w:rsidRDefault="00803E18" w:rsidP="00803E18">
      <w:pPr>
        <w:ind w:left="567"/>
        <w:rPr>
          <w:rFonts w:ascii="Calibri" w:hAnsi="Calibri" w:cs="Calibri"/>
          <w:i/>
          <w:iCs/>
        </w:rPr>
      </w:pPr>
      <w:r>
        <w:rPr>
          <w:rFonts w:ascii="Calibri" w:hAnsi="Calibri" w:cs="Calibri"/>
          <w:i/>
          <w:iCs/>
        </w:rPr>
        <w:t xml:space="preserve">With the current level of selectivity of MFCN base stations, those LRTC for FRMCS may result in interference to some MFCN base stations located near FRMCS BS sites. One way of addressing this interference is to coordinate FRMCS and MFCN deployments. However, this means that RMR operators may not be able to use 65 dBm at certain locations. If 65 dBm e.i.r.p. uncoordinated FRMCS base stations is desired, then these </w:t>
      </w:r>
      <w:bookmarkStart w:id="2" w:name="_Hlk157962361"/>
      <w:r>
        <w:rPr>
          <w:rFonts w:ascii="Calibri" w:hAnsi="Calibri" w:cs="Calibri"/>
          <w:i/>
          <w:iCs/>
        </w:rPr>
        <w:t>MFCN BS may need to be adapted when an FRMCS BS is rolled out in its proximity</w:t>
      </w:r>
      <w:bookmarkEnd w:id="2"/>
      <w:r>
        <w:rPr>
          <w:rFonts w:ascii="Calibri" w:hAnsi="Calibri" w:cs="Calibri"/>
          <w:i/>
          <w:iCs/>
        </w:rPr>
        <w:t>, so that it does not suffer interference from FRMCS.</w:t>
      </w:r>
    </w:p>
    <w:p w14:paraId="2C6D239B" w14:textId="77777777" w:rsidR="00803E18" w:rsidRDefault="00803E18" w:rsidP="00803E18">
      <w:pPr>
        <w:ind w:left="567"/>
        <w:rPr>
          <w:rFonts w:ascii="Calibri" w:hAnsi="Calibri" w:cs="Calibri"/>
          <w:i/>
          <w:iCs/>
        </w:rPr>
      </w:pPr>
      <w:r>
        <w:rPr>
          <w:rFonts w:ascii="Calibri" w:hAnsi="Calibri" w:cs="Calibri"/>
          <w:i/>
          <w:iCs/>
        </w:rPr>
        <w:t>Additional mitigation techniques need to be implemented on a case-by-case basis, such as adjustments of antenna directivity, azimuth, tilt, or improve the selectivity of the MFCN BS in the vicinity of the railway tracks2. Table 23 shows this enhanced selectivity.</w:t>
      </w:r>
    </w:p>
    <w:p w14:paraId="71FBB531" w14:textId="77777777" w:rsidR="00803E18" w:rsidRDefault="00803E18" w:rsidP="00803E18">
      <w:pPr>
        <w:ind w:left="567"/>
        <w:rPr>
          <w:rFonts w:ascii="Calibri" w:hAnsi="Calibri" w:cs="Calibri"/>
          <w:i/>
          <w:iCs/>
        </w:rPr>
      </w:pPr>
      <w:r>
        <w:rPr>
          <w:rFonts w:ascii="Calibri" w:hAnsi="Calibri" w:cs="Calibri"/>
          <w:i/>
          <w:iCs/>
        </w:rPr>
        <w:t>The technical feasibility for receiver selectivity enhancement for MFCN AAS BS may not be achievable due to design constraints. These high selectivity requirements might hinder the migration of MFCN networks to 5G/NR with AAS BS, however studies need to be carried out.</w:t>
      </w:r>
    </w:p>
    <w:p w14:paraId="5CF41435" w14:textId="058E4C3C" w:rsidR="003D304D" w:rsidRDefault="00803E18" w:rsidP="00A2663C">
      <w:pPr>
        <w:ind w:left="567"/>
        <w:rPr>
          <w:rFonts w:ascii="Calibri" w:hAnsi="Calibri" w:cs="Calibri"/>
        </w:rPr>
      </w:pPr>
      <w:r>
        <w:rPr>
          <w:rFonts w:ascii="Calibri" w:hAnsi="Calibri" w:cs="Calibri"/>
          <w:i/>
          <w:iCs/>
        </w:rPr>
        <w:t>In order to ensure that the MFCN operators have enough time to adapt the relevant radio sites, the RMR operator is required to perform an early notification procedure in advance of the rollout of a new FRMCS B</w:t>
      </w:r>
      <w:r>
        <w:rPr>
          <w:rFonts w:ascii="Calibri" w:hAnsi="Calibri" w:cs="Calibri"/>
        </w:rPr>
        <w:t>S”.</w:t>
      </w:r>
    </w:p>
    <w:p w14:paraId="13BF2F01" w14:textId="4D1C86A3" w:rsidR="003D304D" w:rsidRPr="003D304D" w:rsidRDefault="003D304D" w:rsidP="003D304D">
      <w:pPr>
        <w:rPr>
          <w:rFonts w:ascii="Calibri" w:hAnsi="Calibri" w:cs="Calibri"/>
        </w:rPr>
      </w:pPr>
      <w:r w:rsidRPr="0046027E">
        <w:rPr>
          <w:rFonts w:ascii="Calibri" w:hAnsi="Calibri" w:cs="Calibri"/>
          <w:b/>
          <w:bCs/>
        </w:rPr>
        <w:t xml:space="preserve">Observation </w:t>
      </w:r>
      <w:r w:rsidR="0073714C">
        <w:rPr>
          <w:rFonts w:ascii="Calibri" w:hAnsi="Calibri" w:cs="Calibri"/>
          <w:b/>
          <w:bCs/>
        </w:rPr>
        <w:t>3</w:t>
      </w:r>
      <w:r w:rsidRPr="0046027E">
        <w:rPr>
          <w:rFonts w:ascii="Calibri" w:hAnsi="Calibri" w:cs="Calibri"/>
          <w:b/>
          <w:bCs/>
        </w:rPr>
        <w:t xml:space="preserve">: </w:t>
      </w:r>
      <w:r w:rsidR="008E4CDA">
        <w:rPr>
          <w:rFonts w:ascii="Calibri" w:hAnsi="Calibri" w:cs="Calibri"/>
          <w:b/>
          <w:bCs/>
        </w:rPr>
        <w:t xml:space="preserve">In </w:t>
      </w:r>
      <w:r w:rsidR="008E4CDA" w:rsidRPr="008E4CDA">
        <w:rPr>
          <w:rFonts w:ascii="Calibri" w:hAnsi="Calibri" w:cs="Calibri"/>
          <w:b/>
          <w:bCs/>
        </w:rPr>
        <w:t>the Commission Implementing Decision (EU) 2021/1730</w:t>
      </w:r>
      <w:r w:rsidR="008E4CDA">
        <w:rPr>
          <w:rFonts w:ascii="Calibri" w:hAnsi="Calibri" w:cs="Calibri"/>
          <w:b/>
          <w:bCs/>
        </w:rPr>
        <w:t xml:space="preserve">, </w:t>
      </w:r>
      <w:r w:rsidR="008E4CDA" w:rsidRPr="008E4CDA">
        <w:rPr>
          <w:rFonts w:ascii="Calibri" w:hAnsi="Calibri" w:cs="Calibri"/>
          <w:b/>
          <w:bCs/>
        </w:rPr>
        <w:t xml:space="preserve">ECC Decision(20)02, CEPT Report 76 as well as ECC Report 318 </w:t>
      </w:r>
      <w:r w:rsidR="008E4CDA" w:rsidRPr="001B69DC">
        <w:rPr>
          <w:rFonts w:ascii="Calibri" w:hAnsi="Calibri" w:cs="Calibri"/>
          <w:b/>
          <w:bCs/>
        </w:rPr>
        <w:t xml:space="preserve">[7] it is </w:t>
      </w:r>
      <w:r w:rsidR="00780C1E" w:rsidRPr="001B69DC">
        <w:rPr>
          <w:rFonts w:ascii="Calibri" w:hAnsi="Calibri" w:cs="Calibri"/>
          <w:b/>
          <w:bCs/>
        </w:rPr>
        <w:t xml:space="preserve">clearly stated that </w:t>
      </w:r>
      <w:r w:rsidR="003644A6" w:rsidRPr="001B69DC">
        <w:rPr>
          <w:rFonts w:ascii="Calibri" w:hAnsi="Calibri" w:cs="Calibri"/>
          <w:b/>
          <w:bCs/>
        </w:rPr>
        <w:t>the regulation has a</w:t>
      </w:r>
      <w:r w:rsidR="003B7AC0" w:rsidRPr="001B69DC">
        <w:rPr>
          <w:rFonts w:ascii="Calibri" w:hAnsi="Calibri" w:cs="Calibri"/>
          <w:b/>
          <w:bCs/>
        </w:rPr>
        <w:t xml:space="preserve">ssumed </w:t>
      </w:r>
      <w:r w:rsidR="003B7AC0" w:rsidRPr="002D75F7">
        <w:rPr>
          <w:rFonts w:ascii="Calibri" w:hAnsi="Calibri" w:cs="Calibri"/>
          <w:b/>
          <w:bCs/>
        </w:rPr>
        <w:t xml:space="preserve">that </w:t>
      </w:r>
      <w:r w:rsidR="001B69DC" w:rsidRPr="002D75F7">
        <w:rPr>
          <w:rFonts w:ascii="Calibri" w:hAnsi="Calibri" w:cs="Calibri"/>
          <w:b/>
          <w:bCs/>
        </w:rPr>
        <w:t>the harmonised technical conditions for RMR (FRMCS) base stations operating in the 1900-1910MHz band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r w:rsidR="00580AED" w:rsidRPr="002D75F7">
        <w:rPr>
          <w:rFonts w:ascii="Calibri" w:hAnsi="Calibri" w:cs="Calibri"/>
          <w:b/>
          <w:bCs/>
        </w:rPr>
        <w:t>.</w:t>
      </w:r>
    </w:p>
    <w:p w14:paraId="338F25D0" w14:textId="782E8718" w:rsidR="001B69DC" w:rsidRDefault="001B69DC" w:rsidP="00E0454B">
      <w:pPr>
        <w:rPr>
          <w:rFonts w:ascii="Calibri" w:hAnsi="Calibri" w:cs="Calibri"/>
          <w:b/>
          <w:bCs/>
        </w:rPr>
      </w:pPr>
      <w:r w:rsidRPr="0046027E">
        <w:rPr>
          <w:rFonts w:ascii="Calibri" w:hAnsi="Calibri" w:cs="Calibri"/>
          <w:b/>
          <w:bCs/>
        </w:rPr>
        <w:t xml:space="preserve">Observation </w:t>
      </w:r>
      <w:r>
        <w:rPr>
          <w:rFonts w:ascii="Calibri" w:hAnsi="Calibri" w:cs="Calibri"/>
          <w:b/>
          <w:bCs/>
        </w:rPr>
        <w:t>4</w:t>
      </w:r>
      <w:r w:rsidRPr="0046027E">
        <w:rPr>
          <w:rFonts w:ascii="Calibri" w:hAnsi="Calibri" w:cs="Calibri"/>
          <w:b/>
          <w:bCs/>
        </w:rPr>
        <w:t>:</w:t>
      </w:r>
      <w:r w:rsidR="00DE5B8B">
        <w:rPr>
          <w:rFonts w:ascii="Calibri" w:hAnsi="Calibri" w:cs="Calibri"/>
          <w:b/>
          <w:bCs/>
        </w:rPr>
        <w:t xml:space="preserve"> </w:t>
      </w:r>
      <w:r w:rsidR="004A77D8">
        <w:rPr>
          <w:rFonts w:ascii="Calibri" w:hAnsi="Calibri" w:cs="Calibri"/>
          <w:b/>
          <w:bCs/>
        </w:rPr>
        <w:t xml:space="preserve">The ECC in Report 318 has considered </w:t>
      </w:r>
      <w:r w:rsidR="00687AD1">
        <w:rPr>
          <w:rFonts w:ascii="Calibri" w:hAnsi="Calibri" w:cs="Calibri"/>
          <w:b/>
          <w:bCs/>
        </w:rPr>
        <w:t>that a</w:t>
      </w:r>
      <w:r w:rsidR="004A77D8" w:rsidRPr="004A77D8">
        <w:rPr>
          <w:rFonts w:ascii="Calibri" w:hAnsi="Calibri" w:cs="Calibri"/>
          <w:b/>
          <w:bCs/>
        </w:rPr>
        <w:t>dditional mitigation techniques need to be implemented on a case-by-case basis, such as adjustments of antenna directivity, azimuth, tilt, or improve the selectivity of the MFCN BS in the vicinity of the railway tracks</w:t>
      </w:r>
      <w:r w:rsidR="00C07994">
        <w:rPr>
          <w:rFonts w:ascii="Calibri" w:hAnsi="Calibri" w:cs="Calibri"/>
          <w:b/>
          <w:bCs/>
        </w:rPr>
        <w:t>.</w:t>
      </w:r>
      <w:r w:rsidR="00D80C34">
        <w:rPr>
          <w:rFonts w:ascii="Calibri" w:hAnsi="Calibri" w:cs="Calibri"/>
          <w:b/>
          <w:bCs/>
        </w:rPr>
        <w:t xml:space="preserve"> </w:t>
      </w:r>
      <w:r w:rsidR="00845646">
        <w:rPr>
          <w:rFonts w:ascii="Calibri" w:hAnsi="Calibri" w:cs="Calibri"/>
          <w:b/>
          <w:bCs/>
        </w:rPr>
        <w:t>Such site engineering solutions</w:t>
      </w:r>
      <w:r w:rsidR="00A53CC5">
        <w:rPr>
          <w:rFonts w:ascii="Calibri" w:hAnsi="Calibri" w:cs="Calibri"/>
          <w:b/>
          <w:bCs/>
        </w:rPr>
        <w:t xml:space="preserve"> have been considered</w:t>
      </w:r>
      <w:r w:rsidR="00845646">
        <w:rPr>
          <w:rFonts w:ascii="Calibri" w:hAnsi="Calibri" w:cs="Calibri"/>
          <w:b/>
          <w:bCs/>
        </w:rPr>
        <w:t xml:space="preserve"> </w:t>
      </w:r>
      <w:r w:rsidR="00A53CC5">
        <w:rPr>
          <w:rFonts w:ascii="Calibri" w:hAnsi="Calibri" w:cs="Calibri"/>
          <w:b/>
          <w:bCs/>
        </w:rPr>
        <w:t xml:space="preserve">by RAN 4 </w:t>
      </w:r>
      <w:r w:rsidR="00845646">
        <w:rPr>
          <w:rFonts w:ascii="Calibri" w:hAnsi="Calibri" w:cs="Calibri"/>
          <w:b/>
          <w:bCs/>
        </w:rPr>
        <w:t>for TDD and FDD coexistence scenarios</w:t>
      </w:r>
      <w:r w:rsidR="007533DC">
        <w:rPr>
          <w:rFonts w:ascii="Calibri" w:hAnsi="Calibri" w:cs="Calibri"/>
          <w:b/>
          <w:bCs/>
        </w:rPr>
        <w:t xml:space="preserve"> as described in TR 25.942</w:t>
      </w:r>
      <w:r w:rsidR="007C2785">
        <w:rPr>
          <w:rFonts w:ascii="Calibri" w:hAnsi="Calibri" w:cs="Calibri"/>
          <w:b/>
          <w:bCs/>
        </w:rPr>
        <w:t xml:space="preserve"> [11]</w:t>
      </w:r>
      <w:r w:rsidR="007533DC">
        <w:rPr>
          <w:rFonts w:ascii="Calibri" w:hAnsi="Calibri" w:cs="Calibri"/>
          <w:b/>
          <w:bCs/>
        </w:rPr>
        <w:t xml:space="preserve"> section 8.4</w:t>
      </w:r>
      <w:r w:rsidR="00A53CC5">
        <w:rPr>
          <w:rFonts w:ascii="Calibri" w:hAnsi="Calibri" w:cs="Calibri"/>
          <w:b/>
          <w:bCs/>
        </w:rPr>
        <w:t>.</w:t>
      </w:r>
    </w:p>
    <w:p w14:paraId="02884F12" w14:textId="5A660670" w:rsidR="007961D1" w:rsidRDefault="00EA2BAA" w:rsidP="00E0454B">
      <w:pPr>
        <w:rPr>
          <w:rFonts w:ascii="Calibri" w:hAnsi="Calibri" w:cs="Calibri"/>
          <w:b/>
          <w:bCs/>
        </w:rPr>
      </w:pPr>
      <w:r w:rsidRPr="00BB2F22">
        <w:rPr>
          <w:rFonts w:ascii="Calibri" w:hAnsi="Calibri" w:cs="Calibri"/>
          <w:b/>
          <w:bCs/>
        </w:rPr>
        <w:t>Observation 5: From CEPT report 76, ECC DEC(20</w:t>
      </w:r>
      <w:r w:rsidR="005C5F87">
        <w:rPr>
          <w:rFonts w:ascii="Calibri" w:hAnsi="Calibri" w:cs="Calibri"/>
          <w:b/>
          <w:bCs/>
        </w:rPr>
        <w:t>)</w:t>
      </w:r>
      <w:r w:rsidRPr="00BB2F22">
        <w:rPr>
          <w:rFonts w:ascii="Calibri" w:hAnsi="Calibri" w:cs="Calibri"/>
          <w:b/>
          <w:bCs/>
        </w:rPr>
        <w:t>02 and EC</w:t>
      </w:r>
      <w:r w:rsidR="005C5F87">
        <w:rPr>
          <w:rFonts w:ascii="Calibri" w:hAnsi="Calibri" w:cs="Calibri"/>
          <w:b/>
          <w:bCs/>
        </w:rPr>
        <w:t>C</w:t>
      </w:r>
      <w:r w:rsidRPr="00BB2F22">
        <w:rPr>
          <w:rFonts w:ascii="Calibri" w:hAnsi="Calibri" w:cs="Calibri"/>
          <w:b/>
          <w:bCs/>
        </w:rPr>
        <w:t xml:space="preserve"> Report 318 it is clear that </w:t>
      </w:r>
      <w:r w:rsidR="00BB2F22" w:rsidRPr="00BB2F22">
        <w:rPr>
          <w:rFonts w:ascii="Calibri" w:hAnsi="Calibri" w:cs="Calibri"/>
          <w:b/>
          <w:bCs/>
        </w:rPr>
        <w:t>Operators of mobile networks in 1920-1980 MHz should have, sufficiently far in advance, information on the rollout of a new RMR BS in 1900-1910 MHz.</w:t>
      </w:r>
      <w:r w:rsidR="007961D1">
        <w:rPr>
          <w:rFonts w:ascii="Calibri" w:hAnsi="Calibri" w:cs="Calibri"/>
          <w:b/>
          <w:bCs/>
        </w:rPr>
        <w:t xml:space="preserve"> </w:t>
      </w:r>
    </w:p>
    <w:p w14:paraId="31D732DC" w14:textId="623541B0" w:rsidR="00087FC2" w:rsidRDefault="00A75EA0" w:rsidP="004A7DBC">
      <w:pPr>
        <w:spacing w:after="0"/>
        <w:rPr>
          <w:rFonts w:ascii="Calibri" w:hAnsi="Calibri" w:cs="Calibri"/>
        </w:rPr>
      </w:pPr>
      <w:r w:rsidRPr="004A7DBC">
        <w:rPr>
          <w:rFonts w:ascii="Calibri" w:hAnsi="Calibri" w:cs="Calibri"/>
        </w:rPr>
        <w:t xml:space="preserve">ETSI </w:t>
      </w:r>
      <w:r w:rsidR="00087FC2" w:rsidRPr="004A7DBC">
        <w:rPr>
          <w:rFonts w:ascii="Calibri" w:hAnsi="Calibri" w:cs="Calibri"/>
        </w:rPr>
        <w:t xml:space="preserve">has created </w:t>
      </w:r>
      <w:r w:rsidRPr="004A7DBC">
        <w:rPr>
          <w:rFonts w:ascii="Calibri" w:hAnsi="Calibri" w:cs="Calibri"/>
        </w:rPr>
        <w:t>TS 103 807 V1.1.1 (2021-10)</w:t>
      </w:r>
      <w:r w:rsidR="00087FC2" w:rsidRPr="004A7DBC">
        <w:rPr>
          <w:rFonts w:ascii="Calibri" w:hAnsi="Calibri" w:cs="Calibri"/>
        </w:rPr>
        <w:t xml:space="preserve"> </w:t>
      </w:r>
      <w:r w:rsidR="00C03501">
        <w:rPr>
          <w:rFonts w:ascii="Calibri" w:hAnsi="Calibri" w:cs="Calibri"/>
        </w:rPr>
        <w:t xml:space="preserve">[12] </w:t>
      </w:r>
      <w:r w:rsidR="00087FC2" w:rsidRPr="004A7DBC">
        <w:rPr>
          <w:rFonts w:ascii="Calibri" w:hAnsi="Calibri" w:cs="Calibri"/>
        </w:rPr>
        <w:t>Mobile Standards Group (MSG); IMT Cellular Networks to address additional requirements arising from EC/CEPT spectrum regulatory framework that apply to specific equipment in specific cases in certain countries and/or in certain geographical areas.</w:t>
      </w:r>
    </w:p>
    <w:p w14:paraId="49A81189" w14:textId="709909E1" w:rsidR="00FA2540" w:rsidRPr="004A7DBC" w:rsidRDefault="004F137A" w:rsidP="004A7DBC">
      <w:pPr>
        <w:spacing w:after="0"/>
        <w:rPr>
          <w:rFonts w:ascii="Calibri" w:hAnsi="Calibri" w:cs="Calibri"/>
        </w:rPr>
      </w:pPr>
      <w:r>
        <w:rPr>
          <w:rFonts w:ascii="Calibri" w:hAnsi="Calibri" w:cs="Calibri"/>
        </w:rPr>
        <w:lastRenderedPageBreak/>
        <w:t xml:space="preserve">In </w:t>
      </w:r>
      <w:r w:rsidR="00025B20">
        <w:rPr>
          <w:rFonts w:ascii="Calibri" w:hAnsi="Calibri" w:cs="Calibri"/>
        </w:rPr>
        <w:t xml:space="preserve">its </w:t>
      </w:r>
      <w:r>
        <w:rPr>
          <w:rFonts w:ascii="Calibri" w:hAnsi="Calibri" w:cs="Calibri"/>
        </w:rPr>
        <w:t xml:space="preserve">chapter 4 </w:t>
      </w:r>
      <w:r w:rsidRPr="004F137A">
        <w:rPr>
          <w:rFonts w:ascii="Calibri" w:hAnsi="Calibri" w:cs="Calibri"/>
        </w:rPr>
        <w:t>Enhanced Selectivity for protection of Band 1 BSs from</w:t>
      </w:r>
      <w:r>
        <w:rPr>
          <w:rFonts w:ascii="Calibri" w:hAnsi="Calibri" w:cs="Calibri"/>
        </w:rPr>
        <w:t xml:space="preserve"> </w:t>
      </w:r>
      <w:r w:rsidRPr="004F137A">
        <w:rPr>
          <w:rFonts w:ascii="Calibri" w:hAnsi="Calibri" w:cs="Calibri"/>
        </w:rPr>
        <w:t>FRMCS in 1900 MHz to 1910 MHz</w:t>
      </w:r>
      <w:r w:rsidR="0097759E">
        <w:rPr>
          <w:rFonts w:ascii="Calibri" w:hAnsi="Calibri" w:cs="Calibri"/>
        </w:rPr>
        <w:t xml:space="preserve"> it is stated that</w:t>
      </w:r>
      <w:r w:rsidR="005F0AA2">
        <w:rPr>
          <w:rFonts w:ascii="Calibri" w:hAnsi="Calibri" w:cs="Calibri"/>
        </w:rPr>
        <w:t xml:space="preserve"> t</w:t>
      </w:r>
      <w:r w:rsidR="00FA2540" w:rsidRPr="004A7DBC">
        <w:rPr>
          <w:rFonts w:ascii="Calibri" w:hAnsi="Calibri" w:cs="Calibri"/>
        </w:rPr>
        <w:t>he following requirement is only applicable to E-UTRA, UTRA, NR, NB-IoT or MSR BSs that are intended to be</w:t>
      </w:r>
    </w:p>
    <w:p w14:paraId="4FB59401" w14:textId="77777777" w:rsidR="00FA2540" w:rsidRPr="004A7DBC" w:rsidRDefault="00FA2540" w:rsidP="004A7DBC">
      <w:pPr>
        <w:spacing w:after="0"/>
        <w:rPr>
          <w:rFonts w:ascii="Calibri" w:hAnsi="Calibri" w:cs="Calibri"/>
        </w:rPr>
      </w:pPr>
      <w:r w:rsidRPr="004A7DBC">
        <w:rPr>
          <w:rFonts w:ascii="Calibri" w:hAnsi="Calibri" w:cs="Calibri"/>
        </w:rPr>
        <w:t>deployed in close geographical proximity of FRMCS Base Stations unless mobile operators deem it is not necessary</w:t>
      </w:r>
    </w:p>
    <w:p w14:paraId="07852006" w14:textId="03FBBF09" w:rsidR="00FA2540" w:rsidRPr="004A7DBC" w:rsidRDefault="00FA2540" w:rsidP="004A7DBC">
      <w:pPr>
        <w:spacing w:after="0"/>
        <w:rPr>
          <w:rFonts w:ascii="Calibri" w:hAnsi="Calibri" w:cs="Calibri"/>
        </w:rPr>
      </w:pPr>
      <w:r w:rsidRPr="004A7DBC">
        <w:rPr>
          <w:rFonts w:ascii="Calibri" w:hAnsi="Calibri" w:cs="Calibri"/>
        </w:rPr>
        <w:t>(noting that there may be a risk of interference from FRMCS).</w:t>
      </w:r>
    </w:p>
    <w:p w14:paraId="1DFD4E5A" w14:textId="28C6A426" w:rsidR="00087FC2" w:rsidRPr="00042B13" w:rsidRDefault="0097663D" w:rsidP="0097663D">
      <w:pPr>
        <w:rPr>
          <w:rFonts w:ascii="Calibri" w:hAnsi="Calibri" w:cs="Calibri"/>
          <w:b/>
          <w:bCs/>
        </w:rPr>
      </w:pPr>
      <w:r w:rsidRPr="0097663D">
        <w:rPr>
          <w:rFonts w:ascii="Calibri" w:hAnsi="Calibri" w:cs="Calibri"/>
          <w:b/>
          <w:bCs/>
        </w:rPr>
        <w:cr/>
      </w:r>
      <w:r w:rsidR="00087FC2" w:rsidRPr="00BB2F22">
        <w:rPr>
          <w:rFonts w:ascii="Calibri" w:hAnsi="Calibri" w:cs="Calibri"/>
          <w:b/>
          <w:bCs/>
        </w:rPr>
        <w:t xml:space="preserve">Observation </w:t>
      </w:r>
      <w:r w:rsidR="00087FC2">
        <w:rPr>
          <w:rFonts w:ascii="Calibri" w:hAnsi="Calibri" w:cs="Calibri"/>
          <w:b/>
          <w:bCs/>
        </w:rPr>
        <w:t>6</w:t>
      </w:r>
      <w:r w:rsidR="00087FC2" w:rsidRPr="00BB2F22">
        <w:rPr>
          <w:rFonts w:ascii="Calibri" w:hAnsi="Calibri" w:cs="Calibri"/>
          <w:b/>
          <w:bCs/>
        </w:rPr>
        <w:t xml:space="preserve">: </w:t>
      </w:r>
      <w:r w:rsidR="00D93770">
        <w:rPr>
          <w:rFonts w:ascii="Calibri" w:hAnsi="Calibri" w:cs="Calibri"/>
          <w:b/>
          <w:bCs/>
        </w:rPr>
        <w:t xml:space="preserve">In response to the </w:t>
      </w:r>
      <w:r w:rsidR="00042B13">
        <w:rPr>
          <w:rFonts w:ascii="Calibri" w:hAnsi="Calibri" w:cs="Calibri"/>
          <w:b/>
          <w:bCs/>
        </w:rPr>
        <w:t>EC/CEPT regulation for the 1900-1910MHz band</w:t>
      </w:r>
      <w:r w:rsidR="007D7A07">
        <w:rPr>
          <w:rFonts w:ascii="Calibri" w:hAnsi="Calibri" w:cs="Calibri"/>
          <w:b/>
          <w:bCs/>
        </w:rPr>
        <w:t>,</w:t>
      </w:r>
      <w:r w:rsidR="00042B13">
        <w:rPr>
          <w:rFonts w:ascii="Calibri" w:hAnsi="Calibri" w:cs="Calibri"/>
          <w:b/>
          <w:bCs/>
        </w:rPr>
        <w:t xml:space="preserve"> ETSI has specified e</w:t>
      </w:r>
      <w:r w:rsidR="00042B13" w:rsidRPr="00042B13">
        <w:rPr>
          <w:rFonts w:ascii="Calibri" w:hAnsi="Calibri" w:cs="Calibri"/>
          <w:b/>
          <w:bCs/>
        </w:rPr>
        <w:t xml:space="preserve">nhanced </w:t>
      </w:r>
      <w:r w:rsidR="00042B13">
        <w:rPr>
          <w:rFonts w:ascii="Calibri" w:hAnsi="Calibri" w:cs="Calibri"/>
          <w:b/>
          <w:bCs/>
        </w:rPr>
        <w:t>s</w:t>
      </w:r>
      <w:r w:rsidR="00042B13" w:rsidRPr="00042B13">
        <w:rPr>
          <w:rFonts w:ascii="Calibri" w:hAnsi="Calibri" w:cs="Calibri"/>
          <w:b/>
          <w:bCs/>
        </w:rPr>
        <w:t xml:space="preserve">electivity </w:t>
      </w:r>
      <w:r w:rsidR="00042B13">
        <w:rPr>
          <w:rFonts w:ascii="Calibri" w:hAnsi="Calibri" w:cs="Calibri"/>
          <w:b/>
          <w:bCs/>
        </w:rPr>
        <w:t xml:space="preserve">requirements </w:t>
      </w:r>
      <w:r w:rsidR="00042B13" w:rsidRPr="00042B13">
        <w:rPr>
          <w:rFonts w:ascii="Calibri" w:hAnsi="Calibri" w:cs="Calibri"/>
          <w:b/>
          <w:bCs/>
        </w:rPr>
        <w:t>for protection of Band 1 BSs</w:t>
      </w:r>
      <w:r w:rsidR="00042B13">
        <w:rPr>
          <w:rFonts w:ascii="Calibri" w:hAnsi="Calibri" w:cs="Calibri"/>
          <w:b/>
          <w:bCs/>
        </w:rPr>
        <w:t>.</w:t>
      </w:r>
    </w:p>
    <w:p w14:paraId="2E78531A" w14:textId="5108FE4E" w:rsidR="008800E1" w:rsidRDefault="008800E1" w:rsidP="008800E1">
      <w:pPr>
        <w:rPr>
          <w:rFonts w:ascii="Calibri" w:hAnsi="Calibri" w:cs="Calibri"/>
        </w:rPr>
      </w:pPr>
      <w:r>
        <w:rPr>
          <w:rFonts w:ascii="Calibri" w:hAnsi="Calibri" w:cs="Calibri"/>
        </w:rPr>
        <w:t xml:space="preserve">In ECC Report 318 section 5 the </w:t>
      </w:r>
      <w:r w:rsidRPr="00545CEA">
        <w:rPr>
          <w:rFonts w:ascii="Calibri" w:hAnsi="Calibri" w:cs="Calibri"/>
        </w:rPr>
        <w:t>Compatibility of FRMCS in 1900-1910 MHz with MFCN</w:t>
      </w:r>
      <w:r>
        <w:rPr>
          <w:rFonts w:ascii="Calibri" w:hAnsi="Calibri" w:cs="Calibri"/>
        </w:rPr>
        <w:t xml:space="preserve"> has been analysed based on the MCL. </w:t>
      </w:r>
      <w:r w:rsidRPr="00C72166">
        <w:rPr>
          <w:rFonts w:ascii="Calibri" w:hAnsi="Calibri" w:cs="Calibri"/>
        </w:rPr>
        <w:t>In order to select an MCL value, the following criterion has been selected: 7% of RMR sectors would have at least one MFCN neighbouring sector (from the operator the closest in frequency to the RMR lower band edge) with a coupling loss lower than that MCL value.</w:t>
      </w:r>
      <w:r>
        <w:rPr>
          <w:rFonts w:ascii="Calibri" w:hAnsi="Calibri" w:cs="Calibri"/>
        </w:rPr>
        <w:t xml:space="preserve"> </w:t>
      </w:r>
      <w:r w:rsidRPr="00E33567">
        <w:rPr>
          <w:rFonts w:ascii="Calibri" w:hAnsi="Calibri" w:cs="Calibri"/>
        </w:rPr>
        <w:t>The threshold of 7% has been chosen as a compromise value between efficient use of RMR and protecting the incumbent</w:t>
      </w:r>
      <w:r>
        <w:rPr>
          <w:rFonts w:ascii="Calibri" w:hAnsi="Calibri" w:cs="Calibri"/>
        </w:rPr>
        <w:t xml:space="preserve">. This implies that around 7% of MFCN sectors that are near to railways may be impacted, which is significantly less than 7% of the total MFCN number of sectors . This number is further reduced as the </w:t>
      </w:r>
      <w:r w:rsidRPr="00184E4A">
        <w:rPr>
          <w:rFonts w:ascii="Calibri" w:hAnsi="Calibri" w:cs="Calibri"/>
        </w:rPr>
        <w:t>coupling loss is expected to be higher than calculated, e.g. due to ground occupancy</w:t>
      </w:r>
      <w:r>
        <w:rPr>
          <w:rFonts w:ascii="Calibri" w:hAnsi="Calibri" w:cs="Calibri"/>
        </w:rPr>
        <w:t xml:space="preserve"> </w:t>
      </w:r>
      <w:r w:rsidRPr="00184E4A">
        <w:rPr>
          <w:rFonts w:ascii="Calibri" w:hAnsi="Calibri" w:cs="Calibri"/>
        </w:rPr>
        <w:t>In urban areas</w:t>
      </w:r>
      <w:r>
        <w:rPr>
          <w:rFonts w:ascii="Calibri" w:hAnsi="Calibri" w:cs="Calibri"/>
        </w:rPr>
        <w:t>.</w:t>
      </w:r>
      <w:r w:rsidR="00D36526" w:rsidRPr="00D36526">
        <w:rPr>
          <w:rFonts w:ascii="Calibri" w:hAnsi="Calibri" w:cs="Calibri"/>
        </w:rPr>
        <w:t>. Other factors reducing the probability of interference are the effects of terrain</w:t>
      </w:r>
      <w:r w:rsidR="00D36526">
        <w:rPr>
          <w:rFonts w:ascii="Calibri" w:hAnsi="Calibri" w:cs="Calibri"/>
        </w:rPr>
        <w:t xml:space="preserve">, </w:t>
      </w:r>
      <w:r w:rsidR="00D36526" w:rsidRPr="00D36526">
        <w:rPr>
          <w:rFonts w:ascii="Calibri" w:hAnsi="Calibri" w:cs="Calibri"/>
        </w:rPr>
        <w:t>vegetation</w:t>
      </w:r>
      <w:r w:rsidR="00D36526">
        <w:rPr>
          <w:rFonts w:ascii="Calibri" w:hAnsi="Calibri" w:cs="Calibri"/>
        </w:rPr>
        <w:t>, clutter</w:t>
      </w:r>
      <w:r w:rsidR="00D36526" w:rsidRPr="00D36526">
        <w:rPr>
          <w:rFonts w:ascii="Calibri" w:hAnsi="Calibri" w:cs="Calibri"/>
        </w:rPr>
        <w:t>, the temporal nature due to train speed and the uplink orientation of the FRMCS TDD frame.</w:t>
      </w:r>
    </w:p>
    <w:p w14:paraId="3F4F016A" w14:textId="7BF884D1" w:rsidR="00EA2BAA" w:rsidRDefault="008800E1" w:rsidP="00E0454B">
      <w:pPr>
        <w:rPr>
          <w:rFonts w:ascii="Calibri" w:hAnsi="Calibri" w:cs="Calibri"/>
        </w:rPr>
      </w:pPr>
      <w:r w:rsidRPr="000C789E">
        <w:rPr>
          <w:rFonts w:ascii="Calibri" w:hAnsi="Calibri" w:cs="Calibri"/>
          <w:b/>
          <w:bCs/>
        </w:rPr>
        <w:t xml:space="preserve">Observation </w:t>
      </w:r>
      <w:r w:rsidR="001A00B7">
        <w:rPr>
          <w:rFonts w:ascii="Calibri" w:hAnsi="Calibri" w:cs="Calibri"/>
          <w:b/>
          <w:bCs/>
        </w:rPr>
        <w:t>7</w:t>
      </w:r>
      <w:r w:rsidRPr="000C789E">
        <w:rPr>
          <w:rFonts w:ascii="Calibri" w:hAnsi="Calibri" w:cs="Calibri"/>
          <w:b/>
          <w:bCs/>
        </w:rPr>
        <w:t>:</w:t>
      </w:r>
      <w:r>
        <w:rPr>
          <w:rFonts w:ascii="Calibri" w:hAnsi="Calibri" w:cs="Calibri"/>
          <w:b/>
          <w:bCs/>
        </w:rPr>
        <w:t xml:space="preserve"> The number of MFCN sectors that may be interfered by n101 BS will be less than around 7% of the MFCN sectors that are near railways due to the </w:t>
      </w:r>
      <w:r w:rsidRPr="003100C3">
        <w:rPr>
          <w:rFonts w:ascii="Calibri" w:hAnsi="Calibri" w:cs="Calibri"/>
          <w:b/>
          <w:bCs/>
        </w:rPr>
        <w:t xml:space="preserve">coupling loss expected to be higher than calculated, e.g. due to </w:t>
      </w:r>
      <w:r w:rsidR="00D36526">
        <w:rPr>
          <w:rFonts w:ascii="Calibri" w:hAnsi="Calibri" w:cs="Calibri"/>
          <w:b/>
          <w:bCs/>
        </w:rPr>
        <w:t>the effects of terrain</w:t>
      </w:r>
      <w:r w:rsidR="00D36526">
        <w:rPr>
          <w:rFonts w:ascii="Calibri" w:hAnsi="Calibri" w:cs="Calibri"/>
          <w:b/>
          <w:bCs/>
        </w:rPr>
        <w:t xml:space="preserve">, </w:t>
      </w:r>
      <w:r w:rsidR="009567C9">
        <w:rPr>
          <w:rFonts w:ascii="Calibri" w:hAnsi="Calibri" w:cs="Calibri"/>
          <w:b/>
          <w:bCs/>
        </w:rPr>
        <w:t xml:space="preserve">clutter, </w:t>
      </w:r>
      <w:r w:rsidRPr="003100C3">
        <w:rPr>
          <w:rFonts w:ascii="Calibri" w:hAnsi="Calibri" w:cs="Calibri"/>
          <w:b/>
          <w:bCs/>
        </w:rPr>
        <w:t>ground occupancy In urban areas</w:t>
      </w:r>
      <w:r w:rsidR="00D36526">
        <w:rPr>
          <w:rFonts w:ascii="Calibri" w:hAnsi="Calibri" w:cs="Calibri"/>
          <w:b/>
          <w:bCs/>
        </w:rPr>
        <w:t xml:space="preserve">, </w:t>
      </w:r>
      <w:r w:rsidR="00D36526">
        <w:rPr>
          <w:rFonts w:ascii="Calibri" w:hAnsi="Calibri" w:cs="Calibri"/>
          <w:b/>
          <w:bCs/>
        </w:rPr>
        <w:t>the temporal nature due to train speed and the uplink orientation of the FRMCS TDD frame</w:t>
      </w:r>
      <w:r w:rsidR="00D36526" w:rsidRPr="00450550">
        <w:rPr>
          <w:rFonts w:ascii="Calibri" w:hAnsi="Calibri" w:cs="Calibri"/>
          <w:b/>
          <w:bCs/>
        </w:rPr>
        <w:t>.</w:t>
      </w:r>
      <w:r w:rsidR="00450550" w:rsidRPr="00450550">
        <w:rPr>
          <w:rFonts w:ascii="Calibri" w:hAnsi="Calibri" w:cs="Calibri"/>
          <w:b/>
          <w:bCs/>
        </w:rPr>
        <w:t xml:space="preserve"> </w:t>
      </w:r>
      <w:r w:rsidR="00450550" w:rsidRPr="00450550">
        <w:rPr>
          <w:rFonts w:ascii="Calibri" w:hAnsi="Calibri" w:cs="Calibri"/>
          <w:b/>
          <w:bCs/>
        </w:rPr>
        <w:t>As the number of urban MFCN BS is over-represented in the above percentage the actual number of interfered MFCN BS will be lower</w:t>
      </w:r>
      <w:r w:rsidR="00450550" w:rsidRPr="00450550">
        <w:rPr>
          <w:rFonts w:ascii="Calibri" w:hAnsi="Calibri" w:cs="Calibri"/>
          <w:b/>
          <w:bCs/>
        </w:rPr>
        <w:t>.</w:t>
      </w:r>
      <w:r>
        <w:rPr>
          <w:rFonts w:ascii="Calibri" w:hAnsi="Calibri" w:cs="Calibri"/>
          <w:b/>
          <w:bCs/>
        </w:rPr>
        <w:t xml:space="preserve"> </w:t>
      </w:r>
    </w:p>
    <w:p w14:paraId="002BBD87" w14:textId="75A6B89D" w:rsidR="00EA2BAA" w:rsidRDefault="00F94C1E" w:rsidP="00E0454B">
      <w:pPr>
        <w:rPr>
          <w:rFonts w:ascii="Calibri" w:hAnsi="Calibri" w:cs="Calibri"/>
        </w:rPr>
      </w:pPr>
      <w:r>
        <w:rPr>
          <w:rFonts w:ascii="Calibri" w:hAnsi="Calibri" w:cs="Calibri"/>
        </w:rPr>
        <w:t xml:space="preserve">For the high power UE the ECC </w:t>
      </w:r>
      <w:r w:rsidR="00675FBF">
        <w:rPr>
          <w:rFonts w:ascii="Calibri" w:hAnsi="Calibri" w:cs="Calibri"/>
        </w:rPr>
        <w:t>Report</w:t>
      </w:r>
      <w:r>
        <w:rPr>
          <w:rFonts w:ascii="Calibri" w:hAnsi="Calibri" w:cs="Calibri"/>
        </w:rPr>
        <w:t xml:space="preserve"> 318</w:t>
      </w:r>
      <w:r w:rsidR="00675FBF">
        <w:rPr>
          <w:rFonts w:ascii="Calibri" w:hAnsi="Calibri" w:cs="Calibri"/>
        </w:rPr>
        <w:t xml:space="preserve"> in the executive summary 0.4 High Po</w:t>
      </w:r>
      <w:r w:rsidR="008000C6">
        <w:rPr>
          <w:rFonts w:ascii="Calibri" w:hAnsi="Calibri" w:cs="Calibri"/>
        </w:rPr>
        <w:t>wer cab-radio states:</w:t>
      </w:r>
    </w:p>
    <w:p w14:paraId="415BC890" w14:textId="63CC7F53" w:rsidR="004E4E4C" w:rsidRPr="004E4E4C" w:rsidRDefault="004E4E4C" w:rsidP="004E4E4C">
      <w:pPr>
        <w:ind w:left="567"/>
        <w:rPr>
          <w:rFonts w:ascii="Calibri" w:hAnsi="Calibri" w:cs="Calibri"/>
          <w:i/>
          <w:iCs/>
        </w:rPr>
      </w:pPr>
      <w:r>
        <w:rPr>
          <w:rFonts w:ascii="Calibri" w:hAnsi="Calibri" w:cs="Calibri"/>
          <w:i/>
          <w:iCs/>
        </w:rPr>
        <w:t>“</w:t>
      </w:r>
      <w:r w:rsidRPr="004E4E4C">
        <w:rPr>
          <w:rFonts w:ascii="Calibri" w:hAnsi="Calibri" w:cs="Calibri"/>
          <w:i/>
          <w:iCs/>
        </w:rPr>
        <w:t>For both 900 MHz and 1900 MHz bands, Monte Carlo studies based on SEAMCAT have been conducted and show that the interference from FRMCS cab-radio of 31 dBm output power to MFCN uplink is acceptable when uplink power-control is implemented and activated and with unwanted emissions as described in Annex 10.</w:t>
      </w:r>
    </w:p>
    <w:p w14:paraId="792A14CD" w14:textId="77777777" w:rsidR="004E4E4C" w:rsidRPr="004E4E4C" w:rsidRDefault="004E4E4C" w:rsidP="004E4E4C">
      <w:pPr>
        <w:ind w:left="567"/>
        <w:rPr>
          <w:rFonts w:ascii="Calibri" w:hAnsi="Calibri" w:cs="Calibri"/>
          <w:i/>
          <w:iCs/>
        </w:rPr>
      </w:pPr>
      <w:r w:rsidRPr="004E4E4C">
        <w:rPr>
          <w:rFonts w:ascii="Calibri" w:hAnsi="Calibri" w:cs="Calibri"/>
          <w:i/>
          <w:iCs/>
        </w:rPr>
        <w:t>Annex 9 provides a worst-case analysis based on an MCL calculation for the case without FRMCS cab-radio uplink power control. It concludes that this could result in harmful interferences unless unwanted emissions from cab-radio would be reduced to -53 dBm/MHz in the 880-915 MHz and 1920-1980 MHz frequency ranges.</w:t>
      </w:r>
    </w:p>
    <w:p w14:paraId="5227A395" w14:textId="5E6CEA2B" w:rsidR="00E0454B" w:rsidRDefault="004E4E4C" w:rsidP="004E4E4C">
      <w:pPr>
        <w:ind w:left="567"/>
        <w:rPr>
          <w:rFonts w:ascii="Calibri" w:hAnsi="Calibri" w:cs="Calibri"/>
        </w:rPr>
      </w:pPr>
      <w:r w:rsidRPr="004E4E4C">
        <w:rPr>
          <w:rFonts w:ascii="Calibri" w:hAnsi="Calibri" w:cs="Calibri"/>
          <w:i/>
          <w:iCs/>
        </w:rPr>
        <w:t>FRMCS cab-radios shall therefore implement and activate uplink power control in the 900 MHz and 1900 MHz band. FRMCS high-power cab-radios are not permitted to operate without uplink power control.</w:t>
      </w:r>
      <w:r w:rsidR="00620388">
        <w:rPr>
          <w:rFonts w:ascii="Calibri" w:hAnsi="Calibri" w:cs="Calibri"/>
        </w:rPr>
        <w:t>”.</w:t>
      </w:r>
    </w:p>
    <w:p w14:paraId="19BF4AAD" w14:textId="3DEA51CF" w:rsidR="00C7511D" w:rsidRDefault="00062725" w:rsidP="00DB10F4">
      <w:pPr>
        <w:rPr>
          <w:rFonts w:ascii="Calibri" w:hAnsi="Calibri" w:cs="Calibri"/>
        </w:rPr>
      </w:pPr>
      <w:r>
        <w:rPr>
          <w:rFonts w:ascii="Calibri" w:hAnsi="Calibri" w:cs="Calibri"/>
        </w:rPr>
        <w:t xml:space="preserve">The </w:t>
      </w:r>
      <w:r w:rsidR="00911DFD">
        <w:rPr>
          <w:rFonts w:ascii="Calibri" w:hAnsi="Calibri" w:cs="Calibri"/>
        </w:rPr>
        <w:t>Commission Implementing Decision (EU) 2021/1730</w:t>
      </w:r>
      <w:r w:rsidR="00C7511D">
        <w:rPr>
          <w:rFonts w:ascii="Calibri" w:hAnsi="Calibri" w:cs="Calibri"/>
        </w:rPr>
        <w:t xml:space="preserve"> in</w:t>
      </w:r>
      <w:r w:rsidR="00C64C3B">
        <w:rPr>
          <w:rFonts w:ascii="Calibri" w:hAnsi="Calibri" w:cs="Calibri"/>
        </w:rPr>
        <w:t xml:space="preserve"> its</w:t>
      </w:r>
      <w:r w:rsidR="00C7511D">
        <w:rPr>
          <w:rFonts w:ascii="Calibri" w:hAnsi="Calibri" w:cs="Calibri"/>
        </w:rPr>
        <w:t xml:space="preserve"> </w:t>
      </w:r>
      <w:r w:rsidR="002E38C8">
        <w:rPr>
          <w:rFonts w:ascii="Calibri" w:hAnsi="Calibri" w:cs="Calibri"/>
        </w:rPr>
        <w:t>part</w:t>
      </w:r>
      <w:r w:rsidR="002E38C8" w:rsidRPr="002E38C8">
        <w:rPr>
          <w:rFonts w:ascii="Calibri" w:hAnsi="Calibri" w:cs="Calibri"/>
        </w:rPr>
        <w:t xml:space="preserve"> C</w:t>
      </w:r>
      <w:r w:rsidR="002E38C8">
        <w:rPr>
          <w:rFonts w:ascii="Calibri" w:hAnsi="Calibri" w:cs="Calibri"/>
        </w:rPr>
        <w:t xml:space="preserve"> technical c</w:t>
      </w:r>
      <w:r w:rsidR="000911ED">
        <w:rPr>
          <w:rFonts w:ascii="Calibri" w:hAnsi="Calibri" w:cs="Calibri"/>
        </w:rPr>
        <w:t>on</w:t>
      </w:r>
      <w:r w:rsidR="002E38C8">
        <w:rPr>
          <w:rFonts w:ascii="Calibri" w:hAnsi="Calibri" w:cs="Calibri"/>
        </w:rPr>
        <w:t>ditions for wideband</w:t>
      </w:r>
      <w:r w:rsidR="00DB10F4">
        <w:rPr>
          <w:rFonts w:ascii="Calibri" w:hAnsi="Calibri" w:cs="Calibri"/>
        </w:rPr>
        <w:t xml:space="preserve"> RMR in 1900-1920MHz (TDD)</w:t>
      </w:r>
      <w:r w:rsidR="000911ED">
        <w:rPr>
          <w:rFonts w:ascii="Calibri" w:hAnsi="Calibri" w:cs="Calibri"/>
        </w:rPr>
        <w:t xml:space="preserve"> </w:t>
      </w:r>
      <w:r w:rsidR="00DB10F4">
        <w:rPr>
          <w:rFonts w:ascii="Calibri" w:hAnsi="Calibri" w:cs="Calibri"/>
        </w:rPr>
        <w:t>band</w:t>
      </w:r>
      <w:r w:rsidR="00660F74">
        <w:rPr>
          <w:rFonts w:ascii="Calibri" w:hAnsi="Calibri" w:cs="Calibri"/>
        </w:rPr>
        <w:t xml:space="preserve"> and also </w:t>
      </w:r>
      <w:r w:rsidR="00F4459B">
        <w:rPr>
          <w:rFonts w:ascii="Calibri" w:hAnsi="Calibri" w:cs="Calibri"/>
        </w:rPr>
        <w:t>t</w:t>
      </w:r>
      <w:r w:rsidR="00660F74">
        <w:rPr>
          <w:rFonts w:ascii="Calibri" w:hAnsi="Calibri" w:cs="Calibri"/>
        </w:rPr>
        <w:t xml:space="preserve">he ECC Decision(20)02 in </w:t>
      </w:r>
      <w:r w:rsidR="00C64C3B">
        <w:rPr>
          <w:rFonts w:ascii="Calibri" w:hAnsi="Calibri" w:cs="Calibri"/>
        </w:rPr>
        <w:t xml:space="preserve">its </w:t>
      </w:r>
      <w:r w:rsidR="00660F74">
        <w:rPr>
          <w:rFonts w:ascii="Calibri" w:hAnsi="Calibri" w:cs="Calibri"/>
        </w:rPr>
        <w:t>An</w:t>
      </w:r>
      <w:r w:rsidR="00C64C3B">
        <w:rPr>
          <w:rFonts w:ascii="Calibri" w:hAnsi="Calibri" w:cs="Calibri"/>
        </w:rPr>
        <w:t>n</w:t>
      </w:r>
      <w:r w:rsidR="00660F74">
        <w:rPr>
          <w:rFonts w:ascii="Calibri" w:hAnsi="Calibri" w:cs="Calibri"/>
        </w:rPr>
        <w:t>ex 3: least restrictive technical conditions for wideband RMR in 1900 – 1910 MHz (TDD) state</w:t>
      </w:r>
      <w:r w:rsidR="00660F74">
        <w:rPr>
          <w:rFonts w:ascii="Calibri" w:hAnsi="Calibri" w:cs="Calibri"/>
        </w:rPr>
        <w:t xml:space="preserve"> </w:t>
      </w:r>
      <w:r w:rsidR="00C7511D" w:rsidRPr="00C7511D">
        <w:rPr>
          <w:rFonts w:ascii="Calibri" w:hAnsi="Calibri" w:cs="Calibri"/>
        </w:rPr>
        <w:t>that</w:t>
      </w:r>
      <w:r w:rsidR="00C7511D">
        <w:rPr>
          <w:rFonts w:ascii="Calibri" w:hAnsi="Calibri" w:cs="Calibri"/>
        </w:rPr>
        <w:t>:</w:t>
      </w:r>
    </w:p>
    <w:p w14:paraId="794E7988" w14:textId="6703D996" w:rsidR="00C7511D" w:rsidRDefault="00C7511D" w:rsidP="00C7511D">
      <w:pPr>
        <w:ind w:left="567"/>
        <w:rPr>
          <w:rFonts w:ascii="Calibri" w:hAnsi="Calibri" w:cs="Calibri"/>
          <w:i/>
          <w:iCs/>
        </w:rPr>
      </w:pPr>
      <w:r w:rsidRPr="00C7511D">
        <w:rPr>
          <w:rFonts w:ascii="Calibri" w:hAnsi="Calibri" w:cs="Calibri"/>
          <w:i/>
          <w:iCs/>
        </w:rPr>
        <w:t>“Uplink power control is mandatory and shall be activated”.</w:t>
      </w:r>
    </w:p>
    <w:p w14:paraId="6D322661" w14:textId="7B785F9D" w:rsidR="00AB0539" w:rsidRDefault="00911DFD" w:rsidP="00660F74">
      <w:pPr>
        <w:rPr>
          <w:rFonts w:ascii="Calibri" w:hAnsi="Calibri" w:cs="Calibri"/>
        </w:rPr>
      </w:pPr>
      <w:r>
        <w:rPr>
          <w:rFonts w:ascii="Calibri" w:hAnsi="Calibri" w:cs="Calibri"/>
        </w:rPr>
        <w:t xml:space="preserve"> </w:t>
      </w:r>
    </w:p>
    <w:p w14:paraId="136F7FA5" w14:textId="4287A1A6" w:rsidR="0001708F" w:rsidRDefault="0001708F" w:rsidP="0001708F">
      <w:pPr>
        <w:rPr>
          <w:rFonts w:ascii="Calibri" w:hAnsi="Calibri" w:cs="Calibri"/>
          <w:b/>
          <w:bCs/>
        </w:rPr>
      </w:pPr>
      <w:r w:rsidRPr="000C789E">
        <w:rPr>
          <w:rFonts w:ascii="Calibri" w:hAnsi="Calibri" w:cs="Calibri"/>
          <w:b/>
          <w:bCs/>
        </w:rPr>
        <w:lastRenderedPageBreak/>
        <w:t xml:space="preserve">Observation </w:t>
      </w:r>
      <w:r w:rsidR="001A00B7">
        <w:rPr>
          <w:rFonts w:ascii="Calibri" w:hAnsi="Calibri" w:cs="Calibri"/>
          <w:b/>
          <w:bCs/>
        </w:rPr>
        <w:t>8</w:t>
      </w:r>
      <w:r w:rsidRPr="000C789E">
        <w:rPr>
          <w:rFonts w:ascii="Calibri" w:hAnsi="Calibri" w:cs="Calibri"/>
          <w:b/>
          <w:bCs/>
        </w:rPr>
        <w:t>: From</w:t>
      </w:r>
      <w:r w:rsidR="00E33591" w:rsidRPr="000C789E">
        <w:rPr>
          <w:rFonts w:ascii="Calibri" w:hAnsi="Calibri" w:cs="Calibri"/>
          <w:b/>
          <w:bCs/>
        </w:rPr>
        <w:t xml:space="preserve"> ECC Report 318</w:t>
      </w:r>
      <w:r w:rsidR="003747C5" w:rsidRPr="000C789E">
        <w:rPr>
          <w:rFonts w:ascii="Calibri" w:hAnsi="Calibri" w:cs="Calibri"/>
          <w:b/>
          <w:bCs/>
        </w:rPr>
        <w:t xml:space="preserve"> it is clear that ECC has performed Monte Carlo studies that show that the interference from FRMCS cab-radio of 31 dBm output power to MFCN uplink is acceptable when uplink power-control is implemented and activated</w:t>
      </w:r>
      <w:r w:rsidR="00653BDA" w:rsidRPr="000C789E">
        <w:rPr>
          <w:rFonts w:ascii="Calibri" w:hAnsi="Calibri" w:cs="Calibri"/>
          <w:b/>
          <w:bCs/>
        </w:rPr>
        <w:t xml:space="preserve">. </w:t>
      </w:r>
    </w:p>
    <w:p w14:paraId="3B83A396" w14:textId="0E084044" w:rsidR="0001708F" w:rsidRDefault="00401578" w:rsidP="00401578">
      <w:pPr>
        <w:rPr>
          <w:rFonts w:ascii="Calibri" w:hAnsi="Calibri" w:cs="Calibri"/>
          <w:b/>
          <w:bCs/>
        </w:rPr>
      </w:pPr>
      <w:r w:rsidRPr="000C789E">
        <w:rPr>
          <w:rFonts w:ascii="Calibri" w:hAnsi="Calibri" w:cs="Calibri"/>
          <w:b/>
          <w:bCs/>
        </w:rPr>
        <w:t xml:space="preserve">Observation </w:t>
      </w:r>
      <w:r w:rsidR="001A00B7">
        <w:rPr>
          <w:rFonts w:ascii="Calibri" w:hAnsi="Calibri" w:cs="Calibri"/>
          <w:b/>
          <w:bCs/>
        </w:rPr>
        <w:t>9</w:t>
      </w:r>
      <w:r w:rsidRPr="000C789E">
        <w:rPr>
          <w:rFonts w:ascii="Calibri" w:hAnsi="Calibri" w:cs="Calibri"/>
          <w:b/>
          <w:bCs/>
        </w:rPr>
        <w:t xml:space="preserve">: from both the </w:t>
      </w:r>
      <w:r w:rsidR="000C789E" w:rsidRPr="000C789E">
        <w:rPr>
          <w:rFonts w:ascii="Calibri" w:hAnsi="Calibri" w:cs="Calibri"/>
          <w:b/>
          <w:bCs/>
        </w:rPr>
        <w:t>Commission Implementing Decision (EU) 2021/1730 and the ECC Decision(20)02 it is clear that Uplink power control is mandatory and shall be activated</w:t>
      </w:r>
      <w:r w:rsidR="000C789E">
        <w:rPr>
          <w:rFonts w:ascii="Calibri" w:hAnsi="Calibri" w:cs="Calibri"/>
          <w:b/>
          <w:bCs/>
        </w:rPr>
        <w:t>.</w:t>
      </w:r>
    </w:p>
    <w:p w14:paraId="0F3574F6" w14:textId="28B205B8" w:rsidR="000E078E" w:rsidRDefault="00F13CBB" w:rsidP="00401578">
      <w:pPr>
        <w:rPr>
          <w:rFonts w:ascii="Calibri" w:hAnsi="Calibri" w:cs="Calibri"/>
        </w:rPr>
      </w:pPr>
      <w:r>
        <w:rPr>
          <w:rFonts w:ascii="Calibri" w:hAnsi="Calibri" w:cs="Calibri"/>
        </w:rPr>
        <w:t xml:space="preserve">The ECC, CEPT and EU documents all have </w:t>
      </w:r>
      <w:r w:rsidR="00E071E5">
        <w:rPr>
          <w:rFonts w:ascii="Calibri" w:hAnsi="Calibri" w:cs="Calibri"/>
        </w:rPr>
        <w:t xml:space="preserve">all been processed </w:t>
      </w:r>
      <w:r w:rsidR="008F51BE">
        <w:rPr>
          <w:rFonts w:ascii="Calibri" w:hAnsi="Calibri" w:cs="Calibri"/>
        </w:rPr>
        <w:t>through</w:t>
      </w:r>
      <w:r w:rsidR="00E071E5">
        <w:rPr>
          <w:rFonts w:ascii="Calibri" w:hAnsi="Calibri" w:cs="Calibri"/>
        </w:rPr>
        <w:t xml:space="preserve"> </w:t>
      </w:r>
      <w:r w:rsidR="00C61790">
        <w:rPr>
          <w:rFonts w:ascii="Calibri" w:hAnsi="Calibri" w:cs="Calibri"/>
        </w:rPr>
        <w:t>their</w:t>
      </w:r>
      <w:r w:rsidR="00E071E5">
        <w:rPr>
          <w:rFonts w:ascii="Calibri" w:hAnsi="Calibri" w:cs="Calibri"/>
        </w:rPr>
        <w:t xml:space="preserve"> standard approval </w:t>
      </w:r>
      <w:r w:rsidR="00AC6A39">
        <w:rPr>
          <w:rFonts w:ascii="Calibri" w:hAnsi="Calibri" w:cs="Calibri"/>
        </w:rPr>
        <w:t>process steps</w:t>
      </w:r>
      <w:r w:rsidR="00E071E5">
        <w:rPr>
          <w:rFonts w:ascii="Calibri" w:hAnsi="Calibri" w:cs="Calibri"/>
        </w:rPr>
        <w:t>:</w:t>
      </w:r>
    </w:p>
    <w:p w14:paraId="5F3D0E98" w14:textId="03B67B1C" w:rsidR="00E071E5" w:rsidRDefault="009E0784" w:rsidP="00C61790">
      <w:pPr>
        <w:numPr>
          <w:ilvl w:val="0"/>
          <w:numId w:val="27"/>
        </w:numPr>
        <w:spacing w:after="0"/>
        <w:rPr>
          <w:rFonts w:ascii="Calibri" w:hAnsi="Calibri" w:cs="Calibri"/>
        </w:rPr>
      </w:pPr>
      <w:r>
        <w:rPr>
          <w:rFonts w:ascii="Calibri" w:hAnsi="Calibri" w:cs="Calibri"/>
        </w:rPr>
        <w:t xml:space="preserve">ECC </w:t>
      </w:r>
      <w:r w:rsidR="00E071E5" w:rsidRPr="00E071E5">
        <w:rPr>
          <w:rFonts w:ascii="Calibri" w:hAnsi="Calibri" w:cs="Calibri"/>
        </w:rPr>
        <w:t xml:space="preserve">Report 318 </w:t>
      </w:r>
      <w:r w:rsidR="00E071E5">
        <w:rPr>
          <w:rFonts w:ascii="Calibri" w:hAnsi="Calibri" w:cs="Calibri"/>
        </w:rPr>
        <w:t xml:space="preserve">has </w:t>
      </w:r>
      <w:r w:rsidR="00E85AE3">
        <w:rPr>
          <w:rFonts w:ascii="Calibri" w:hAnsi="Calibri" w:cs="Calibri"/>
        </w:rPr>
        <w:t>been subject to</w:t>
      </w:r>
      <w:r w:rsidR="00E071E5">
        <w:rPr>
          <w:rFonts w:ascii="Calibri" w:hAnsi="Calibri" w:cs="Calibri"/>
        </w:rPr>
        <w:t xml:space="preserve"> the public </w:t>
      </w:r>
      <w:r w:rsidR="00076BC9">
        <w:rPr>
          <w:rFonts w:ascii="Calibri" w:hAnsi="Calibri" w:cs="Calibri"/>
        </w:rPr>
        <w:t>consultation</w:t>
      </w:r>
      <w:r w:rsidR="00E071E5">
        <w:rPr>
          <w:rFonts w:ascii="Calibri" w:hAnsi="Calibri" w:cs="Calibri"/>
        </w:rPr>
        <w:t xml:space="preserve"> phase</w:t>
      </w:r>
      <w:r w:rsidR="00076BC9">
        <w:rPr>
          <w:rFonts w:ascii="Calibri" w:hAnsi="Calibri" w:cs="Calibri"/>
        </w:rPr>
        <w:t xml:space="preserve"> </w:t>
      </w:r>
      <w:r w:rsidR="00B67C41">
        <w:rPr>
          <w:rFonts w:ascii="Calibri" w:hAnsi="Calibri" w:cs="Calibri"/>
        </w:rPr>
        <w:t>that</w:t>
      </w:r>
      <w:r w:rsidR="00076BC9">
        <w:rPr>
          <w:rFonts w:ascii="Calibri" w:hAnsi="Calibri" w:cs="Calibri"/>
        </w:rPr>
        <w:t xml:space="preserve"> was completed in </w:t>
      </w:r>
      <w:r w:rsidR="00E071E5" w:rsidRPr="00E071E5">
        <w:rPr>
          <w:rFonts w:ascii="Calibri" w:hAnsi="Calibri" w:cs="Calibri"/>
        </w:rPr>
        <w:t xml:space="preserve">ECC PT1#65 </w:t>
      </w:r>
      <w:r w:rsidR="00B12265">
        <w:rPr>
          <w:rFonts w:ascii="Calibri" w:hAnsi="Calibri" w:cs="Calibri"/>
        </w:rPr>
        <w:t xml:space="preserve">- </w:t>
      </w:r>
      <w:r w:rsidR="00E071E5" w:rsidRPr="00E071E5">
        <w:rPr>
          <w:rFonts w:ascii="Calibri" w:hAnsi="Calibri" w:cs="Calibri"/>
        </w:rPr>
        <w:t>June 2020</w:t>
      </w:r>
      <w:r w:rsidR="00076BC9">
        <w:rPr>
          <w:rFonts w:ascii="Calibri" w:hAnsi="Calibri" w:cs="Calibri"/>
        </w:rPr>
        <w:t xml:space="preserve"> </w:t>
      </w:r>
      <w:r w:rsidR="00131BBD">
        <w:rPr>
          <w:rFonts w:ascii="Calibri" w:hAnsi="Calibri" w:cs="Calibri"/>
        </w:rPr>
        <w:t xml:space="preserve">and subsequently approved in the </w:t>
      </w:r>
      <w:r w:rsidR="00131BBD" w:rsidRPr="00131BBD">
        <w:rPr>
          <w:rFonts w:ascii="Calibri" w:hAnsi="Calibri" w:cs="Calibri"/>
        </w:rPr>
        <w:t xml:space="preserve">53rd ECC Plenary </w:t>
      </w:r>
      <w:r w:rsidR="00B12265">
        <w:rPr>
          <w:rFonts w:ascii="Calibri" w:hAnsi="Calibri" w:cs="Calibri"/>
        </w:rPr>
        <w:t>–</w:t>
      </w:r>
      <w:r w:rsidR="00131BBD" w:rsidRPr="00131BBD">
        <w:rPr>
          <w:rFonts w:ascii="Calibri" w:hAnsi="Calibri" w:cs="Calibri"/>
        </w:rPr>
        <w:t xml:space="preserve"> June</w:t>
      </w:r>
      <w:r w:rsidR="00B12265">
        <w:rPr>
          <w:rFonts w:ascii="Calibri" w:hAnsi="Calibri" w:cs="Calibri"/>
        </w:rPr>
        <w:t>/</w:t>
      </w:r>
      <w:r w:rsidR="00131BBD" w:rsidRPr="00131BBD">
        <w:rPr>
          <w:rFonts w:ascii="Calibri" w:hAnsi="Calibri" w:cs="Calibri"/>
        </w:rPr>
        <w:t>July -</w:t>
      </w:r>
      <w:r w:rsidR="00812508">
        <w:rPr>
          <w:rFonts w:ascii="Calibri" w:hAnsi="Calibri" w:cs="Calibri"/>
        </w:rPr>
        <w:t xml:space="preserve"> </w:t>
      </w:r>
      <w:r w:rsidR="00B12265">
        <w:rPr>
          <w:rFonts w:ascii="Calibri" w:hAnsi="Calibri" w:cs="Calibri"/>
        </w:rPr>
        <w:t>2020;</w:t>
      </w:r>
    </w:p>
    <w:p w14:paraId="3C74EE3E" w14:textId="254FDC31" w:rsidR="00C82850" w:rsidRPr="00C82850" w:rsidRDefault="009E0784" w:rsidP="00C61790">
      <w:pPr>
        <w:numPr>
          <w:ilvl w:val="0"/>
          <w:numId w:val="27"/>
        </w:numPr>
        <w:spacing w:after="0"/>
        <w:rPr>
          <w:rFonts w:ascii="Calibri" w:hAnsi="Calibri" w:cs="Calibri"/>
        </w:rPr>
      </w:pPr>
      <w:r w:rsidRPr="009E0784">
        <w:rPr>
          <w:rFonts w:ascii="Calibri" w:hAnsi="Calibri" w:cs="Calibri"/>
        </w:rPr>
        <w:t>ECC Decision</w:t>
      </w:r>
      <w:r w:rsidRPr="00C82850">
        <w:rPr>
          <w:rFonts w:ascii="Calibri" w:hAnsi="Calibri" w:cs="Calibri"/>
        </w:rPr>
        <w:t xml:space="preserve"> </w:t>
      </w:r>
      <w:r w:rsidR="00C82850" w:rsidRPr="00C82850">
        <w:rPr>
          <w:rFonts w:ascii="Calibri" w:hAnsi="Calibri" w:cs="Calibri"/>
        </w:rPr>
        <w:t xml:space="preserve">(20)02 and </w:t>
      </w:r>
      <w:r>
        <w:rPr>
          <w:rFonts w:ascii="Calibri" w:hAnsi="Calibri" w:cs="Calibri"/>
        </w:rPr>
        <w:t xml:space="preserve">CEPT </w:t>
      </w:r>
      <w:r w:rsidR="00C82850" w:rsidRPr="00C82850">
        <w:rPr>
          <w:rFonts w:ascii="Calibri" w:hAnsi="Calibri" w:cs="Calibri"/>
        </w:rPr>
        <w:t xml:space="preserve">Report 76 </w:t>
      </w:r>
      <w:r w:rsidR="00C82850">
        <w:rPr>
          <w:rFonts w:ascii="Calibri" w:hAnsi="Calibri" w:cs="Calibri"/>
        </w:rPr>
        <w:t xml:space="preserve">have </w:t>
      </w:r>
      <w:r w:rsidR="00D71272">
        <w:rPr>
          <w:rFonts w:ascii="Calibri" w:hAnsi="Calibri" w:cs="Calibri"/>
        </w:rPr>
        <w:t xml:space="preserve">been subject to </w:t>
      </w:r>
      <w:r w:rsidR="00C82850">
        <w:rPr>
          <w:rFonts w:ascii="Calibri" w:hAnsi="Calibri" w:cs="Calibri"/>
        </w:rPr>
        <w:t>the public consultation phase</w:t>
      </w:r>
      <w:r w:rsidR="00B67C41">
        <w:rPr>
          <w:rFonts w:ascii="Calibri" w:hAnsi="Calibri" w:cs="Calibri"/>
        </w:rPr>
        <w:t>s</w:t>
      </w:r>
      <w:r w:rsidR="00C82850">
        <w:rPr>
          <w:rFonts w:ascii="Calibri" w:hAnsi="Calibri" w:cs="Calibri"/>
        </w:rPr>
        <w:t xml:space="preserve"> </w:t>
      </w:r>
      <w:r w:rsidR="00B67C41">
        <w:rPr>
          <w:rFonts w:ascii="Calibri" w:hAnsi="Calibri" w:cs="Calibri"/>
        </w:rPr>
        <w:t>that</w:t>
      </w:r>
      <w:r w:rsidR="00C82850">
        <w:rPr>
          <w:rFonts w:ascii="Calibri" w:hAnsi="Calibri" w:cs="Calibri"/>
        </w:rPr>
        <w:t xml:space="preserve"> </w:t>
      </w:r>
      <w:r w:rsidR="00D71272">
        <w:rPr>
          <w:rFonts w:ascii="Calibri" w:hAnsi="Calibri" w:cs="Calibri"/>
        </w:rPr>
        <w:t>were</w:t>
      </w:r>
      <w:r w:rsidR="00C82850">
        <w:rPr>
          <w:rFonts w:ascii="Calibri" w:hAnsi="Calibri" w:cs="Calibri"/>
        </w:rPr>
        <w:t xml:space="preserve"> completed in </w:t>
      </w:r>
      <w:r w:rsidR="00C82850" w:rsidRPr="00C82850">
        <w:rPr>
          <w:rFonts w:ascii="Calibri" w:hAnsi="Calibri" w:cs="Calibri"/>
        </w:rPr>
        <w:t>WGFM#97 - October 2020</w:t>
      </w:r>
      <w:r w:rsidR="00D71272">
        <w:rPr>
          <w:rFonts w:ascii="Calibri" w:hAnsi="Calibri" w:cs="Calibri"/>
        </w:rPr>
        <w:t xml:space="preserve"> and subsequently </w:t>
      </w:r>
      <w:r w:rsidR="008911F4">
        <w:rPr>
          <w:rFonts w:ascii="Calibri" w:hAnsi="Calibri" w:cs="Calibri"/>
        </w:rPr>
        <w:t xml:space="preserve">approved in the </w:t>
      </w:r>
      <w:r w:rsidR="008911F4" w:rsidRPr="008911F4">
        <w:rPr>
          <w:rFonts w:ascii="Calibri" w:hAnsi="Calibri" w:cs="Calibri"/>
        </w:rPr>
        <w:t>54th ECC Plenary</w:t>
      </w:r>
      <w:r w:rsidR="008911F4">
        <w:rPr>
          <w:rFonts w:ascii="Calibri" w:hAnsi="Calibri" w:cs="Calibri"/>
        </w:rPr>
        <w:t xml:space="preserve"> </w:t>
      </w:r>
      <w:r w:rsidR="00B12265">
        <w:rPr>
          <w:rFonts w:ascii="Calibri" w:hAnsi="Calibri" w:cs="Calibri"/>
        </w:rPr>
        <w:t xml:space="preserve">- </w:t>
      </w:r>
      <w:r w:rsidR="008911F4" w:rsidRPr="008911F4">
        <w:rPr>
          <w:rFonts w:ascii="Calibri" w:hAnsi="Calibri" w:cs="Calibri"/>
        </w:rPr>
        <w:t>November</w:t>
      </w:r>
      <w:r w:rsidR="008911F4">
        <w:rPr>
          <w:rFonts w:ascii="Calibri" w:hAnsi="Calibri" w:cs="Calibri"/>
        </w:rPr>
        <w:t xml:space="preserve"> 2021;</w:t>
      </w:r>
    </w:p>
    <w:p w14:paraId="4C3587DA" w14:textId="0A9D9999" w:rsidR="00C82850" w:rsidRPr="00E071E5" w:rsidRDefault="00B7351F" w:rsidP="00C61790">
      <w:pPr>
        <w:numPr>
          <w:ilvl w:val="0"/>
          <w:numId w:val="27"/>
        </w:numPr>
        <w:spacing w:after="0"/>
        <w:rPr>
          <w:rFonts w:ascii="Calibri" w:hAnsi="Calibri" w:cs="Calibri"/>
        </w:rPr>
      </w:pPr>
      <w:r w:rsidRPr="00B7351F">
        <w:rPr>
          <w:rFonts w:ascii="Calibri" w:hAnsi="Calibri" w:cs="Calibri"/>
        </w:rPr>
        <w:t>Commission Implementing Decision (EU) 2021/1730</w:t>
      </w:r>
      <w:r>
        <w:rPr>
          <w:rFonts w:ascii="Calibri" w:hAnsi="Calibri" w:cs="Calibri"/>
        </w:rPr>
        <w:t xml:space="preserve"> has been </w:t>
      </w:r>
      <w:r w:rsidR="001E49B5">
        <w:rPr>
          <w:rFonts w:ascii="Calibri" w:hAnsi="Calibri" w:cs="Calibri"/>
        </w:rPr>
        <w:t xml:space="preserve">subject to the written </w:t>
      </w:r>
      <w:r w:rsidR="00B35C4C">
        <w:rPr>
          <w:rFonts w:ascii="Calibri" w:hAnsi="Calibri" w:cs="Calibri"/>
        </w:rPr>
        <w:t>procedure in the RSC</w:t>
      </w:r>
      <w:r w:rsidR="00B12265" w:rsidRPr="00E071E5">
        <w:rPr>
          <w:rFonts w:ascii="Calibri" w:hAnsi="Calibri" w:cs="Calibri"/>
        </w:rPr>
        <w:t>#</w:t>
      </w:r>
      <w:r w:rsidR="00C61790">
        <w:rPr>
          <w:rFonts w:ascii="Calibri" w:hAnsi="Calibri" w:cs="Calibri"/>
        </w:rPr>
        <w:t>75</w:t>
      </w:r>
      <w:r w:rsidR="00B12265">
        <w:rPr>
          <w:rFonts w:ascii="Calibri" w:hAnsi="Calibri" w:cs="Calibri"/>
        </w:rPr>
        <w:t xml:space="preserve"> - July 2021</w:t>
      </w:r>
      <w:r w:rsidR="00C61790">
        <w:rPr>
          <w:rFonts w:ascii="Calibri" w:hAnsi="Calibri" w:cs="Calibri"/>
        </w:rPr>
        <w:t>.</w:t>
      </w:r>
    </w:p>
    <w:p w14:paraId="62634837" w14:textId="37628ABB" w:rsidR="00720D5C" w:rsidRDefault="006E0393" w:rsidP="00401578">
      <w:pPr>
        <w:rPr>
          <w:rFonts w:ascii="Calibri" w:hAnsi="Calibri" w:cs="Calibri"/>
          <w:b/>
          <w:bCs/>
          <w:i/>
          <w:iCs/>
        </w:rPr>
      </w:pPr>
      <w:r w:rsidRPr="000C789E">
        <w:rPr>
          <w:rFonts w:ascii="Calibri" w:hAnsi="Calibri" w:cs="Calibri"/>
          <w:b/>
          <w:bCs/>
        </w:rPr>
        <w:t xml:space="preserve">Observation </w:t>
      </w:r>
      <w:r w:rsidR="001A00B7">
        <w:rPr>
          <w:rFonts w:ascii="Calibri" w:hAnsi="Calibri" w:cs="Calibri"/>
          <w:b/>
          <w:bCs/>
        </w:rPr>
        <w:t>10</w:t>
      </w:r>
      <w:r w:rsidRPr="000C789E">
        <w:rPr>
          <w:rFonts w:ascii="Calibri" w:hAnsi="Calibri" w:cs="Calibri"/>
          <w:b/>
          <w:bCs/>
        </w:rPr>
        <w:t xml:space="preserve">: </w:t>
      </w:r>
      <w:r w:rsidR="009E0784">
        <w:rPr>
          <w:rFonts w:ascii="Calibri" w:hAnsi="Calibri" w:cs="Calibri"/>
          <w:b/>
          <w:bCs/>
        </w:rPr>
        <w:t xml:space="preserve">The </w:t>
      </w:r>
      <w:r w:rsidR="009E0784" w:rsidRPr="000C789E">
        <w:rPr>
          <w:rFonts w:ascii="Calibri" w:hAnsi="Calibri" w:cs="Calibri"/>
          <w:b/>
          <w:bCs/>
        </w:rPr>
        <w:t>Commission Implementing Decision (EU) 2021/1730</w:t>
      </w:r>
      <w:r w:rsidR="009E0784">
        <w:rPr>
          <w:rFonts w:ascii="Calibri" w:hAnsi="Calibri" w:cs="Calibri"/>
          <w:b/>
          <w:bCs/>
        </w:rPr>
        <w:t xml:space="preserve">, </w:t>
      </w:r>
      <w:r w:rsidR="009E0784" w:rsidRPr="000C789E">
        <w:rPr>
          <w:rFonts w:ascii="Calibri" w:hAnsi="Calibri" w:cs="Calibri"/>
          <w:b/>
          <w:bCs/>
        </w:rPr>
        <w:t>the ECC Decision(20)02</w:t>
      </w:r>
      <w:r w:rsidR="009E0784">
        <w:rPr>
          <w:rFonts w:ascii="Calibri" w:hAnsi="Calibri" w:cs="Calibri"/>
          <w:b/>
          <w:bCs/>
        </w:rPr>
        <w:t xml:space="preserve">, The ECC Report 318 and the CEPT report 76 </w:t>
      </w:r>
      <w:r w:rsidR="00E15DFD">
        <w:rPr>
          <w:rFonts w:ascii="Calibri" w:hAnsi="Calibri" w:cs="Calibri"/>
          <w:b/>
          <w:bCs/>
        </w:rPr>
        <w:t xml:space="preserve">all </w:t>
      </w:r>
      <w:r w:rsidR="009E0784">
        <w:rPr>
          <w:rFonts w:ascii="Calibri" w:hAnsi="Calibri" w:cs="Calibri"/>
          <w:b/>
          <w:bCs/>
        </w:rPr>
        <w:t>have be</w:t>
      </w:r>
      <w:r w:rsidR="007B50FE">
        <w:rPr>
          <w:rFonts w:ascii="Calibri" w:hAnsi="Calibri" w:cs="Calibri"/>
          <w:b/>
          <w:bCs/>
        </w:rPr>
        <w:t xml:space="preserve">en subject to their regular consultation </w:t>
      </w:r>
      <w:r w:rsidR="007B50FE" w:rsidRPr="0038600D">
        <w:rPr>
          <w:rFonts w:ascii="Calibri" w:hAnsi="Calibri" w:cs="Calibri"/>
          <w:b/>
          <w:bCs/>
        </w:rPr>
        <w:t>p</w:t>
      </w:r>
      <w:r w:rsidR="00811077" w:rsidRPr="0038600D">
        <w:rPr>
          <w:rFonts w:ascii="Calibri" w:hAnsi="Calibri" w:cs="Calibri"/>
          <w:b/>
          <w:bCs/>
        </w:rPr>
        <w:t>hases. These have not amended the</w:t>
      </w:r>
      <w:r w:rsidR="00052D96" w:rsidRPr="0038600D">
        <w:rPr>
          <w:rFonts w:ascii="Calibri" w:hAnsi="Calibri" w:cs="Calibri"/>
          <w:b/>
          <w:bCs/>
        </w:rPr>
        <w:t xml:space="preserve"> </w:t>
      </w:r>
      <w:r w:rsidR="00720D5C" w:rsidRPr="0038600D">
        <w:rPr>
          <w:rFonts w:ascii="Calibri" w:hAnsi="Calibri" w:cs="Calibri"/>
          <w:b/>
          <w:bCs/>
        </w:rPr>
        <w:t>assum</w:t>
      </w:r>
      <w:r w:rsidR="008F27B9" w:rsidRPr="0038600D">
        <w:rPr>
          <w:rFonts w:ascii="Calibri" w:hAnsi="Calibri" w:cs="Calibri"/>
          <w:b/>
          <w:bCs/>
        </w:rPr>
        <w:t>ption</w:t>
      </w:r>
      <w:r w:rsidR="00720D5C" w:rsidRPr="0038600D">
        <w:rPr>
          <w:rFonts w:ascii="Calibri" w:hAnsi="Calibri" w:cs="Calibri"/>
          <w:b/>
          <w:bCs/>
        </w:rPr>
        <w:t xml:space="preserve">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r w:rsidR="003615EC" w:rsidRPr="0038600D">
        <w:rPr>
          <w:rFonts w:ascii="Calibri" w:hAnsi="Calibri" w:cs="Calibri"/>
          <w:b/>
          <w:bCs/>
        </w:rPr>
        <w:t>.</w:t>
      </w:r>
    </w:p>
    <w:p w14:paraId="4087FBE1" w14:textId="12570BA6" w:rsidR="000B2BEE" w:rsidRPr="007B658D" w:rsidRDefault="000B2BEE" w:rsidP="007B658D">
      <w:pPr>
        <w:pStyle w:val="Heading2"/>
        <w:numPr>
          <w:ilvl w:val="0"/>
          <w:numId w:val="24"/>
        </w:numPr>
        <w:rPr>
          <w:rFonts w:asciiTheme="minorHAnsi" w:hAnsiTheme="minorHAnsi" w:cstheme="minorHAnsi"/>
        </w:rPr>
      </w:pPr>
      <w:r w:rsidRPr="007B658D">
        <w:rPr>
          <w:rFonts w:asciiTheme="minorHAnsi" w:hAnsiTheme="minorHAnsi" w:cstheme="minorHAnsi"/>
        </w:rPr>
        <w:t>Conclusion</w:t>
      </w:r>
    </w:p>
    <w:p w14:paraId="4D22E155" w14:textId="2E63E1B6" w:rsidR="00F25175" w:rsidRDefault="00503A5F" w:rsidP="00CE7A58">
      <w:pPr>
        <w:rPr>
          <w:rFonts w:ascii="Calibri" w:hAnsi="Calibri" w:cs="Calibri"/>
        </w:rPr>
      </w:pPr>
      <w:r>
        <w:rPr>
          <w:rFonts w:ascii="Calibri" w:hAnsi="Calibri" w:cs="Calibri"/>
        </w:rPr>
        <w:t xml:space="preserve">This contribution </w:t>
      </w:r>
      <w:r w:rsidR="0024429C">
        <w:rPr>
          <w:rFonts w:ascii="Calibri" w:hAnsi="Calibri" w:cs="Calibri"/>
        </w:rPr>
        <w:t xml:space="preserve">provides an analysis of the </w:t>
      </w:r>
      <w:r w:rsidR="00DA50D7">
        <w:rPr>
          <w:rFonts w:ascii="Calibri" w:hAnsi="Calibri" w:cs="Calibri"/>
        </w:rPr>
        <w:t>co</w:t>
      </w:r>
      <w:r w:rsidR="00F0676E">
        <w:rPr>
          <w:rFonts w:ascii="Calibri" w:hAnsi="Calibri" w:cs="Calibri"/>
        </w:rPr>
        <w:t>-</w:t>
      </w:r>
      <w:r w:rsidR="00DA50D7">
        <w:rPr>
          <w:rFonts w:ascii="Calibri" w:hAnsi="Calibri" w:cs="Calibri"/>
        </w:rPr>
        <w:t>existence</w:t>
      </w:r>
      <w:r w:rsidR="0024429C">
        <w:rPr>
          <w:rFonts w:ascii="Calibri" w:hAnsi="Calibri" w:cs="Calibri"/>
        </w:rPr>
        <w:t xml:space="preserve"> </w:t>
      </w:r>
      <w:r w:rsidR="004753BB">
        <w:rPr>
          <w:rFonts w:ascii="Calibri" w:hAnsi="Calibri" w:cs="Calibri"/>
        </w:rPr>
        <w:t>between FRMCS BS in band n101 and</w:t>
      </w:r>
      <w:r w:rsidR="00E01D73">
        <w:rPr>
          <w:rFonts w:ascii="Calibri" w:hAnsi="Calibri" w:cs="Calibri"/>
        </w:rPr>
        <w:t xml:space="preserve"> existing MFCN </w:t>
      </w:r>
      <w:r w:rsidR="00DA50D7">
        <w:rPr>
          <w:rFonts w:ascii="Calibri" w:hAnsi="Calibri" w:cs="Calibri"/>
        </w:rPr>
        <w:t>networks</w:t>
      </w:r>
      <w:r w:rsidR="003022AE">
        <w:rPr>
          <w:rFonts w:ascii="Calibri" w:hAnsi="Calibri" w:cs="Calibri"/>
        </w:rPr>
        <w:t>,</w:t>
      </w:r>
      <w:r w:rsidR="00E01D73">
        <w:rPr>
          <w:rFonts w:ascii="Calibri" w:hAnsi="Calibri" w:cs="Calibri"/>
        </w:rPr>
        <w:t xml:space="preserve"> </w:t>
      </w:r>
      <w:r w:rsidR="00DA50D7">
        <w:rPr>
          <w:rFonts w:ascii="Calibri" w:hAnsi="Calibri" w:cs="Calibri"/>
        </w:rPr>
        <w:t xml:space="preserve">and the </w:t>
      </w:r>
      <w:r w:rsidR="00D077A7">
        <w:rPr>
          <w:rFonts w:ascii="Calibri" w:hAnsi="Calibri" w:cs="Calibri"/>
        </w:rPr>
        <w:t>European</w:t>
      </w:r>
      <w:r w:rsidR="00DA50D7">
        <w:rPr>
          <w:rFonts w:ascii="Calibri" w:hAnsi="Calibri" w:cs="Calibri"/>
        </w:rPr>
        <w:t xml:space="preserve"> </w:t>
      </w:r>
      <w:r w:rsidR="00D077A7">
        <w:rPr>
          <w:rFonts w:ascii="Calibri" w:hAnsi="Calibri" w:cs="Calibri"/>
        </w:rPr>
        <w:t>regulation</w:t>
      </w:r>
      <w:r w:rsidR="0057078F">
        <w:rPr>
          <w:rFonts w:ascii="Calibri" w:hAnsi="Calibri" w:cs="Calibri"/>
        </w:rPr>
        <w:t xml:space="preserve"> for the</w:t>
      </w:r>
      <w:r w:rsidR="00793506">
        <w:rPr>
          <w:rFonts w:ascii="Calibri" w:hAnsi="Calibri" w:cs="Calibri"/>
        </w:rPr>
        <w:t xml:space="preserve"> 1900-1910MHz band</w:t>
      </w:r>
      <w:r w:rsidR="00D077A7">
        <w:rPr>
          <w:rFonts w:ascii="Calibri" w:hAnsi="Calibri" w:cs="Calibri"/>
        </w:rPr>
        <w:t>. It has drawn the following observations:</w:t>
      </w:r>
    </w:p>
    <w:p w14:paraId="16119DD1" w14:textId="77777777" w:rsidR="00045463" w:rsidRPr="00045463" w:rsidRDefault="00045463" w:rsidP="00045463">
      <w:pPr>
        <w:rPr>
          <w:rFonts w:ascii="Calibri" w:hAnsi="Calibri" w:cs="Calibri"/>
        </w:rPr>
      </w:pPr>
      <w:r w:rsidRPr="00045463">
        <w:rPr>
          <w:rFonts w:ascii="Calibri" w:hAnsi="Calibri" w:cs="Calibri"/>
          <w:b/>
          <w:bCs/>
        </w:rPr>
        <w:t xml:space="preserve">Observation 1: </w:t>
      </w:r>
      <w:r w:rsidRPr="0046027E">
        <w:rPr>
          <w:rFonts w:ascii="Calibri" w:hAnsi="Calibri" w:cs="Calibri"/>
          <w:b/>
          <w:bCs/>
        </w:rPr>
        <w:t>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sidRPr="008C181F">
        <w:rPr>
          <w:rFonts w:ascii="Calibri" w:hAnsi="Calibri" w:cs="Calibri"/>
        </w:rPr>
        <w:t>.</w:t>
      </w:r>
    </w:p>
    <w:p w14:paraId="3CE0070F" w14:textId="3BC01300" w:rsidR="00045463" w:rsidRPr="00711A22" w:rsidRDefault="00711A22" w:rsidP="00045463">
      <w:pPr>
        <w:rPr>
          <w:rFonts w:ascii="Calibri" w:hAnsi="Calibri" w:cs="Calibri"/>
          <w:b/>
          <w:bCs/>
        </w:rPr>
      </w:pPr>
      <w:r w:rsidRPr="0046027E">
        <w:rPr>
          <w:rFonts w:ascii="Calibri" w:hAnsi="Calibri" w:cs="Calibri"/>
          <w:b/>
          <w:bCs/>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797BA3C3" w14:textId="77777777" w:rsidR="00045463" w:rsidRPr="003D304D" w:rsidRDefault="00045463" w:rsidP="00045463">
      <w:pPr>
        <w:rPr>
          <w:rFonts w:ascii="Calibri" w:hAnsi="Calibri" w:cs="Calibri"/>
        </w:rPr>
      </w:pPr>
      <w:r w:rsidRPr="0046027E">
        <w:rPr>
          <w:rFonts w:ascii="Calibri" w:hAnsi="Calibri" w:cs="Calibri"/>
          <w:b/>
          <w:bCs/>
        </w:rPr>
        <w:t xml:space="preserve">Observation </w:t>
      </w:r>
      <w:r>
        <w:rPr>
          <w:rFonts w:ascii="Calibri" w:hAnsi="Calibri" w:cs="Calibri"/>
          <w:b/>
          <w:bCs/>
        </w:rPr>
        <w:t>3</w:t>
      </w:r>
      <w:r w:rsidRPr="0046027E">
        <w:rPr>
          <w:rFonts w:ascii="Calibri" w:hAnsi="Calibri" w:cs="Calibri"/>
          <w:b/>
          <w:bCs/>
        </w:rPr>
        <w:t xml:space="preserve">: </w:t>
      </w:r>
      <w:r>
        <w:rPr>
          <w:rFonts w:ascii="Calibri" w:hAnsi="Calibri" w:cs="Calibri"/>
          <w:b/>
          <w:bCs/>
        </w:rPr>
        <w:t xml:space="preserve">In </w:t>
      </w:r>
      <w:r w:rsidRPr="008E4CDA">
        <w:rPr>
          <w:rFonts w:ascii="Calibri" w:hAnsi="Calibri" w:cs="Calibri"/>
          <w:b/>
          <w:bCs/>
        </w:rPr>
        <w:t>the Commission Implementing Decision (EU) 2021/1730</w:t>
      </w:r>
      <w:r>
        <w:rPr>
          <w:rFonts w:ascii="Calibri" w:hAnsi="Calibri" w:cs="Calibri"/>
          <w:b/>
          <w:bCs/>
        </w:rPr>
        <w:t xml:space="preserve">, </w:t>
      </w:r>
      <w:r w:rsidRPr="008E4CDA">
        <w:rPr>
          <w:rFonts w:ascii="Calibri" w:hAnsi="Calibri" w:cs="Calibri"/>
          <w:b/>
          <w:bCs/>
        </w:rPr>
        <w:t xml:space="preserve">ECC Decision(20)02, CEPT Report 76 as well as ECC Report 318 </w:t>
      </w:r>
      <w:r w:rsidRPr="001B69DC">
        <w:rPr>
          <w:rFonts w:ascii="Calibri" w:hAnsi="Calibri" w:cs="Calibri"/>
          <w:b/>
          <w:bCs/>
        </w:rPr>
        <w:t xml:space="preserve">[7] it is clearly stated that the regulation has assumed </w:t>
      </w:r>
      <w:r w:rsidRPr="002D75F7">
        <w:rPr>
          <w:rFonts w:ascii="Calibri" w:hAnsi="Calibri" w:cs="Calibri"/>
          <w:b/>
          <w:bCs/>
        </w:rPr>
        <w:t xml:space="preserve">that the harmonised technical conditions for RMR (FRMCS) base stations operating in the 1900-1910MHz band assume that base stations providing electronic communications services, which use frequencies above 1920MHz for reception under </w:t>
      </w:r>
      <w:r w:rsidRPr="002D75F7">
        <w:rPr>
          <w:rFonts w:ascii="Calibri" w:hAnsi="Calibri" w:cs="Calibri"/>
          <w:b/>
          <w:bCs/>
        </w:rPr>
        <w:lastRenderedPageBreak/>
        <w:t>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17465D76" w14:textId="77777777" w:rsidR="00045463" w:rsidRDefault="00045463" w:rsidP="00045463">
      <w:pPr>
        <w:rPr>
          <w:rFonts w:ascii="Calibri" w:hAnsi="Calibri" w:cs="Calibri"/>
          <w:b/>
          <w:bCs/>
        </w:rPr>
      </w:pPr>
      <w:r w:rsidRPr="0046027E">
        <w:rPr>
          <w:rFonts w:ascii="Calibri" w:hAnsi="Calibri" w:cs="Calibri"/>
          <w:b/>
          <w:bCs/>
        </w:rPr>
        <w:t xml:space="preserve">Observation </w:t>
      </w:r>
      <w:r>
        <w:rPr>
          <w:rFonts w:ascii="Calibri" w:hAnsi="Calibri" w:cs="Calibri"/>
          <w:b/>
          <w:bCs/>
        </w:rPr>
        <w:t>4</w:t>
      </w:r>
      <w:r w:rsidRPr="0046027E">
        <w:rPr>
          <w:rFonts w:ascii="Calibri" w:hAnsi="Calibri" w:cs="Calibri"/>
          <w:b/>
          <w:bCs/>
        </w:rPr>
        <w:t>:</w:t>
      </w:r>
      <w:r>
        <w:rPr>
          <w:rFonts w:ascii="Calibri" w:hAnsi="Calibri" w:cs="Calibri"/>
          <w:b/>
          <w:bCs/>
        </w:rPr>
        <w:t xml:space="preserve"> The ECC in Report 318 has considered that a</w:t>
      </w:r>
      <w:r w:rsidRPr="004A77D8">
        <w:rPr>
          <w:rFonts w:ascii="Calibri" w:hAnsi="Calibri" w:cs="Calibri"/>
          <w:b/>
          <w:bCs/>
        </w:rPr>
        <w:t>dditional mitigation techniques need to be implemented on a case-by-case basis, such as adjustments of antenna directivity, azimuth, tilt, or improve the selectivity of the MFCN BS in the vicinity of the railway tracks</w:t>
      </w:r>
      <w:r>
        <w:rPr>
          <w:rFonts w:ascii="Calibri" w:hAnsi="Calibri" w:cs="Calibri"/>
          <w:b/>
          <w:bCs/>
        </w:rPr>
        <w:t>. Such site engineering solutions have been considered by RAN 4 for TDD and FDD coexistence scenarios as described in TR 25.942 [11] section 8.4.</w:t>
      </w:r>
    </w:p>
    <w:p w14:paraId="017C47D2" w14:textId="77777777" w:rsidR="00045463" w:rsidRPr="00045463" w:rsidRDefault="00045463" w:rsidP="00045463">
      <w:pPr>
        <w:rPr>
          <w:rFonts w:ascii="Calibri" w:hAnsi="Calibri" w:cs="Calibri"/>
          <w:b/>
          <w:bCs/>
        </w:rPr>
      </w:pPr>
      <w:r w:rsidRPr="00BB2F22">
        <w:rPr>
          <w:rFonts w:ascii="Calibri" w:hAnsi="Calibri" w:cs="Calibri"/>
          <w:b/>
          <w:bCs/>
        </w:rPr>
        <w:t>Observation 5: From CEPT report 76, ECC DEC(20</w:t>
      </w:r>
      <w:r>
        <w:rPr>
          <w:rFonts w:ascii="Calibri" w:hAnsi="Calibri" w:cs="Calibri"/>
          <w:b/>
          <w:bCs/>
        </w:rPr>
        <w:t>)</w:t>
      </w:r>
      <w:r w:rsidRPr="00BB2F22">
        <w:rPr>
          <w:rFonts w:ascii="Calibri" w:hAnsi="Calibri" w:cs="Calibri"/>
          <w:b/>
          <w:bCs/>
        </w:rPr>
        <w:t>02 and EC</w:t>
      </w:r>
      <w:r>
        <w:rPr>
          <w:rFonts w:ascii="Calibri" w:hAnsi="Calibri" w:cs="Calibri"/>
          <w:b/>
          <w:bCs/>
        </w:rPr>
        <w:t>C</w:t>
      </w:r>
      <w:r w:rsidRPr="00BB2F22">
        <w:rPr>
          <w:rFonts w:ascii="Calibri" w:hAnsi="Calibri" w:cs="Calibri"/>
          <w:b/>
          <w:bCs/>
        </w:rPr>
        <w:t xml:space="preserve"> Report 318 it is clear that Operators of mobile networks in 1920-1980 MHz should have, sufficiently far in advance, information on the rollout of a new RMR BS in 1900-1910 MHz.</w:t>
      </w:r>
      <w:r w:rsidRPr="00045463">
        <w:rPr>
          <w:rFonts w:ascii="Calibri" w:hAnsi="Calibri" w:cs="Calibri"/>
          <w:b/>
          <w:bCs/>
        </w:rPr>
        <w:t xml:space="preserve"> </w:t>
      </w:r>
    </w:p>
    <w:p w14:paraId="17DBEF80" w14:textId="77777777" w:rsidR="00045463" w:rsidRDefault="00045463" w:rsidP="00045463">
      <w:pPr>
        <w:rPr>
          <w:rFonts w:ascii="Calibri" w:hAnsi="Calibri" w:cs="Calibri"/>
          <w:b/>
          <w:bCs/>
        </w:rPr>
      </w:pPr>
      <w:r w:rsidRPr="00BB2F22">
        <w:rPr>
          <w:rFonts w:ascii="Calibri" w:hAnsi="Calibri" w:cs="Calibri"/>
          <w:b/>
          <w:bCs/>
        </w:rPr>
        <w:t xml:space="preserve">Observation </w:t>
      </w:r>
      <w:r>
        <w:rPr>
          <w:rFonts w:ascii="Calibri" w:hAnsi="Calibri" w:cs="Calibri"/>
          <w:b/>
          <w:bCs/>
        </w:rPr>
        <w:t>6</w:t>
      </w:r>
      <w:r w:rsidRPr="00BB2F22">
        <w:rPr>
          <w:rFonts w:ascii="Calibri" w:hAnsi="Calibri" w:cs="Calibri"/>
          <w:b/>
          <w:bCs/>
        </w:rPr>
        <w:t xml:space="preserve">: </w:t>
      </w:r>
      <w:r>
        <w:rPr>
          <w:rFonts w:ascii="Calibri" w:hAnsi="Calibri" w:cs="Calibri"/>
          <w:b/>
          <w:bCs/>
        </w:rPr>
        <w:t>In response to the EC/CEPT regulation for the 1900-1910MHz band ETSI has specified e</w:t>
      </w:r>
      <w:r w:rsidRPr="00042B13">
        <w:rPr>
          <w:rFonts w:ascii="Calibri" w:hAnsi="Calibri" w:cs="Calibri"/>
          <w:b/>
          <w:bCs/>
        </w:rPr>
        <w:t xml:space="preserve">nhanced </w:t>
      </w:r>
      <w:r>
        <w:rPr>
          <w:rFonts w:ascii="Calibri" w:hAnsi="Calibri" w:cs="Calibri"/>
          <w:b/>
          <w:bCs/>
        </w:rPr>
        <w:t>s</w:t>
      </w:r>
      <w:r w:rsidRPr="00042B13">
        <w:rPr>
          <w:rFonts w:ascii="Calibri" w:hAnsi="Calibri" w:cs="Calibri"/>
          <w:b/>
          <w:bCs/>
        </w:rPr>
        <w:t xml:space="preserve">electivity </w:t>
      </w:r>
      <w:r>
        <w:rPr>
          <w:rFonts w:ascii="Calibri" w:hAnsi="Calibri" w:cs="Calibri"/>
          <w:b/>
          <w:bCs/>
        </w:rPr>
        <w:t xml:space="preserve">requirements </w:t>
      </w:r>
      <w:r w:rsidRPr="00042B13">
        <w:rPr>
          <w:rFonts w:ascii="Calibri" w:hAnsi="Calibri" w:cs="Calibri"/>
          <w:b/>
          <w:bCs/>
        </w:rPr>
        <w:t>for protection of Band 1 BSs</w:t>
      </w:r>
      <w:r>
        <w:rPr>
          <w:rFonts w:ascii="Calibri" w:hAnsi="Calibri" w:cs="Calibri"/>
          <w:b/>
          <w:bCs/>
        </w:rPr>
        <w:t>.</w:t>
      </w:r>
    </w:p>
    <w:p w14:paraId="7C2219AF" w14:textId="582284EA" w:rsidR="00450550" w:rsidRPr="00E33567" w:rsidRDefault="00880956" w:rsidP="00450550">
      <w:pPr>
        <w:rPr>
          <w:rFonts w:ascii="Calibri" w:hAnsi="Calibri" w:cs="Calibri"/>
        </w:rPr>
      </w:pPr>
      <w:r w:rsidRPr="000C789E">
        <w:rPr>
          <w:rFonts w:ascii="Calibri" w:hAnsi="Calibri" w:cs="Calibri"/>
          <w:b/>
          <w:bCs/>
        </w:rPr>
        <w:t xml:space="preserve">Observation </w:t>
      </w:r>
      <w:r>
        <w:rPr>
          <w:rFonts w:ascii="Calibri" w:hAnsi="Calibri" w:cs="Calibri"/>
          <w:b/>
          <w:bCs/>
        </w:rPr>
        <w:t>7</w:t>
      </w:r>
      <w:r w:rsidRPr="000C789E">
        <w:rPr>
          <w:rFonts w:ascii="Calibri" w:hAnsi="Calibri" w:cs="Calibri"/>
          <w:b/>
          <w:bCs/>
        </w:rPr>
        <w:t>:</w:t>
      </w:r>
      <w:r>
        <w:rPr>
          <w:rFonts w:ascii="Calibri" w:hAnsi="Calibri" w:cs="Calibri"/>
          <w:b/>
          <w:bCs/>
        </w:rPr>
        <w:t xml:space="preserve"> The number of MFCN sectors that may be interfered by n101 BS will be less than around 7% of the MFCN sectors that are near railways due to the </w:t>
      </w:r>
      <w:r w:rsidRPr="003100C3">
        <w:rPr>
          <w:rFonts w:ascii="Calibri" w:hAnsi="Calibri" w:cs="Calibri"/>
          <w:b/>
          <w:bCs/>
        </w:rPr>
        <w:t xml:space="preserve">coupling loss expected to be higher than calculated, e.g. due to </w:t>
      </w:r>
      <w:r>
        <w:rPr>
          <w:rFonts w:ascii="Calibri" w:hAnsi="Calibri" w:cs="Calibri"/>
          <w:b/>
          <w:bCs/>
        </w:rPr>
        <w:t xml:space="preserve">the effects of terrain, clutter, </w:t>
      </w:r>
      <w:r w:rsidRPr="003100C3">
        <w:rPr>
          <w:rFonts w:ascii="Calibri" w:hAnsi="Calibri" w:cs="Calibri"/>
          <w:b/>
          <w:bCs/>
        </w:rPr>
        <w:t>ground occupancy In urban areas</w:t>
      </w:r>
      <w:r>
        <w:rPr>
          <w:rFonts w:ascii="Calibri" w:hAnsi="Calibri" w:cs="Calibri"/>
          <w:b/>
          <w:bCs/>
        </w:rPr>
        <w:t>, the temporal nature due to train speed and the uplink orientation of the FRMCS TDD frame</w:t>
      </w:r>
      <w:r w:rsidRPr="00450550">
        <w:rPr>
          <w:rFonts w:ascii="Calibri" w:hAnsi="Calibri" w:cs="Calibri"/>
          <w:b/>
          <w:bCs/>
        </w:rPr>
        <w:t>. As the number of urban MFCN BS is over-represented in the above percentage the actual number of interfered MFCN BS will be lower</w:t>
      </w:r>
      <w:r w:rsidR="00450550" w:rsidRPr="00450550">
        <w:rPr>
          <w:rFonts w:ascii="Calibri" w:hAnsi="Calibri" w:cs="Calibri"/>
          <w:b/>
          <w:bCs/>
        </w:rPr>
        <w:t>.</w:t>
      </w:r>
    </w:p>
    <w:p w14:paraId="1E45ECE0" w14:textId="77777777" w:rsidR="00045463" w:rsidRPr="00045463" w:rsidRDefault="00045463" w:rsidP="00045463">
      <w:pPr>
        <w:rPr>
          <w:rFonts w:ascii="Calibri" w:hAnsi="Calibri" w:cs="Calibri"/>
          <w:b/>
          <w:bCs/>
        </w:rPr>
      </w:pPr>
      <w:r w:rsidRPr="000C789E">
        <w:rPr>
          <w:rFonts w:ascii="Calibri" w:hAnsi="Calibri" w:cs="Calibri"/>
          <w:b/>
          <w:bCs/>
        </w:rPr>
        <w:t xml:space="preserve">Observation </w:t>
      </w:r>
      <w:r>
        <w:rPr>
          <w:rFonts w:ascii="Calibri" w:hAnsi="Calibri" w:cs="Calibri"/>
          <w:b/>
          <w:bCs/>
        </w:rPr>
        <w:t>8</w:t>
      </w:r>
      <w:r w:rsidRPr="000C789E">
        <w:rPr>
          <w:rFonts w:ascii="Calibri" w:hAnsi="Calibri" w:cs="Calibri"/>
          <w:b/>
          <w:bCs/>
        </w:rPr>
        <w:t xml:space="preserve">: From ECC Report 318 it is clear that ECC has performed Monte Carlo studies that show that the interference from FRMCS cab-radio of 31 dBm output power to MFCN uplink is acceptable when uplink power-control is implemented and activated. </w:t>
      </w:r>
    </w:p>
    <w:p w14:paraId="7B9D05F1" w14:textId="77777777" w:rsidR="00045463" w:rsidRPr="00773559" w:rsidRDefault="00045463" w:rsidP="00045463">
      <w:pPr>
        <w:rPr>
          <w:rFonts w:ascii="Calibri" w:hAnsi="Calibri" w:cs="Calibri"/>
          <w:b/>
          <w:bCs/>
        </w:rPr>
      </w:pPr>
      <w:r w:rsidRPr="000C789E">
        <w:rPr>
          <w:rFonts w:ascii="Calibri" w:hAnsi="Calibri" w:cs="Calibri"/>
          <w:b/>
          <w:bCs/>
        </w:rPr>
        <w:t xml:space="preserve">Observation </w:t>
      </w:r>
      <w:r>
        <w:rPr>
          <w:rFonts w:ascii="Calibri" w:hAnsi="Calibri" w:cs="Calibri"/>
          <w:b/>
          <w:bCs/>
        </w:rPr>
        <w:t>9</w:t>
      </w:r>
      <w:r w:rsidRPr="000C789E">
        <w:rPr>
          <w:rFonts w:ascii="Calibri" w:hAnsi="Calibri" w:cs="Calibri"/>
          <w:b/>
          <w:bCs/>
        </w:rPr>
        <w:t>: from both the Commission Implementing Decision (EU) 2021/1730 and the ECC Decision(20)02 it is clear that Uplink power control is mandatory and shall be activated</w:t>
      </w:r>
      <w:r>
        <w:rPr>
          <w:rFonts w:ascii="Calibri" w:hAnsi="Calibri" w:cs="Calibri"/>
          <w:b/>
          <w:bCs/>
        </w:rPr>
        <w:t>.</w:t>
      </w:r>
    </w:p>
    <w:p w14:paraId="58D707CD" w14:textId="7EDFA3E6" w:rsidR="008E5FDF" w:rsidRPr="00D67FC9" w:rsidRDefault="00045463" w:rsidP="00CE7A58">
      <w:pPr>
        <w:rPr>
          <w:rFonts w:ascii="Calibri" w:hAnsi="Calibri" w:cs="Calibri"/>
          <w:b/>
          <w:bCs/>
          <w:i/>
          <w:iCs/>
        </w:rPr>
      </w:pPr>
      <w:r w:rsidRPr="000C789E">
        <w:rPr>
          <w:rFonts w:ascii="Calibri" w:hAnsi="Calibri" w:cs="Calibri"/>
          <w:b/>
          <w:bCs/>
        </w:rPr>
        <w:t xml:space="preserve">Observation </w:t>
      </w:r>
      <w:r>
        <w:rPr>
          <w:rFonts w:ascii="Calibri" w:hAnsi="Calibri" w:cs="Calibri"/>
          <w:b/>
          <w:bCs/>
        </w:rPr>
        <w:t>10</w:t>
      </w:r>
      <w:r w:rsidRPr="000C789E">
        <w:rPr>
          <w:rFonts w:ascii="Calibri" w:hAnsi="Calibri" w:cs="Calibri"/>
          <w:b/>
          <w:bCs/>
        </w:rPr>
        <w:t xml:space="preserve">: </w:t>
      </w:r>
      <w:r>
        <w:rPr>
          <w:rFonts w:ascii="Calibri" w:hAnsi="Calibri" w:cs="Calibri"/>
          <w:b/>
          <w:bCs/>
        </w:rPr>
        <w:t xml:space="preserve">The </w:t>
      </w:r>
      <w:r w:rsidRPr="000C789E">
        <w:rPr>
          <w:rFonts w:ascii="Calibri" w:hAnsi="Calibri" w:cs="Calibri"/>
          <w:b/>
          <w:bCs/>
        </w:rPr>
        <w:t>Commission Implementing Decision (EU) 2021/1730</w:t>
      </w:r>
      <w:r>
        <w:rPr>
          <w:rFonts w:ascii="Calibri" w:hAnsi="Calibri" w:cs="Calibri"/>
          <w:b/>
          <w:bCs/>
        </w:rPr>
        <w:t xml:space="preserve">, </w:t>
      </w:r>
      <w:r w:rsidRPr="000C789E">
        <w:rPr>
          <w:rFonts w:ascii="Calibri" w:hAnsi="Calibri" w:cs="Calibri"/>
          <w:b/>
          <w:bCs/>
        </w:rPr>
        <w:t>the ECC Decision(20)02</w:t>
      </w:r>
      <w:r>
        <w:rPr>
          <w:rFonts w:ascii="Calibri" w:hAnsi="Calibri" w:cs="Calibri"/>
          <w:b/>
          <w:bCs/>
        </w:rPr>
        <w:t xml:space="preserve">, The ECC Report 318 and the CEPT report 76 </w:t>
      </w:r>
      <w:r w:rsidR="00F73818">
        <w:rPr>
          <w:rFonts w:ascii="Calibri" w:hAnsi="Calibri" w:cs="Calibri"/>
          <w:b/>
          <w:bCs/>
        </w:rPr>
        <w:t xml:space="preserve">all </w:t>
      </w:r>
      <w:r>
        <w:rPr>
          <w:rFonts w:ascii="Calibri" w:hAnsi="Calibri" w:cs="Calibri"/>
          <w:b/>
          <w:bCs/>
        </w:rPr>
        <w:t xml:space="preserve">have been subject to their regular consultation </w:t>
      </w:r>
      <w:r w:rsidRPr="0038600D">
        <w:rPr>
          <w:rFonts w:ascii="Calibri" w:hAnsi="Calibri" w:cs="Calibri"/>
          <w:b/>
          <w:bCs/>
        </w:rPr>
        <w:t>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3763D7BC" w14:textId="724A2BE8" w:rsidR="00F521E5" w:rsidRDefault="00651581" w:rsidP="00CE7A58">
      <w:pPr>
        <w:rPr>
          <w:rFonts w:ascii="Calibri" w:hAnsi="Calibri" w:cs="Calibri"/>
        </w:rPr>
      </w:pPr>
      <w:r>
        <w:rPr>
          <w:rFonts w:ascii="Calibri" w:hAnsi="Calibri" w:cs="Calibri"/>
        </w:rPr>
        <w:t>From the above observations</w:t>
      </w:r>
      <w:r w:rsidR="00F521E5">
        <w:rPr>
          <w:rFonts w:ascii="Calibri" w:hAnsi="Calibri" w:cs="Calibri"/>
        </w:rPr>
        <w:t xml:space="preserve"> the following conclusions are drawn:</w:t>
      </w:r>
    </w:p>
    <w:p w14:paraId="62DA796C" w14:textId="12BF1516" w:rsidR="002D09B9" w:rsidRPr="002D09B9" w:rsidRDefault="002D09B9" w:rsidP="002D09B9">
      <w:pPr>
        <w:numPr>
          <w:ilvl w:val="0"/>
          <w:numId w:val="28"/>
        </w:numPr>
        <w:spacing w:after="0"/>
        <w:rPr>
          <w:rFonts w:ascii="Calibri" w:hAnsi="Calibri" w:cs="Calibri"/>
        </w:rPr>
      </w:pPr>
      <w:r w:rsidRPr="002D09B9">
        <w:rPr>
          <w:rFonts w:ascii="Calibri" w:hAnsi="Calibri" w:cs="Calibri"/>
        </w:rPr>
        <w:t xml:space="preserve">That </w:t>
      </w:r>
      <w:r>
        <w:rPr>
          <w:rFonts w:ascii="Calibri" w:hAnsi="Calibri" w:cs="Calibri"/>
        </w:rPr>
        <w:t xml:space="preserve">the </w:t>
      </w:r>
      <w:r w:rsidR="001901C0">
        <w:rPr>
          <w:rFonts w:ascii="Calibri" w:hAnsi="Calibri" w:cs="Calibri"/>
        </w:rPr>
        <w:t xml:space="preserve">harmonised </w:t>
      </w:r>
      <w:r>
        <w:rPr>
          <w:rFonts w:ascii="Calibri" w:hAnsi="Calibri" w:cs="Calibri"/>
        </w:rPr>
        <w:t>technical</w:t>
      </w:r>
      <w:r w:rsidRPr="00DF66AE">
        <w:rPr>
          <w:rFonts w:ascii="Calibri" w:hAnsi="Calibri" w:cs="Calibri"/>
        </w:rPr>
        <w:t xml:space="preserve"> conditions</w:t>
      </w:r>
      <w:r w:rsidRPr="002D09B9">
        <w:rPr>
          <w:rFonts w:ascii="Calibri" w:hAnsi="Calibri" w:cs="Calibri"/>
        </w:rPr>
        <w:t xml:space="preserve"> </w:t>
      </w:r>
      <w:r w:rsidR="006358E1">
        <w:rPr>
          <w:rFonts w:ascii="Calibri" w:hAnsi="Calibri" w:cs="Calibri"/>
        </w:rPr>
        <w:t>of</w:t>
      </w:r>
      <w:r w:rsidRPr="002D09B9">
        <w:rPr>
          <w:rFonts w:ascii="Calibri" w:hAnsi="Calibri" w:cs="Calibri"/>
        </w:rPr>
        <w:t xml:space="preserve"> the European regulation</w:t>
      </w:r>
      <w:r w:rsidR="00C02404">
        <w:rPr>
          <w:rFonts w:ascii="Calibri" w:hAnsi="Calibri" w:cs="Calibri"/>
        </w:rPr>
        <w:t xml:space="preserve"> for the 1900-1910MHz band</w:t>
      </w:r>
      <w:r w:rsidRPr="002D09B9">
        <w:rPr>
          <w:rFonts w:ascii="Calibri" w:hAnsi="Calibri" w:cs="Calibri"/>
        </w:rPr>
        <w:t xml:space="preserve"> have been transferred to the 3GPP specifications;</w:t>
      </w:r>
    </w:p>
    <w:p w14:paraId="72710304" w14:textId="4919A1AF" w:rsidR="002D09B9" w:rsidRPr="002D09B9" w:rsidRDefault="002D09B9" w:rsidP="002D09B9">
      <w:pPr>
        <w:numPr>
          <w:ilvl w:val="0"/>
          <w:numId w:val="28"/>
        </w:numPr>
        <w:spacing w:after="0"/>
        <w:rPr>
          <w:rFonts w:ascii="Calibri" w:hAnsi="Calibri" w:cs="Calibri"/>
        </w:rPr>
      </w:pPr>
      <w:r w:rsidRPr="002D09B9">
        <w:rPr>
          <w:rFonts w:ascii="Calibri" w:hAnsi="Calibri" w:cs="Calibri"/>
        </w:rPr>
        <w:lastRenderedPageBreak/>
        <w:t xml:space="preserve">That </w:t>
      </w:r>
      <w:r w:rsidR="006358E1">
        <w:rPr>
          <w:rFonts w:ascii="Calibri" w:hAnsi="Calibri" w:cs="Calibri"/>
        </w:rPr>
        <w:t>b</w:t>
      </w:r>
      <w:r w:rsidRPr="007A44C8">
        <w:rPr>
          <w:rFonts w:ascii="Calibri" w:hAnsi="Calibri" w:cs="Calibri"/>
        </w:rPr>
        <w:t>ase stations providing electronic communications services, which are located in the vicinity of a RMR base station and do not meet the enhanced selectivity criterion, should, where necessary, be adapted, in order to mitigate harmful interference</w:t>
      </w:r>
      <w:r>
        <w:rPr>
          <w:rFonts w:ascii="Calibri" w:hAnsi="Calibri" w:cs="Calibri"/>
        </w:rPr>
        <w:t>;</w:t>
      </w:r>
    </w:p>
    <w:p w14:paraId="748DA809" w14:textId="77777777" w:rsidR="002D09B9" w:rsidRPr="002D09B9" w:rsidRDefault="002D09B9" w:rsidP="002D09B9">
      <w:pPr>
        <w:numPr>
          <w:ilvl w:val="0"/>
          <w:numId w:val="28"/>
        </w:numPr>
        <w:spacing w:after="0"/>
        <w:rPr>
          <w:rFonts w:ascii="Calibri" w:hAnsi="Calibri" w:cs="Calibri"/>
        </w:rPr>
      </w:pPr>
      <w:r w:rsidRPr="002D09B9">
        <w:rPr>
          <w:rFonts w:ascii="Calibri" w:hAnsi="Calibri" w:cs="Calibri"/>
        </w:rPr>
        <w:t xml:space="preserve">That </w:t>
      </w:r>
      <w:r w:rsidRPr="00AA4045">
        <w:rPr>
          <w:rFonts w:ascii="Calibri" w:hAnsi="Calibri" w:cs="Calibri"/>
        </w:rPr>
        <w:t>additional mitigation techniques need to be implemented on a case-by-case basi</w:t>
      </w:r>
      <w:r>
        <w:rPr>
          <w:rFonts w:ascii="Calibri" w:hAnsi="Calibri" w:cs="Calibri"/>
        </w:rPr>
        <w:t xml:space="preserve">s, and such </w:t>
      </w:r>
      <w:r w:rsidRPr="007E31E8">
        <w:rPr>
          <w:rFonts w:ascii="Calibri" w:hAnsi="Calibri" w:cs="Calibri"/>
        </w:rPr>
        <w:t>site engineering solutions have been considered by RAN 4</w:t>
      </w:r>
      <w:r>
        <w:rPr>
          <w:rFonts w:ascii="Calibri" w:hAnsi="Calibri" w:cs="Calibri"/>
        </w:rPr>
        <w:t>;</w:t>
      </w:r>
    </w:p>
    <w:p w14:paraId="79745D93" w14:textId="78BE9C13" w:rsidR="002D09B9" w:rsidRPr="002D09B9" w:rsidRDefault="002D09B9" w:rsidP="002D09B9">
      <w:pPr>
        <w:numPr>
          <w:ilvl w:val="0"/>
          <w:numId w:val="28"/>
        </w:numPr>
        <w:spacing w:after="0"/>
        <w:rPr>
          <w:rFonts w:ascii="Calibri" w:hAnsi="Calibri" w:cs="Calibri"/>
        </w:rPr>
      </w:pPr>
      <w:r>
        <w:rPr>
          <w:rFonts w:ascii="Calibri" w:hAnsi="Calibri" w:cs="Calibri"/>
        </w:rPr>
        <w:t>T</w:t>
      </w:r>
      <w:r w:rsidRPr="00AA4045">
        <w:rPr>
          <w:rFonts w:ascii="Calibri" w:hAnsi="Calibri" w:cs="Calibri"/>
        </w:rPr>
        <w:t xml:space="preserve">hat </w:t>
      </w:r>
      <w:r w:rsidR="00C72D96">
        <w:rPr>
          <w:rFonts w:ascii="Calibri" w:hAnsi="Calibri" w:cs="Calibri"/>
        </w:rPr>
        <w:t>o</w:t>
      </w:r>
      <w:r w:rsidRPr="00AA4045">
        <w:rPr>
          <w:rFonts w:ascii="Calibri" w:hAnsi="Calibri" w:cs="Calibri"/>
        </w:rPr>
        <w:t>perators of mobile networks in 1920-1980 MHz should have, sufficiently far in advance, information on the rollout of a new RMR BS in 1900-1910 MHz</w:t>
      </w:r>
      <w:r>
        <w:rPr>
          <w:rFonts w:ascii="Calibri" w:hAnsi="Calibri" w:cs="Calibri"/>
        </w:rPr>
        <w:t>;</w:t>
      </w:r>
    </w:p>
    <w:p w14:paraId="0036B76F" w14:textId="77777777" w:rsidR="002D09B9" w:rsidRPr="002D09B9" w:rsidRDefault="002D09B9" w:rsidP="002D09B9">
      <w:pPr>
        <w:numPr>
          <w:ilvl w:val="0"/>
          <w:numId w:val="28"/>
        </w:numPr>
        <w:spacing w:after="0"/>
        <w:rPr>
          <w:rFonts w:ascii="Calibri" w:hAnsi="Calibri" w:cs="Calibri"/>
        </w:rPr>
      </w:pPr>
      <w:r w:rsidRPr="00751557">
        <w:rPr>
          <w:rFonts w:ascii="Calibri" w:hAnsi="Calibri" w:cs="Calibri"/>
        </w:rPr>
        <w:t>that the interference from FRMCS cab-radio of 31 dBm output power to MFCN uplink is acceptable when uplink power-control is implemented and activated;</w:t>
      </w:r>
    </w:p>
    <w:p w14:paraId="4E27C782" w14:textId="035AE62C" w:rsidR="002D09B9" w:rsidRPr="002D09B9" w:rsidRDefault="002D09B9" w:rsidP="002D09B9">
      <w:pPr>
        <w:numPr>
          <w:ilvl w:val="0"/>
          <w:numId w:val="28"/>
        </w:numPr>
        <w:spacing w:after="0"/>
        <w:rPr>
          <w:rFonts w:ascii="Calibri" w:hAnsi="Calibri" w:cs="Calibri"/>
        </w:rPr>
      </w:pPr>
      <w:r w:rsidRPr="002D09B9">
        <w:rPr>
          <w:rFonts w:ascii="Calibri" w:hAnsi="Calibri" w:cs="Calibri"/>
        </w:rPr>
        <w:t xml:space="preserve">that the </w:t>
      </w:r>
      <w:r w:rsidR="00E10A77">
        <w:rPr>
          <w:rFonts w:ascii="Calibri" w:hAnsi="Calibri" w:cs="Calibri"/>
        </w:rPr>
        <w:t xml:space="preserve">real </w:t>
      </w:r>
      <w:r w:rsidRPr="002D09B9">
        <w:rPr>
          <w:rFonts w:ascii="Calibri" w:hAnsi="Calibri" w:cs="Calibri"/>
        </w:rPr>
        <w:t xml:space="preserve">number of potentially interfered MFCN BS near railways is expected to be less than </w:t>
      </w:r>
      <w:r w:rsidR="004C15E1">
        <w:rPr>
          <w:rFonts w:ascii="Calibri" w:hAnsi="Calibri" w:cs="Calibri"/>
        </w:rPr>
        <w:t>around</w:t>
      </w:r>
      <w:r w:rsidRPr="002D09B9">
        <w:rPr>
          <w:rFonts w:ascii="Calibri" w:hAnsi="Calibri" w:cs="Calibri"/>
        </w:rPr>
        <w:t xml:space="preserve"> 7%</w:t>
      </w:r>
      <w:r w:rsidR="00F342B4">
        <w:rPr>
          <w:rFonts w:ascii="Calibri" w:hAnsi="Calibri" w:cs="Calibri"/>
        </w:rPr>
        <w:t xml:space="preserve"> </w:t>
      </w:r>
      <w:r w:rsidRPr="002D09B9">
        <w:rPr>
          <w:rFonts w:ascii="Calibri" w:hAnsi="Calibri" w:cs="Calibri"/>
        </w:rPr>
        <w:t>;</w:t>
      </w:r>
    </w:p>
    <w:p w14:paraId="23D33E5B" w14:textId="3A623A28" w:rsidR="00D80A71" w:rsidRPr="00443470" w:rsidRDefault="002D09B9" w:rsidP="00CE7A58">
      <w:pPr>
        <w:numPr>
          <w:ilvl w:val="0"/>
          <w:numId w:val="28"/>
        </w:numPr>
        <w:spacing w:after="0"/>
        <w:rPr>
          <w:rFonts w:ascii="Calibri" w:hAnsi="Calibri" w:cs="Calibri"/>
        </w:rPr>
      </w:pPr>
      <w:r w:rsidRPr="002D09B9">
        <w:rPr>
          <w:rFonts w:ascii="Calibri" w:hAnsi="Calibri" w:cs="Calibri"/>
        </w:rPr>
        <w:t xml:space="preserve">that the regulation for FRMCS in </w:t>
      </w:r>
      <w:r w:rsidRPr="00751557">
        <w:rPr>
          <w:rFonts w:ascii="Calibri" w:hAnsi="Calibri" w:cs="Calibri"/>
        </w:rPr>
        <w:t xml:space="preserve">1900-1910 MHz has gone </w:t>
      </w:r>
      <w:r w:rsidR="008F51BE">
        <w:rPr>
          <w:rFonts w:ascii="Calibri" w:hAnsi="Calibri" w:cs="Calibri"/>
        </w:rPr>
        <w:t>through</w:t>
      </w:r>
      <w:r w:rsidRPr="00751557">
        <w:rPr>
          <w:rFonts w:ascii="Calibri" w:hAnsi="Calibri" w:cs="Calibri"/>
        </w:rPr>
        <w:t xml:space="preserve"> its usual consultation steps and this has confirmed conclusion</w:t>
      </w:r>
      <w:r w:rsidR="008225E5">
        <w:rPr>
          <w:rFonts w:ascii="Calibri" w:hAnsi="Calibri" w:cs="Calibri"/>
        </w:rPr>
        <w:t>s</w:t>
      </w:r>
      <w:r w:rsidRPr="00751557">
        <w:rPr>
          <w:rFonts w:ascii="Calibri" w:hAnsi="Calibri" w:cs="Calibri"/>
        </w:rPr>
        <w:t xml:space="preserve"> 2</w:t>
      </w:r>
      <w:r w:rsidR="008225E5">
        <w:rPr>
          <w:rFonts w:ascii="Calibri" w:hAnsi="Calibri" w:cs="Calibri"/>
        </w:rPr>
        <w:t xml:space="preserve"> and 5</w:t>
      </w:r>
      <w:r w:rsidRPr="00751557">
        <w:rPr>
          <w:rFonts w:ascii="Calibri" w:hAnsi="Calibri" w:cs="Calibri"/>
        </w:rPr>
        <w:t>.</w:t>
      </w:r>
    </w:p>
    <w:p w14:paraId="7E62C39C" w14:textId="655DD9CF" w:rsidR="0095514F" w:rsidRDefault="000342D5" w:rsidP="00CE7A58">
      <w:pPr>
        <w:rPr>
          <w:rFonts w:ascii="Calibri" w:hAnsi="Calibri" w:cs="Calibri"/>
        </w:rPr>
      </w:pPr>
      <w:r>
        <w:rPr>
          <w:rFonts w:ascii="Calibri" w:hAnsi="Calibri" w:cs="Calibri"/>
        </w:rPr>
        <w:t>Based on the above</w:t>
      </w:r>
      <w:r w:rsidR="00D243EB">
        <w:rPr>
          <w:rFonts w:ascii="Calibri" w:hAnsi="Calibri" w:cs="Calibri"/>
        </w:rPr>
        <w:t>,</w:t>
      </w:r>
      <w:r>
        <w:rPr>
          <w:rFonts w:ascii="Calibri" w:hAnsi="Calibri" w:cs="Calibri"/>
        </w:rPr>
        <w:t xml:space="preserve"> </w:t>
      </w:r>
      <w:r w:rsidR="0095514F">
        <w:rPr>
          <w:rFonts w:ascii="Calibri" w:hAnsi="Calibri" w:cs="Calibri"/>
        </w:rPr>
        <w:t>the</w:t>
      </w:r>
      <w:r>
        <w:rPr>
          <w:rFonts w:ascii="Calibri" w:hAnsi="Calibri" w:cs="Calibri"/>
        </w:rPr>
        <w:t xml:space="preserve"> UIC </w:t>
      </w:r>
      <w:r w:rsidR="0095514F">
        <w:rPr>
          <w:rFonts w:ascii="Calibri" w:hAnsi="Calibri" w:cs="Calibri"/>
        </w:rPr>
        <w:t>is of the opinion that</w:t>
      </w:r>
      <w:r w:rsidR="00740B30">
        <w:rPr>
          <w:rFonts w:ascii="Calibri" w:hAnsi="Calibri" w:cs="Calibri"/>
        </w:rPr>
        <w:t xml:space="preserve"> </w:t>
      </w:r>
      <w:r w:rsidR="00197242">
        <w:rPr>
          <w:rFonts w:ascii="Calibri" w:hAnsi="Calibri" w:cs="Calibri"/>
        </w:rPr>
        <w:t xml:space="preserve">no change </w:t>
      </w:r>
      <w:r w:rsidR="005C4AD2">
        <w:rPr>
          <w:rFonts w:ascii="Calibri" w:hAnsi="Calibri" w:cs="Calibri"/>
        </w:rPr>
        <w:t xml:space="preserve">to the current 3GPP </w:t>
      </w:r>
      <w:r w:rsidR="00EB470D">
        <w:rPr>
          <w:rFonts w:ascii="Calibri" w:hAnsi="Calibri" w:cs="Calibri"/>
        </w:rPr>
        <w:t>specification</w:t>
      </w:r>
      <w:r w:rsidR="005555C4">
        <w:rPr>
          <w:rFonts w:ascii="Calibri" w:hAnsi="Calibri" w:cs="Calibri"/>
        </w:rPr>
        <w:t>s</w:t>
      </w:r>
      <w:r w:rsidR="005C4AD2">
        <w:rPr>
          <w:rFonts w:ascii="Calibri" w:hAnsi="Calibri" w:cs="Calibri"/>
        </w:rPr>
        <w:t xml:space="preserve"> for </w:t>
      </w:r>
      <w:r w:rsidR="00EB470D">
        <w:rPr>
          <w:rFonts w:ascii="Calibri" w:hAnsi="Calibri" w:cs="Calibri"/>
        </w:rPr>
        <w:t>RMR</w:t>
      </w:r>
      <w:r w:rsidR="005C4AD2">
        <w:rPr>
          <w:rFonts w:ascii="Calibri" w:hAnsi="Calibri" w:cs="Calibri"/>
        </w:rPr>
        <w:t xml:space="preserve"> </w:t>
      </w:r>
      <w:r w:rsidR="00A759B8">
        <w:rPr>
          <w:rFonts w:ascii="Calibri" w:hAnsi="Calibri" w:cs="Calibri"/>
        </w:rPr>
        <w:t>base</w:t>
      </w:r>
      <w:r w:rsidR="005555C4">
        <w:rPr>
          <w:rFonts w:ascii="Calibri" w:hAnsi="Calibri" w:cs="Calibri"/>
        </w:rPr>
        <w:t xml:space="preserve"> </w:t>
      </w:r>
      <w:r w:rsidR="00A759B8">
        <w:rPr>
          <w:rFonts w:ascii="Calibri" w:hAnsi="Calibri" w:cs="Calibri"/>
        </w:rPr>
        <w:t>stations</w:t>
      </w:r>
      <w:r w:rsidR="00EB470D">
        <w:rPr>
          <w:rFonts w:ascii="Calibri" w:hAnsi="Calibri" w:cs="Calibri"/>
        </w:rPr>
        <w:t xml:space="preserve"> </w:t>
      </w:r>
      <w:r w:rsidR="00A20FC0">
        <w:rPr>
          <w:rFonts w:ascii="Calibri" w:hAnsi="Calibri" w:cs="Calibri"/>
        </w:rPr>
        <w:t>nor for the high</w:t>
      </w:r>
      <w:r w:rsidR="000E4F6A">
        <w:rPr>
          <w:rFonts w:ascii="Calibri" w:hAnsi="Calibri" w:cs="Calibri"/>
        </w:rPr>
        <w:t xml:space="preserve"> power UE</w:t>
      </w:r>
      <w:r w:rsidR="00EB470D">
        <w:rPr>
          <w:rFonts w:ascii="Calibri" w:hAnsi="Calibri" w:cs="Calibri"/>
        </w:rPr>
        <w:t xml:space="preserve"> </w:t>
      </w:r>
      <w:r w:rsidR="00A759B8">
        <w:rPr>
          <w:rFonts w:ascii="Calibri" w:hAnsi="Calibri" w:cs="Calibri"/>
        </w:rPr>
        <w:t xml:space="preserve">in band n101 </w:t>
      </w:r>
      <w:r w:rsidR="009423AB">
        <w:rPr>
          <w:rFonts w:ascii="Calibri" w:hAnsi="Calibri" w:cs="Calibri"/>
        </w:rPr>
        <w:t>should</w:t>
      </w:r>
      <w:r w:rsidR="00D243EB">
        <w:rPr>
          <w:rFonts w:ascii="Calibri" w:hAnsi="Calibri" w:cs="Calibri"/>
        </w:rPr>
        <w:t xml:space="preserve"> be done</w:t>
      </w:r>
      <w:r w:rsidR="00EB470D">
        <w:rPr>
          <w:rFonts w:ascii="Calibri" w:hAnsi="Calibri" w:cs="Calibri"/>
        </w:rPr>
        <w:t xml:space="preserve">. </w:t>
      </w:r>
      <w:r w:rsidR="00CB5724">
        <w:rPr>
          <w:rFonts w:ascii="Calibri" w:hAnsi="Calibri" w:cs="Calibri"/>
        </w:rPr>
        <w:t xml:space="preserve">Any such change would be </w:t>
      </w:r>
      <w:r w:rsidR="00C87F7B">
        <w:rPr>
          <w:rFonts w:ascii="Calibri" w:hAnsi="Calibri" w:cs="Calibri"/>
        </w:rPr>
        <w:t xml:space="preserve">contrary to the </w:t>
      </w:r>
      <w:r w:rsidR="00E51D18">
        <w:rPr>
          <w:rFonts w:ascii="Calibri" w:hAnsi="Calibri" w:cs="Calibri"/>
        </w:rPr>
        <w:t>European</w:t>
      </w:r>
      <w:r w:rsidR="00C87F7B">
        <w:rPr>
          <w:rFonts w:ascii="Calibri" w:hAnsi="Calibri" w:cs="Calibri"/>
        </w:rPr>
        <w:t xml:space="preserve"> regulation</w:t>
      </w:r>
      <w:r w:rsidR="001B418F">
        <w:rPr>
          <w:rFonts w:ascii="Calibri" w:hAnsi="Calibri" w:cs="Calibri"/>
        </w:rPr>
        <w:t>.</w:t>
      </w:r>
    </w:p>
    <w:p w14:paraId="4B599C61" w14:textId="21B38F68" w:rsidR="00F94E86" w:rsidRPr="007B658D" w:rsidRDefault="00AB1093" w:rsidP="000B2BEE">
      <w:pPr>
        <w:pStyle w:val="Heading3"/>
        <w:keepNext w:val="0"/>
        <w:keepLines w:val="0"/>
        <w:widowControl w:val="0"/>
        <w:rPr>
          <w:rFonts w:ascii="Calibri" w:hAnsi="Calibri" w:cs="Calibri"/>
          <w:b/>
          <w:bCs/>
          <w:sz w:val="24"/>
          <w:szCs w:val="24"/>
        </w:rPr>
      </w:pPr>
      <w:r w:rsidRPr="007B658D">
        <w:rPr>
          <w:rFonts w:ascii="Calibri" w:hAnsi="Calibri" w:cs="Calibri"/>
          <w:b/>
          <w:bCs/>
          <w:sz w:val="24"/>
          <w:szCs w:val="24"/>
        </w:rPr>
        <w:t>References:</w:t>
      </w:r>
    </w:p>
    <w:p w14:paraId="69A97A4F" w14:textId="77777777" w:rsidR="007760F2" w:rsidRDefault="007760F2" w:rsidP="007760F2">
      <w:pPr>
        <w:tabs>
          <w:tab w:val="center" w:pos="4153"/>
          <w:tab w:val="right" w:pos="8306"/>
        </w:tabs>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[1]</w:t>
      </w:r>
      <w:r>
        <w:rPr>
          <w:rFonts w:ascii="Calibri" w:hAnsi="Calibri" w:cs="Calibri"/>
          <w:lang w:eastAsia="en-US"/>
        </w:rPr>
        <w:tab/>
        <w:t>RP-233879, “Harm to existing mobile networks caused by band n101”, Vodafone, Telecom Italia, Telefónica, Orange, Deutsche Telekom, Telia Company, KPN, Bouygues Telecom, Fraunhofer IIS.</w:t>
      </w:r>
    </w:p>
    <w:p w14:paraId="25C6224F" w14:textId="77777777" w:rsidR="007760F2" w:rsidRDefault="007760F2" w:rsidP="007760F2">
      <w:pPr>
        <w:tabs>
          <w:tab w:val="center" w:pos="4153"/>
          <w:tab w:val="right" w:pos="8306"/>
        </w:tabs>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[2]</w:t>
      </w:r>
      <w:r>
        <w:rPr>
          <w:rFonts w:ascii="Calibri" w:hAnsi="Calibri" w:cs="Calibri"/>
          <w:lang w:eastAsia="en-US"/>
        </w:rPr>
        <w:tab/>
        <w:t xml:space="preserve">RP-234008, “Way forward on the co-existence for existing mobile networks caused </w:t>
      </w:r>
      <w:r>
        <w:rPr>
          <w:rFonts w:ascii="Calibri" w:hAnsi="Calibri" w:cs="Calibri"/>
          <w:lang w:eastAsia="en-US"/>
        </w:rPr>
        <w:tab/>
        <w:t>by band n101”, RAN4 chair (Huawei).</w:t>
      </w:r>
    </w:p>
    <w:p w14:paraId="3D1F02F9" w14:textId="77777777" w:rsidR="007760F2" w:rsidRDefault="007760F2" w:rsidP="007760F2">
      <w:pPr>
        <w:tabs>
          <w:tab w:val="center" w:pos="4153"/>
          <w:tab w:val="right" w:pos="8306"/>
        </w:tabs>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[3]</w:t>
      </w:r>
      <w:r>
        <w:rPr>
          <w:rFonts w:ascii="Calibri" w:hAnsi="Calibri" w:cs="Calibri"/>
          <w:lang w:eastAsia="en-US"/>
        </w:rPr>
        <w:tab/>
        <w:t>RP-211542, “Introduction of 1900MHz NR band for Europe for Rail Mobile Radio (RMR)”, UIC, Ericsson.</w:t>
      </w:r>
    </w:p>
    <w:p w14:paraId="69C1CEDD" w14:textId="77777777" w:rsidR="007760F2" w:rsidRDefault="007760F2" w:rsidP="007760F2">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[4]</w:t>
      </w:r>
      <w:r>
        <w:rPr>
          <w:rFonts w:ascii="Calibri" w:hAnsi="Calibri" w:cs="Calibri"/>
          <w:lang w:eastAsia="en-US"/>
        </w:rPr>
        <w:tab/>
        <w:t>3GPP TR 38.852 v17.3.0, “Introduction of 1900MHz NR band for Europe for Rail Mobile Radio (RMR)”.</w:t>
      </w:r>
    </w:p>
    <w:p w14:paraId="4B29EE45" w14:textId="77777777" w:rsidR="007760F2" w:rsidRDefault="007760F2" w:rsidP="007760F2">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[5]</w:t>
      </w:r>
      <w:r>
        <w:rPr>
          <w:rFonts w:ascii="Calibri" w:hAnsi="Calibri" w:cs="Calibri"/>
          <w:lang w:eastAsia="en-US"/>
        </w:rPr>
        <w:tab/>
        <w:t>ECC Decision (20)02: "Harmonised use of the paired frequency bands 874.4-880.0 MHz and 919.4-925.0 MHz and of the unpaired frequency band 1900-1910 MHz for Railway Mobile Radio (RMR)".</w:t>
      </w:r>
    </w:p>
    <w:p w14:paraId="22A69BD1" w14:textId="77777777" w:rsidR="007760F2" w:rsidRDefault="007760F2" w:rsidP="007760F2">
      <w:pPr>
        <w:tabs>
          <w:tab w:val="center" w:pos="4153"/>
          <w:tab w:val="right" w:pos="8306"/>
        </w:tabs>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[6]</w:t>
      </w:r>
      <w:r>
        <w:rPr>
          <w:rFonts w:ascii="Calibri" w:hAnsi="Calibri" w:cs="Calibri"/>
          <w:lang w:eastAsia="en-US"/>
        </w:rPr>
        <w:tab/>
        <w:t>RP-220376, “RAN4 CRs for Open REL-17 NR or NR+LTE WIs - Batch 33”, RAN4.</w:t>
      </w:r>
    </w:p>
    <w:p w14:paraId="6CB47717" w14:textId="77777777" w:rsidR="007760F2" w:rsidRDefault="007760F2" w:rsidP="007760F2">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[7]</w:t>
      </w:r>
      <w:r>
        <w:rPr>
          <w:rFonts w:ascii="Calibri" w:hAnsi="Calibri" w:cs="Calibri"/>
          <w:lang w:eastAsia="en-US"/>
        </w:rPr>
        <w:tab/>
        <w:t>ECC Report 318, “Compatibility between RMR and MFCN in the 900 MHz range, the 1900-1920 MHz band and the 2290-2300 MHz band”, 2020-07.</w:t>
      </w:r>
    </w:p>
    <w:p w14:paraId="1D4DDE58" w14:textId="091C78E2" w:rsidR="00137B63" w:rsidRPr="008B33DE" w:rsidRDefault="00137B63" w:rsidP="00B57137">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[9]</w:t>
      </w:r>
      <w:r w:rsidR="00CD78E1">
        <w:rPr>
          <w:rFonts w:ascii="Calibri" w:hAnsi="Calibri" w:cs="Calibri"/>
          <w:lang w:eastAsia="en-US"/>
        </w:rPr>
        <w:t xml:space="preserve"> </w:t>
      </w:r>
      <w:r w:rsidR="00E1188B">
        <w:rPr>
          <w:rFonts w:ascii="Calibri" w:hAnsi="Calibri" w:cs="Calibri"/>
          <w:lang w:eastAsia="en-US"/>
        </w:rPr>
        <w:tab/>
      </w:r>
      <w:r w:rsidR="00B57137">
        <w:rPr>
          <w:rFonts w:ascii="Calibri" w:hAnsi="Calibri" w:cs="Calibri"/>
          <w:lang w:eastAsia="en-US"/>
        </w:rPr>
        <w:t xml:space="preserve">Commission implementing decision </w:t>
      </w:r>
      <w:r w:rsidR="00E1188B" w:rsidRPr="00E1188B">
        <w:rPr>
          <w:rFonts w:ascii="Calibri" w:hAnsi="Calibri" w:cs="Calibri"/>
          <w:lang w:eastAsia="en-US"/>
        </w:rPr>
        <w:t>(EU) 2021/1730</w:t>
      </w:r>
      <w:r w:rsidR="00B57137">
        <w:rPr>
          <w:rFonts w:ascii="Calibri" w:hAnsi="Calibri" w:cs="Calibri"/>
          <w:lang w:eastAsia="en-US"/>
        </w:rPr>
        <w:t xml:space="preserve"> </w:t>
      </w:r>
      <w:r w:rsidR="00E1188B" w:rsidRPr="00E1188B">
        <w:rPr>
          <w:rFonts w:ascii="Calibri" w:hAnsi="Calibri" w:cs="Calibri"/>
          <w:lang w:eastAsia="en-US"/>
        </w:rPr>
        <w:t>of 28 September 2021</w:t>
      </w:r>
      <w:r w:rsidR="00E1188B">
        <w:rPr>
          <w:rFonts w:ascii="Calibri" w:hAnsi="Calibri" w:cs="Calibri"/>
          <w:lang w:eastAsia="en-US"/>
        </w:rPr>
        <w:t xml:space="preserve"> </w:t>
      </w:r>
      <w:r w:rsidR="00E1188B" w:rsidRPr="00E1188B">
        <w:rPr>
          <w:rFonts w:ascii="Calibri" w:hAnsi="Calibri" w:cs="Calibri"/>
          <w:lang w:eastAsia="en-US"/>
        </w:rPr>
        <w:t>on the harmonised use of the paired frequency bands 874,4-880,0 MHz and 919,4-925,0 MHz</w:t>
      </w:r>
      <w:r w:rsidR="00B57137">
        <w:rPr>
          <w:rFonts w:ascii="Calibri" w:hAnsi="Calibri" w:cs="Calibri"/>
          <w:lang w:eastAsia="en-US"/>
        </w:rPr>
        <w:t xml:space="preserve"> </w:t>
      </w:r>
      <w:r w:rsidR="00E1188B" w:rsidRPr="00E1188B">
        <w:rPr>
          <w:rFonts w:ascii="Calibri" w:hAnsi="Calibri" w:cs="Calibri"/>
          <w:lang w:eastAsia="en-US"/>
        </w:rPr>
        <w:t xml:space="preserve">and of the unpaired frequency band 1 900-1 </w:t>
      </w:r>
      <w:r w:rsidR="00E1188B" w:rsidRPr="008B33DE">
        <w:rPr>
          <w:rFonts w:ascii="Calibri" w:hAnsi="Calibri" w:cs="Calibri"/>
          <w:lang w:eastAsia="en-US"/>
        </w:rPr>
        <w:t>910MHz for Railway Mobile Radio</w:t>
      </w:r>
      <w:r w:rsidR="00B57137" w:rsidRPr="008B33DE">
        <w:rPr>
          <w:rFonts w:ascii="Calibri" w:hAnsi="Calibri" w:cs="Calibri"/>
          <w:lang w:eastAsia="en-US"/>
        </w:rPr>
        <w:t xml:space="preserve"> </w:t>
      </w:r>
      <w:r w:rsidR="00E1188B" w:rsidRPr="008B33DE">
        <w:rPr>
          <w:rFonts w:ascii="Calibri" w:hAnsi="Calibri" w:cs="Calibri"/>
          <w:lang w:eastAsia="en-US"/>
        </w:rPr>
        <w:t>(notified under document</w:t>
      </w:r>
      <w:r w:rsidR="00B57137" w:rsidRPr="008B33DE">
        <w:rPr>
          <w:rFonts w:ascii="Calibri" w:hAnsi="Calibri" w:cs="Calibri"/>
          <w:lang w:eastAsia="en-US"/>
        </w:rPr>
        <w:t xml:space="preserve"> </w:t>
      </w:r>
      <w:r w:rsidR="00E1188B" w:rsidRPr="008B33DE">
        <w:rPr>
          <w:rFonts w:ascii="Calibri" w:hAnsi="Calibri" w:cs="Calibri"/>
          <w:lang w:eastAsia="en-US"/>
        </w:rPr>
        <w:t>C(2021) 6862</w:t>
      </w:r>
    </w:p>
    <w:p w14:paraId="38C8A54F" w14:textId="05179A03" w:rsidR="00CD78E1" w:rsidRDefault="00CD78E1" w:rsidP="009E0764">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 xml:space="preserve">[10] </w:t>
      </w:r>
      <w:r w:rsidR="004D38D0" w:rsidRPr="008B33DE">
        <w:rPr>
          <w:rFonts w:ascii="Calibri" w:hAnsi="Calibri" w:cs="Calibri"/>
          <w:lang w:eastAsia="en-US"/>
        </w:rPr>
        <w:tab/>
      </w:r>
      <w:r w:rsidR="0027608F" w:rsidRPr="008B33DE">
        <w:rPr>
          <w:rFonts w:ascii="Calibri" w:hAnsi="Calibri" w:cs="Calibri"/>
          <w:lang w:eastAsia="en-US"/>
        </w:rPr>
        <w:t>CEPT report</w:t>
      </w:r>
      <w:r w:rsidR="0027608F">
        <w:rPr>
          <w:rFonts w:ascii="Calibri" w:hAnsi="Calibri" w:cs="Calibri"/>
          <w:lang w:eastAsia="en-US"/>
        </w:rPr>
        <w:t xml:space="preserve"> 76. </w:t>
      </w:r>
      <w:r w:rsidR="00C42730" w:rsidRPr="00C42730">
        <w:rPr>
          <w:rFonts w:ascii="Calibri" w:hAnsi="Calibri" w:cs="Calibri"/>
          <w:lang w:eastAsia="en-US"/>
        </w:rPr>
        <w:t>Report from CEPT to the European Commission in response to the Mandate on spectrum for the future railway mobile communications system (Task 5)</w:t>
      </w:r>
      <w:r w:rsidR="009E0764">
        <w:rPr>
          <w:rFonts w:ascii="Calibri" w:hAnsi="Calibri" w:cs="Calibri"/>
          <w:lang w:eastAsia="en-US"/>
        </w:rPr>
        <w:t xml:space="preserve">. </w:t>
      </w:r>
      <w:r w:rsidR="00C42730" w:rsidRPr="00C42730">
        <w:rPr>
          <w:rFonts w:ascii="Calibri" w:hAnsi="Calibri" w:cs="Calibri"/>
          <w:lang w:eastAsia="en-US"/>
        </w:rPr>
        <w:t>Report approved on 20 November 2020 by the ECC</w:t>
      </w:r>
    </w:p>
    <w:p w14:paraId="6249A936" w14:textId="272C2B9B" w:rsidR="007760F2" w:rsidRDefault="007760F2" w:rsidP="007760F2">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w:t>
      </w:r>
      <w:r w:rsidR="007C2785">
        <w:rPr>
          <w:rFonts w:ascii="Calibri" w:hAnsi="Calibri" w:cs="Calibri"/>
          <w:lang w:eastAsia="en-US"/>
        </w:rPr>
        <w:t>11</w:t>
      </w:r>
      <w:r>
        <w:rPr>
          <w:rFonts w:ascii="Calibri" w:hAnsi="Calibri" w:cs="Calibri"/>
          <w:lang w:eastAsia="en-US"/>
        </w:rPr>
        <w:t>]</w:t>
      </w:r>
      <w:r>
        <w:rPr>
          <w:rFonts w:ascii="Calibri" w:hAnsi="Calibri" w:cs="Calibri"/>
          <w:lang w:eastAsia="en-US"/>
        </w:rPr>
        <w:tab/>
        <w:t>3GPP TR 25.942 v17.0.0, “</w:t>
      </w:r>
      <w:r>
        <w:rPr>
          <w:rFonts w:ascii="Calibri" w:hAnsi="Calibri" w:cs="Calibri"/>
          <w:lang w:val="en-US" w:eastAsia="en-US"/>
        </w:rPr>
        <w:t>Radio Frequency (RF) system scenarios</w:t>
      </w:r>
      <w:r>
        <w:rPr>
          <w:rFonts w:ascii="Calibri" w:hAnsi="Calibri" w:cs="Calibri"/>
          <w:lang w:eastAsia="en-US"/>
        </w:rPr>
        <w:t>”.</w:t>
      </w:r>
    </w:p>
    <w:p w14:paraId="12A010DC" w14:textId="376EE6A8" w:rsidR="00AB1093" w:rsidRPr="00442195" w:rsidRDefault="005C1C43" w:rsidP="00442195">
      <w:pPr>
        <w:overflowPunct/>
        <w:autoSpaceDE/>
        <w:autoSpaceDN/>
        <w:adjustRightInd/>
        <w:spacing w:after="0"/>
        <w:ind w:left="567" w:hanging="567"/>
        <w:textAlignment w:val="auto"/>
        <w:rPr>
          <w:rFonts w:ascii="Calibri" w:hAnsi="Calibri" w:cs="Calibri"/>
          <w:lang w:eastAsia="en-US"/>
        </w:rPr>
      </w:pPr>
      <w:r>
        <w:rPr>
          <w:rFonts w:ascii="Calibri" w:hAnsi="Calibri" w:cs="Calibri"/>
          <w:lang w:eastAsia="en-US"/>
        </w:rPr>
        <w:t>[12]</w:t>
      </w:r>
      <w:r>
        <w:rPr>
          <w:rFonts w:ascii="Calibri" w:hAnsi="Calibri" w:cs="Calibri"/>
          <w:lang w:eastAsia="en-US"/>
        </w:rPr>
        <w:tab/>
      </w:r>
      <w:r w:rsidRPr="005C1C43">
        <w:rPr>
          <w:rFonts w:ascii="Calibri" w:hAnsi="Calibri" w:cs="Calibri"/>
          <w:lang w:eastAsia="en-US"/>
        </w:rPr>
        <w:t>ETSI TS 103 807 V1.1.1 (2021-10)</w:t>
      </w:r>
      <w:r w:rsidR="00442195">
        <w:rPr>
          <w:rFonts w:ascii="Calibri" w:hAnsi="Calibri" w:cs="Calibri"/>
          <w:lang w:eastAsia="en-US"/>
        </w:rPr>
        <w:t xml:space="preserve"> </w:t>
      </w:r>
      <w:r w:rsidR="00442195" w:rsidRPr="00442195">
        <w:rPr>
          <w:rFonts w:ascii="Calibri" w:hAnsi="Calibri" w:cs="Calibri"/>
          <w:lang w:eastAsia="en-US"/>
        </w:rPr>
        <w:t>Mobile Standards Group (MSG)</w:t>
      </w:r>
      <w:r w:rsidR="00442195">
        <w:rPr>
          <w:rFonts w:ascii="Calibri" w:hAnsi="Calibri" w:cs="Calibri"/>
          <w:lang w:eastAsia="en-US"/>
        </w:rPr>
        <w:t xml:space="preserve">. </w:t>
      </w:r>
      <w:r w:rsidR="00442195" w:rsidRPr="00442195">
        <w:rPr>
          <w:rFonts w:ascii="Calibri" w:hAnsi="Calibri" w:cs="Calibri"/>
          <w:lang w:eastAsia="en-US"/>
        </w:rPr>
        <w:t>IMT Cellular Networks</w:t>
      </w:r>
      <w:r w:rsidR="00442195">
        <w:rPr>
          <w:rFonts w:ascii="Calibri" w:hAnsi="Calibri" w:cs="Calibri"/>
          <w:lang w:eastAsia="en-US"/>
        </w:rPr>
        <w:t xml:space="preserve"> </w:t>
      </w:r>
      <w:r w:rsidR="00442195" w:rsidRPr="00442195">
        <w:rPr>
          <w:rFonts w:ascii="Calibri" w:hAnsi="Calibri" w:cs="Calibri"/>
          <w:lang w:eastAsia="en-US"/>
        </w:rPr>
        <w:t>Base Stations (BS) Additional Regulatory Requirements</w:t>
      </w:r>
      <w:r w:rsidR="00442195">
        <w:rPr>
          <w:rFonts w:ascii="Calibri" w:hAnsi="Calibri" w:cs="Calibri"/>
          <w:lang w:eastAsia="en-US"/>
        </w:rPr>
        <w:t>.</w:t>
      </w:r>
    </w:p>
    <w:sectPr w:rsidR="00AB1093" w:rsidRPr="00442195" w:rsidSect="00F35990">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01382" w14:textId="77777777" w:rsidR="00F2167D" w:rsidRDefault="00F2167D">
      <w:r>
        <w:separator/>
      </w:r>
    </w:p>
  </w:endnote>
  <w:endnote w:type="continuationSeparator" w:id="0">
    <w:p w14:paraId="694678C7" w14:textId="77777777" w:rsidR="00F2167D" w:rsidRDefault="00F2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36F94" w14:textId="77777777" w:rsidR="00CE2377" w:rsidRDefault="00CE23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BBAD3"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C74228">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4228">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B291" w14:textId="77777777" w:rsidR="00CE2377" w:rsidRDefault="00CE23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C2F0" w14:textId="77777777" w:rsidR="00F2167D" w:rsidRDefault="00F2167D">
      <w:r>
        <w:separator/>
      </w:r>
    </w:p>
  </w:footnote>
  <w:footnote w:type="continuationSeparator" w:id="0">
    <w:p w14:paraId="3FE981BE" w14:textId="77777777" w:rsidR="00F2167D" w:rsidRDefault="00F2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0DC16" w14:textId="77777777" w:rsidR="00CE2377" w:rsidRDefault="00CE2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C39C6" w14:textId="77777777" w:rsidR="00CE2377" w:rsidRDefault="00CE2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1B48" w14:textId="77777777" w:rsidR="00CE2377" w:rsidRDefault="00CE2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6A8"/>
    <w:multiLevelType w:val="hybridMultilevel"/>
    <w:tmpl w:val="D79C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B317AB5"/>
    <w:multiLevelType w:val="hybridMultilevel"/>
    <w:tmpl w:val="72A25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D5189"/>
    <w:multiLevelType w:val="hybridMultilevel"/>
    <w:tmpl w:val="80CA3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2E4B200D"/>
    <w:multiLevelType w:val="hybridMultilevel"/>
    <w:tmpl w:val="A10001DE"/>
    <w:lvl w:ilvl="0" w:tplc="FD88FF52">
      <w:start w:val="1"/>
      <w:numFmt w:val="bullet"/>
      <w:lvlText w:val="•"/>
      <w:lvlJc w:val="left"/>
      <w:pPr>
        <w:tabs>
          <w:tab w:val="num" w:pos="720"/>
        </w:tabs>
        <w:ind w:left="720" w:hanging="360"/>
      </w:pPr>
      <w:rPr>
        <w:rFonts w:ascii="Arial" w:hAnsi="Arial" w:cs="Times New Roman" w:hint="default"/>
      </w:rPr>
    </w:lvl>
    <w:lvl w:ilvl="1" w:tplc="8A347798">
      <w:start w:val="1"/>
      <w:numFmt w:val="bullet"/>
      <w:lvlText w:val="•"/>
      <w:lvlJc w:val="left"/>
      <w:pPr>
        <w:tabs>
          <w:tab w:val="num" w:pos="1440"/>
        </w:tabs>
        <w:ind w:left="1440" w:hanging="360"/>
      </w:pPr>
      <w:rPr>
        <w:rFonts w:ascii="Arial" w:hAnsi="Arial" w:cs="Times New Roman" w:hint="default"/>
      </w:rPr>
    </w:lvl>
    <w:lvl w:ilvl="2" w:tplc="90604EE8">
      <w:start w:val="1"/>
      <w:numFmt w:val="bullet"/>
      <w:lvlText w:val="•"/>
      <w:lvlJc w:val="left"/>
      <w:pPr>
        <w:tabs>
          <w:tab w:val="num" w:pos="2160"/>
        </w:tabs>
        <w:ind w:left="2160" w:hanging="360"/>
      </w:pPr>
      <w:rPr>
        <w:rFonts w:ascii="Arial" w:hAnsi="Arial" w:cs="Times New Roman" w:hint="default"/>
      </w:rPr>
    </w:lvl>
    <w:lvl w:ilvl="3" w:tplc="8A0A4B2E">
      <w:start w:val="1"/>
      <w:numFmt w:val="bullet"/>
      <w:lvlText w:val="•"/>
      <w:lvlJc w:val="left"/>
      <w:pPr>
        <w:tabs>
          <w:tab w:val="num" w:pos="2880"/>
        </w:tabs>
        <w:ind w:left="2880" w:hanging="360"/>
      </w:pPr>
      <w:rPr>
        <w:rFonts w:ascii="Arial" w:hAnsi="Arial" w:cs="Times New Roman" w:hint="default"/>
      </w:rPr>
    </w:lvl>
    <w:lvl w:ilvl="4" w:tplc="AA02805C">
      <w:start w:val="1"/>
      <w:numFmt w:val="bullet"/>
      <w:lvlText w:val="•"/>
      <w:lvlJc w:val="left"/>
      <w:pPr>
        <w:tabs>
          <w:tab w:val="num" w:pos="3600"/>
        </w:tabs>
        <w:ind w:left="3600" w:hanging="360"/>
      </w:pPr>
      <w:rPr>
        <w:rFonts w:ascii="Arial" w:hAnsi="Arial" w:cs="Times New Roman" w:hint="default"/>
      </w:rPr>
    </w:lvl>
    <w:lvl w:ilvl="5" w:tplc="AA3A0E46">
      <w:start w:val="1"/>
      <w:numFmt w:val="bullet"/>
      <w:lvlText w:val="•"/>
      <w:lvlJc w:val="left"/>
      <w:pPr>
        <w:tabs>
          <w:tab w:val="num" w:pos="4320"/>
        </w:tabs>
        <w:ind w:left="4320" w:hanging="360"/>
      </w:pPr>
      <w:rPr>
        <w:rFonts w:ascii="Arial" w:hAnsi="Arial" w:cs="Times New Roman" w:hint="default"/>
      </w:rPr>
    </w:lvl>
    <w:lvl w:ilvl="6" w:tplc="E9FC00A4">
      <w:start w:val="1"/>
      <w:numFmt w:val="bullet"/>
      <w:lvlText w:val="•"/>
      <w:lvlJc w:val="left"/>
      <w:pPr>
        <w:tabs>
          <w:tab w:val="num" w:pos="5040"/>
        </w:tabs>
        <w:ind w:left="5040" w:hanging="360"/>
      </w:pPr>
      <w:rPr>
        <w:rFonts w:ascii="Arial" w:hAnsi="Arial" w:cs="Times New Roman" w:hint="default"/>
      </w:rPr>
    </w:lvl>
    <w:lvl w:ilvl="7" w:tplc="03228504">
      <w:start w:val="1"/>
      <w:numFmt w:val="bullet"/>
      <w:lvlText w:val="•"/>
      <w:lvlJc w:val="left"/>
      <w:pPr>
        <w:tabs>
          <w:tab w:val="num" w:pos="5760"/>
        </w:tabs>
        <w:ind w:left="5760" w:hanging="360"/>
      </w:pPr>
      <w:rPr>
        <w:rFonts w:ascii="Arial" w:hAnsi="Arial" w:cs="Times New Roman" w:hint="default"/>
      </w:rPr>
    </w:lvl>
    <w:lvl w:ilvl="8" w:tplc="54F824EE">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39F40FD1"/>
    <w:multiLevelType w:val="hybridMultilevel"/>
    <w:tmpl w:val="B580A5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3E0649"/>
    <w:multiLevelType w:val="hybridMultilevel"/>
    <w:tmpl w:val="A1A499C6"/>
    <w:lvl w:ilvl="0" w:tplc="B024CF9A">
      <w:start w:val="1"/>
      <w:numFmt w:val="bullet"/>
      <w:lvlText w:val="•"/>
      <w:lvlJc w:val="left"/>
      <w:pPr>
        <w:tabs>
          <w:tab w:val="num" w:pos="720"/>
        </w:tabs>
        <w:ind w:left="720" w:hanging="360"/>
      </w:pPr>
      <w:rPr>
        <w:rFonts w:ascii="Arial" w:hAnsi="Arial" w:cs="Times New Roman" w:hint="default"/>
      </w:rPr>
    </w:lvl>
    <w:lvl w:ilvl="1" w:tplc="C3D6A55A">
      <w:start w:val="1"/>
      <w:numFmt w:val="bullet"/>
      <w:lvlText w:val="•"/>
      <w:lvlJc w:val="left"/>
      <w:pPr>
        <w:tabs>
          <w:tab w:val="num" w:pos="1440"/>
        </w:tabs>
        <w:ind w:left="1440" w:hanging="360"/>
      </w:pPr>
      <w:rPr>
        <w:rFonts w:ascii="Arial" w:hAnsi="Arial" w:cs="Times New Roman" w:hint="default"/>
      </w:rPr>
    </w:lvl>
    <w:lvl w:ilvl="2" w:tplc="EE16567A">
      <w:start w:val="1"/>
      <w:numFmt w:val="bullet"/>
      <w:lvlText w:val="•"/>
      <w:lvlJc w:val="left"/>
      <w:pPr>
        <w:tabs>
          <w:tab w:val="num" w:pos="2160"/>
        </w:tabs>
        <w:ind w:left="2160" w:hanging="360"/>
      </w:pPr>
      <w:rPr>
        <w:rFonts w:ascii="Arial" w:hAnsi="Arial" w:cs="Times New Roman" w:hint="default"/>
      </w:rPr>
    </w:lvl>
    <w:lvl w:ilvl="3" w:tplc="D9320CF0">
      <w:start w:val="1"/>
      <w:numFmt w:val="bullet"/>
      <w:lvlText w:val="•"/>
      <w:lvlJc w:val="left"/>
      <w:pPr>
        <w:tabs>
          <w:tab w:val="num" w:pos="2880"/>
        </w:tabs>
        <w:ind w:left="2880" w:hanging="360"/>
      </w:pPr>
      <w:rPr>
        <w:rFonts w:ascii="Arial" w:hAnsi="Arial" w:cs="Times New Roman" w:hint="default"/>
      </w:rPr>
    </w:lvl>
    <w:lvl w:ilvl="4" w:tplc="C76E434A">
      <w:start w:val="1"/>
      <w:numFmt w:val="bullet"/>
      <w:lvlText w:val="•"/>
      <w:lvlJc w:val="left"/>
      <w:pPr>
        <w:tabs>
          <w:tab w:val="num" w:pos="3600"/>
        </w:tabs>
        <w:ind w:left="3600" w:hanging="360"/>
      </w:pPr>
      <w:rPr>
        <w:rFonts w:ascii="Arial" w:hAnsi="Arial" w:cs="Times New Roman" w:hint="default"/>
      </w:rPr>
    </w:lvl>
    <w:lvl w:ilvl="5" w:tplc="EE1C328A">
      <w:start w:val="1"/>
      <w:numFmt w:val="bullet"/>
      <w:lvlText w:val="•"/>
      <w:lvlJc w:val="left"/>
      <w:pPr>
        <w:tabs>
          <w:tab w:val="num" w:pos="4320"/>
        </w:tabs>
        <w:ind w:left="4320" w:hanging="360"/>
      </w:pPr>
      <w:rPr>
        <w:rFonts w:ascii="Arial" w:hAnsi="Arial" w:cs="Times New Roman" w:hint="default"/>
      </w:rPr>
    </w:lvl>
    <w:lvl w:ilvl="6" w:tplc="45C03EFC">
      <w:start w:val="1"/>
      <w:numFmt w:val="bullet"/>
      <w:lvlText w:val="•"/>
      <w:lvlJc w:val="left"/>
      <w:pPr>
        <w:tabs>
          <w:tab w:val="num" w:pos="5040"/>
        </w:tabs>
        <w:ind w:left="5040" w:hanging="360"/>
      </w:pPr>
      <w:rPr>
        <w:rFonts w:ascii="Arial" w:hAnsi="Arial" w:cs="Times New Roman" w:hint="default"/>
      </w:rPr>
    </w:lvl>
    <w:lvl w:ilvl="7" w:tplc="AAC86818">
      <w:start w:val="1"/>
      <w:numFmt w:val="bullet"/>
      <w:lvlText w:val="•"/>
      <w:lvlJc w:val="left"/>
      <w:pPr>
        <w:tabs>
          <w:tab w:val="num" w:pos="5760"/>
        </w:tabs>
        <w:ind w:left="5760" w:hanging="360"/>
      </w:pPr>
      <w:rPr>
        <w:rFonts w:ascii="Arial" w:hAnsi="Arial" w:cs="Times New Roman" w:hint="default"/>
      </w:rPr>
    </w:lvl>
    <w:lvl w:ilvl="8" w:tplc="B9F6C4A8">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57822C4"/>
    <w:multiLevelType w:val="hybridMultilevel"/>
    <w:tmpl w:val="91B40FB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5A8A2A6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600E43EC"/>
    <w:multiLevelType w:val="hybridMultilevel"/>
    <w:tmpl w:val="D4B0E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4" w15:restartNumberingAfterBreak="0">
    <w:nsid w:val="69064B76"/>
    <w:multiLevelType w:val="multilevel"/>
    <w:tmpl w:val="D40A3AC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D113DF"/>
    <w:multiLevelType w:val="multilevel"/>
    <w:tmpl w:val="D40A3AC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221963">
    <w:abstractNumId w:val="6"/>
  </w:num>
  <w:num w:numId="2" w16cid:durableId="1286353037">
    <w:abstractNumId w:val="6"/>
  </w:num>
  <w:num w:numId="3" w16cid:durableId="1087003163">
    <w:abstractNumId w:val="23"/>
  </w:num>
  <w:num w:numId="4" w16cid:durableId="125701720">
    <w:abstractNumId w:val="10"/>
  </w:num>
  <w:num w:numId="5" w16cid:durableId="1796560950">
    <w:abstractNumId w:val="17"/>
  </w:num>
  <w:num w:numId="6" w16cid:durableId="1700737904">
    <w:abstractNumId w:val="8"/>
  </w:num>
  <w:num w:numId="7" w16cid:durableId="78453361">
    <w:abstractNumId w:val="19"/>
  </w:num>
  <w:num w:numId="8" w16cid:durableId="339892684">
    <w:abstractNumId w:val="22"/>
  </w:num>
  <w:num w:numId="9" w16cid:durableId="540363608">
    <w:abstractNumId w:val="25"/>
  </w:num>
  <w:num w:numId="10" w16cid:durableId="1043553740">
    <w:abstractNumId w:val="14"/>
  </w:num>
  <w:num w:numId="11" w16cid:durableId="431975140">
    <w:abstractNumId w:val="11"/>
  </w:num>
  <w:num w:numId="12" w16cid:durableId="62603666">
    <w:abstractNumId w:val="1"/>
  </w:num>
  <w:num w:numId="13" w16cid:durableId="1213465981">
    <w:abstractNumId w:val="5"/>
  </w:num>
  <w:num w:numId="14" w16cid:durableId="694498152">
    <w:abstractNumId w:val="21"/>
  </w:num>
  <w:num w:numId="15" w16cid:durableId="1657685768">
    <w:abstractNumId w:val="13"/>
  </w:num>
  <w:num w:numId="16" w16cid:durableId="1070153714">
    <w:abstractNumId w:val="12"/>
  </w:num>
  <w:num w:numId="17" w16cid:durableId="1605646236">
    <w:abstractNumId w:val="4"/>
  </w:num>
  <w:num w:numId="18" w16cid:durableId="512492925">
    <w:abstractNumId w:val="15"/>
  </w:num>
  <w:num w:numId="19" w16cid:durableId="845245012">
    <w:abstractNumId w:val="7"/>
  </w:num>
  <w:num w:numId="20" w16cid:durableId="197932280">
    <w:abstractNumId w:val="16"/>
  </w:num>
  <w:num w:numId="21" w16cid:durableId="969944827">
    <w:abstractNumId w:val="3"/>
  </w:num>
  <w:num w:numId="22" w16cid:durableId="1194540606">
    <w:abstractNumId w:val="0"/>
  </w:num>
  <w:num w:numId="23" w16cid:durableId="1878926815">
    <w:abstractNumId w:val="2"/>
  </w:num>
  <w:num w:numId="24" w16cid:durableId="1308512283">
    <w:abstractNumId w:val="9"/>
  </w:num>
  <w:num w:numId="25" w16cid:durableId="1319383355">
    <w:abstractNumId w:val="18"/>
  </w:num>
  <w:num w:numId="26" w16cid:durableId="402996957">
    <w:abstractNumId w:val="26"/>
  </w:num>
  <w:num w:numId="27" w16cid:durableId="1993169454">
    <w:abstractNumId w:val="20"/>
  </w:num>
  <w:num w:numId="28" w16cid:durableId="15873760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61E"/>
    <w:rsid w:val="000007F1"/>
    <w:rsid w:val="000016A2"/>
    <w:rsid w:val="0000193A"/>
    <w:rsid w:val="00001C6D"/>
    <w:rsid w:val="0000227D"/>
    <w:rsid w:val="0000232B"/>
    <w:rsid w:val="0000238A"/>
    <w:rsid w:val="00002C46"/>
    <w:rsid w:val="00003053"/>
    <w:rsid w:val="000034AB"/>
    <w:rsid w:val="000036E5"/>
    <w:rsid w:val="00003B2B"/>
    <w:rsid w:val="00003DC2"/>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25A6"/>
    <w:rsid w:val="00012A65"/>
    <w:rsid w:val="00013988"/>
    <w:rsid w:val="00013A77"/>
    <w:rsid w:val="00013BBE"/>
    <w:rsid w:val="00014FE9"/>
    <w:rsid w:val="000153B1"/>
    <w:rsid w:val="000154AB"/>
    <w:rsid w:val="00015BBD"/>
    <w:rsid w:val="00015E67"/>
    <w:rsid w:val="0001660E"/>
    <w:rsid w:val="000169B9"/>
    <w:rsid w:val="00016B51"/>
    <w:rsid w:val="00016C9C"/>
    <w:rsid w:val="0001703F"/>
    <w:rsid w:val="0001708F"/>
    <w:rsid w:val="00017416"/>
    <w:rsid w:val="000174E7"/>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20"/>
    <w:rsid w:val="00025B47"/>
    <w:rsid w:val="00025CD5"/>
    <w:rsid w:val="00025FD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C17"/>
    <w:rsid w:val="00032D86"/>
    <w:rsid w:val="00033583"/>
    <w:rsid w:val="00033638"/>
    <w:rsid w:val="000342D5"/>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B13"/>
    <w:rsid w:val="00042C52"/>
    <w:rsid w:val="00042D1C"/>
    <w:rsid w:val="000436CB"/>
    <w:rsid w:val="00043A47"/>
    <w:rsid w:val="000445CC"/>
    <w:rsid w:val="00044A28"/>
    <w:rsid w:val="00044A3A"/>
    <w:rsid w:val="00044B23"/>
    <w:rsid w:val="00044B9F"/>
    <w:rsid w:val="00044D68"/>
    <w:rsid w:val="00044DAF"/>
    <w:rsid w:val="000450CA"/>
    <w:rsid w:val="00045463"/>
    <w:rsid w:val="0004606E"/>
    <w:rsid w:val="0004642F"/>
    <w:rsid w:val="000465D3"/>
    <w:rsid w:val="000468CD"/>
    <w:rsid w:val="00046E2C"/>
    <w:rsid w:val="00047B94"/>
    <w:rsid w:val="00047F56"/>
    <w:rsid w:val="00050795"/>
    <w:rsid w:val="00050A16"/>
    <w:rsid w:val="00050B58"/>
    <w:rsid w:val="0005167B"/>
    <w:rsid w:val="00051776"/>
    <w:rsid w:val="000518AD"/>
    <w:rsid w:val="00051C83"/>
    <w:rsid w:val="0005285F"/>
    <w:rsid w:val="00052AE7"/>
    <w:rsid w:val="00052C1A"/>
    <w:rsid w:val="00052D96"/>
    <w:rsid w:val="000541D0"/>
    <w:rsid w:val="00054747"/>
    <w:rsid w:val="0005480B"/>
    <w:rsid w:val="000560B4"/>
    <w:rsid w:val="000561FA"/>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725"/>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138E"/>
    <w:rsid w:val="000727B3"/>
    <w:rsid w:val="00072B89"/>
    <w:rsid w:val="00072C76"/>
    <w:rsid w:val="00073079"/>
    <w:rsid w:val="00073617"/>
    <w:rsid w:val="00074371"/>
    <w:rsid w:val="000747DA"/>
    <w:rsid w:val="00074A22"/>
    <w:rsid w:val="00074E0E"/>
    <w:rsid w:val="00075259"/>
    <w:rsid w:val="00075305"/>
    <w:rsid w:val="0007545B"/>
    <w:rsid w:val="000761C7"/>
    <w:rsid w:val="00076BC4"/>
    <w:rsid w:val="00076BC9"/>
    <w:rsid w:val="000771BE"/>
    <w:rsid w:val="0007761D"/>
    <w:rsid w:val="00077886"/>
    <w:rsid w:val="0008038F"/>
    <w:rsid w:val="00080DB5"/>
    <w:rsid w:val="00080E9D"/>
    <w:rsid w:val="0008137C"/>
    <w:rsid w:val="000814C8"/>
    <w:rsid w:val="00081B5F"/>
    <w:rsid w:val="00081CA1"/>
    <w:rsid w:val="00082A41"/>
    <w:rsid w:val="00082CCF"/>
    <w:rsid w:val="000831AA"/>
    <w:rsid w:val="000833D1"/>
    <w:rsid w:val="00083C40"/>
    <w:rsid w:val="00083C63"/>
    <w:rsid w:val="00083FE1"/>
    <w:rsid w:val="000840E3"/>
    <w:rsid w:val="0008533C"/>
    <w:rsid w:val="00085491"/>
    <w:rsid w:val="000855C0"/>
    <w:rsid w:val="00085A2C"/>
    <w:rsid w:val="00085CDF"/>
    <w:rsid w:val="000875ED"/>
    <w:rsid w:val="00087C15"/>
    <w:rsid w:val="00087FBB"/>
    <w:rsid w:val="00087FC2"/>
    <w:rsid w:val="00090B5B"/>
    <w:rsid w:val="00090D6E"/>
    <w:rsid w:val="000911ED"/>
    <w:rsid w:val="000914A1"/>
    <w:rsid w:val="00091AAD"/>
    <w:rsid w:val="00092102"/>
    <w:rsid w:val="000931FF"/>
    <w:rsid w:val="000937FD"/>
    <w:rsid w:val="0009458D"/>
    <w:rsid w:val="00094FA9"/>
    <w:rsid w:val="0009530F"/>
    <w:rsid w:val="000956D2"/>
    <w:rsid w:val="0009583D"/>
    <w:rsid w:val="00095A03"/>
    <w:rsid w:val="00095BE3"/>
    <w:rsid w:val="000960E7"/>
    <w:rsid w:val="00096228"/>
    <w:rsid w:val="0009738D"/>
    <w:rsid w:val="0009758A"/>
    <w:rsid w:val="00097833"/>
    <w:rsid w:val="000A00AD"/>
    <w:rsid w:val="000A0294"/>
    <w:rsid w:val="000A0820"/>
    <w:rsid w:val="000A1F49"/>
    <w:rsid w:val="000A2704"/>
    <w:rsid w:val="000A2B71"/>
    <w:rsid w:val="000A2D67"/>
    <w:rsid w:val="000A4353"/>
    <w:rsid w:val="000A44ED"/>
    <w:rsid w:val="000A4B73"/>
    <w:rsid w:val="000A55F3"/>
    <w:rsid w:val="000A56D6"/>
    <w:rsid w:val="000A5961"/>
    <w:rsid w:val="000A5DF5"/>
    <w:rsid w:val="000A61B4"/>
    <w:rsid w:val="000A76F5"/>
    <w:rsid w:val="000A773F"/>
    <w:rsid w:val="000A7BB9"/>
    <w:rsid w:val="000B005A"/>
    <w:rsid w:val="000B0B37"/>
    <w:rsid w:val="000B0BD2"/>
    <w:rsid w:val="000B11B9"/>
    <w:rsid w:val="000B1364"/>
    <w:rsid w:val="000B1395"/>
    <w:rsid w:val="000B164D"/>
    <w:rsid w:val="000B19A8"/>
    <w:rsid w:val="000B1AF8"/>
    <w:rsid w:val="000B2489"/>
    <w:rsid w:val="000B2764"/>
    <w:rsid w:val="000B2BEE"/>
    <w:rsid w:val="000B2CAF"/>
    <w:rsid w:val="000B310B"/>
    <w:rsid w:val="000B3238"/>
    <w:rsid w:val="000B328F"/>
    <w:rsid w:val="000B331D"/>
    <w:rsid w:val="000B4022"/>
    <w:rsid w:val="000B490D"/>
    <w:rsid w:val="000B5006"/>
    <w:rsid w:val="000B5812"/>
    <w:rsid w:val="000B5C1F"/>
    <w:rsid w:val="000B5E32"/>
    <w:rsid w:val="000B65A6"/>
    <w:rsid w:val="000B79F3"/>
    <w:rsid w:val="000B7D1A"/>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AD8"/>
    <w:rsid w:val="000C7683"/>
    <w:rsid w:val="000C789E"/>
    <w:rsid w:val="000D05D9"/>
    <w:rsid w:val="000D0BF9"/>
    <w:rsid w:val="000D0DFA"/>
    <w:rsid w:val="000D0FDA"/>
    <w:rsid w:val="000D1105"/>
    <w:rsid w:val="000D1C85"/>
    <w:rsid w:val="000D3380"/>
    <w:rsid w:val="000D4762"/>
    <w:rsid w:val="000D492E"/>
    <w:rsid w:val="000D49E7"/>
    <w:rsid w:val="000D5B70"/>
    <w:rsid w:val="000D6684"/>
    <w:rsid w:val="000D6723"/>
    <w:rsid w:val="000D6ADA"/>
    <w:rsid w:val="000D6E46"/>
    <w:rsid w:val="000D7288"/>
    <w:rsid w:val="000E06E8"/>
    <w:rsid w:val="000E078E"/>
    <w:rsid w:val="000E0D95"/>
    <w:rsid w:val="000E0E1C"/>
    <w:rsid w:val="000E1254"/>
    <w:rsid w:val="000E1673"/>
    <w:rsid w:val="000E171A"/>
    <w:rsid w:val="000E1BBF"/>
    <w:rsid w:val="000E1D00"/>
    <w:rsid w:val="000E1EED"/>
    <w:rsid w:val="000E2200"/>
    <w:rsid w:val="000E2CCA"/>
    <w:rsid w:val="000E41AC"/>
    <w:rsid w:val="000E46ED"/>
    <w:rsid w:val="000E4B5E"/>
    <w:rsid w:val="000E4F6A"/>
    <w:rsid w:val="000E5068"/>
    <w:rsid w:val="000E59B2"/>
    <w:rsid w:val="000E5C60"/>
    <w:rsid w:val="000E5E31"/>
    <w:rsid w:val="000E66DE"/>
    <w:rsid w:val="000E678C"/>
    <w:rsid w:val="000E67E3"/>
    <w:rsid w:val="000E7EF1"/>
    <w:rsid w:val="000F0EA8"/>
    <w:rsid w:val="000F1992"/>
    <w:rsid w:val="000F1D03"/>
    <w:rsid w:val="000F1FEB"/>
    <w:rsid w:val="000F25E7"/>
    <w:rsid w:val="000F2D35"/>
    <w:rsid w:val="000F3330"/>
    <w:rsid w:val="000F3FD7"/>
    <w:rsid w:val="000F45AC"/>
    <w:rsid w:val="000F5285"/>
    <w:rsid w:val="000F5509"/>
    <w:rsid w:val="000F55D8"/>
    <w:rsid w:val="000F6C14"/>
    <w:rsid w:val="000F7558"/>
    <w:rsid w:val="000F7E74"/>
    <w:rsid w:val="000F7FA7"/>
    <w:rsid w:val="00100084"/>
    <w:rsid w:val="00101DAE"/>
    <w:rsid w:val="001020E8"/>
    <w:rsid w:val="00102144"/>
    <w:rsid w:val="0010216F"/>
    <w:rsid w:val="00102597"/>
    <w:rsid w:val="0010286A"/>
    <w:rsid w:val="00103164"/>
    <w:rsid w:val="0010333D"/>
    <w:rsid w:val="00103477"/>
    <w:rsid w:val="001036AA"/>
    <w:rsid w:val="001038EF"/>
    <w:rsid w:val="00103C50"/>
    <w:rsid w:val="001042B4"/>
    <w:rsid w:val="001048E8"/>
    <w:rsid w:val="00104B87"/>
    <w:rsid w:val="00104E4C"/>
    <w:rsid w:val="001051B8"/>
    <w:rsid w:val="0010532D"/>
    <w:rsid w:val="001054F7"/>
    <w:rsid w:val="00105C84"/>
    <w:rsid w:val="00106EAA"/>
    <w:rsid w:val="0010757A"/>
    <w:rsid w:val="00107BFC"/>
    <w:rsid w:val="00110C11"/>
    <w:rsid w:val="00110CAD"/>
    <w:rsid w:val="00111161"/>
    <w:rsid w:val="001112AB"/>
    <w:rsid w:val="001112AF"/>
    <w:rsid w:val="001113F6"/>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7DA"/>
    <w:rsid w:val="00114AF6"/>
    <w:rsid w:val="00115404"/>
    <w:rsid w:val="00115789"/>
    <w:rsid w:val="00115AE4"/>
    <w:rsid w:val="00115B00"/>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A02"/>
    <w:rsid w:val="00127B9A"/>
    <w:rsid w:val="0013021E"/>
    <w:rsid w:val="00130877"/>
    <w:rsid w:val="00130B8A"/>
    <w:rsid w:val="00130F73"/>
    <w:rsid w:val="00131BBD"/>
    <w:rsid w:val="00131D4F"/>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3F4"/>
    <w:rsid w:val="0013642E"/>
    <w:rsid w:val="001377A3"/>
    <w:rsid w:val="00137B6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882"/>
    <w:rsid w:val="00151A42"/>
    <w:rsid w:val="001521C5"/>
    <w:rsid w:val="0015239C"/>
    <w:rsid w:val="00153089"/>
    <w:rsid w:val="0015322E"/>
    <w:rsid w:val="00153317"/>
    <w:rsid w:val="00153451"/>
    <w:rsid w:val="001536E6"/>
    <w:rsid w:val="00153CC4"/>
    <w:rsid w:val="001545B8"/>
    <w:rsid w:val="00154AC5"/>
    <w:rsid w:val="00154EAA"/>
    <w:rsid w:val="00155421"/>
    <w:rsid w:val="00155742"/>
    <w:rsid w:val="00155EDC"/>
    <w:rsid w:val="0015609F"/>
    <w:rsid w:val="001560F9"/>
    <w:rsid w:val="001568B0"/>
    <w:rsid w:val="001569C5"/>
    <w:rsid w:val="00156C0D"/>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78E"/>
    <w:rsid w:val="00166A30"/>
    <w:rsid w:val="00167122"/>
    <w:rsid w:val="00167453"/>
    <w:rsid w:val="001676A5"/>
    <w:rsid w:val="00167856"/>
    <w:rsid w:val="00167872"/>
    <w:rsid w:val="00167954"/>
    <w:rsid w:val="00167C05"/>
    <w:rsid w:val="0017010E"/>
    <w:rsid w:val="001704DF"/>
    <w:rsid w:val="00170AE9"/>
    <w:rsid w:val="00170B86"/>
    <w:rsid w:val="00170F14"/>
    <w:rsid w:val="00171E7D"/>
    <w:rsid w:val="00172EE5"/>
    <w:rsid w:val="001730D3"/>
    <w:rsid w:val="00173254"/>
    <w:rsid w:val="00173595"/>
    <w:rsid w:val="00173A15"/>
    <w:rsid w:val="00173BF7"/>
    <w:rsid w:val="00173DA0"/>
    <w:rsid w:val="00174AF9"/>
    <w:rsid w:val="00174D04"/>
    <w:rsid w:val="001758BE"/>
    <w:rsid w:val="00175EE5"/>
    <w:rsid w:val="00175EEA"/>
    <w:rsid w:val="001760A5"/>
    <w:rsid w:val="00176A09"/>
    <w:rsid w:val="00176A4E"/>
    <w:rsid w:val="00176AAC"/>
    <w:rsid w:val="001778DD"/>
    <w:rsid w:val="00177A73"/>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4E4A"/>
    <w:rsid w:val="0018538D"/>
    <w:rsid w:val="00186210"/>
    <w:rsid w:val="001865ED"/>
    <w:rsid w:val="00186C25"/>
    <w:rsid w:val="00187076"/>
    <w:rsid w:val="00187BD8"/>
    <w:rsid w:val="00187C3A"/>
    <w:rsid w:val="001901C0"/>
    <w:rsid w:val="001903E9"/>
    <w:rsid w:val="00190E20"/>
    <w:rsid w:val="001913EE"/>
    <w:rsid w:val="00191A2B"/>
    <w:rsid w:val="00192026"/>
    <w:rsid w:val="001929E5"/>
    <w:rsid w:val="0019371F"/>
    <w:rsid w:val="00193C73"/>
    <w:rsid w:val="00194002"/>
    <w:rsid w:val="00194887"/>
    <w:rsid w:val="00194A58"/>
    <w:rsid w:val="00194E76"/>
    <w:rsid w:val="0019513D"/>
    <w:rsid w:val="00196277"/>
    <w:rsid w:val="00197242"/>
    <w:rsid w:val="00197259"/>
    <w:rsid w:val="00197CF2"/>
    <w:rsid w:val="001A00B7"/>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5F87"/>
    <w:rsid w:val="001A609F"/>
    <w:rsid w:val="001A6406"/>
    <w:rsid w:val="001A6598"/>
    <w:rsid w:val="001A6DD8"/>
    <w:rsid w:val="001A6EFA"/>
    <w:rsid w:val="001A749A"/>
    <w:rsid w:val="001A7A09"/>
    <w:rsid w:val="001A7A28"/>
    <w:rsid w:val="001A7C5F"/>
    <w:rsid w:val="001B08ED"/>
    <w:rsid w:val="001B09C1"/>
    <w:rsid w:val="001B140D"/>
    <w:rsid w:val="001B2679"/>
    <w:rsid w:val="001B36B4"/>
    <w:rsid w:val="001B3806"/>
    <w:rsid w:val="001B3B1B"/>
    <w:rsid w:val="001B418F"/>
    <w:rsid w:val="001B48DA"/>
    <w:rsid w:val="001B500F"/>
    <w:rsid w:val="001B5520"/>
    <w:rsid w:val="001B5871"/>
    <w:rsid w:val="001B59B6"/>
    <w:rsid w:val="001B59BA"/>
    <w:rsid w:val="001B5DE6"/>
    <w:rsid w:val="001B5EDA"/>
    <w:rsid w:val="001B69DC"/>
    <w:rsid w:val="001B745B"/>
    <w:rsid w:val="001B7965"/>
    <w:rsid w:val="001B7FC6"/>
    <w:rsid w:val="001C0510"/>
    <w:rsid w:val="001C057C"/>
    <w:rsid w:val="001C0A2D"/>
    <w:rsid w:val="001C0B66"/>
    <w:rsid w:val="001C0BD4"/>
    <w:rsid w:val="001C18EB"/>
    <w:rsid w:val="001C194E"/>
    <w:rsid w:val="001C213E"/>
    <w:rsid w:val="001C2666"/>
    <w:rsid w:val="001C2995"/>
    <w:rsid w:val="001C3261"/>
    <w:rsid w:val="001C414C"/>
    <w:rsid w:val="001C4855"/>
    <w:rsid w:val="001C4BBD"/>
    <w:rsid w:val="001C5A71"/>
    <w:rsid w:val="001C5C1A"/>
    <w:rsid w:val="001C600D"/>
    <w:rsid w:val="001C692F"/>
    <w:rsid w:val="001C6A56"/>
    <w:rsid w:val="001C6B70"/>
    <w:rsid w:val="001C6F5D"/>
    <w:rsid w:val="001C6FC4"/>
    <w:rsid w:val="001C77CF"/>
    <w:rsid w:val="001D0164"/>
    <w:rsid w:val="001D0F7C"/>
    <w:rsid w:val="001D16B2"/>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E02AA"/>
    <w:rsid w:val="001E046F"/>
    <w:rsid w:val="001E10D3"/>
    <w:rsid w:val="001E11D7"/>
    <w:rsid w:val="001E1843"/>
    <w:rsid w:val="001E1A58"/>
    <w:rsid w:val="001E2232"/>
    <w:rsid w:val="001E235C"/>
    <w:rsid w:val="001E25FC"/>
    <w:rsid w:val="001E3C47"/>
    <w:rsid w:val="001E3EFB"/>
    <w:rsid w:val="001E430A"/>
    <w:rsid w:val="001E45DE"/>
    <w:rsid w:val="001E49B5"/>
    <w:rsid w:val="001E4A42"/>
    <w:rsid w:val="001E4A7E"/>
    <w:rsid w:val="001E4EF0"/>
    <w:rsid w:val="001E52D9"/>
    <w:rsid w:val="001E56EC"/>
    <w:rsid w:val="001E589A"/>
    <w:rsid w:val="001E5C64"/>
    <w:rsid w:val="001E5E75"/>
    <w:rsid w:val="001E69F0"/>
    <w:rsid w:val="001E6E84"/>
    <w:rsid w:val="001E717D"/>
    <w:rsid w:val="001E718A"/>
    <w:rsid w:val="001F0D51"/>
    <w:rsid w:val="001F1F1B"/>
    <w:rsid w:val="001F2050"/>
    <w:rsid w:val="001F2093"/>
    <w:rsid w:val="001F2457"/>
    <w:rsid w:val="001F28AB"/>
    <w:rsid w:val="001F2AF8"/>
    <w:rsid w:val="001F2D7C"/>
    <w:rsid w:val="001F3C2C"/>
    <w:rsid w:val="001F4166"/>
    <w:rsid w:val="001F4948"/>
    <w:rsid w:val="001F4C5F"/>
    <w:rsid w:val="001F5068"/>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5250"/>
    <w:rsid w:val="00205819"/>
    <w:rsid w:val="00205935"/>
    <w:rsid w:val="00205C02"/>
    <w:rsid w:val="00206FC2"/>
    <w:rsid w:val="0020712F"/>
    <w:rsid w:val="002071AC"/>
    <w:rsid w:val="002073EB"/>
    <w:rsid w:val="002075B1"/>
    <w:rsid w:val="00207B33"/>
    <w:rsid w:val="00207E08"/>
    <w:rsid w:val="00210062"/>
    <w:rsid w:val="00210292"/>
    <w:rsid w:val="00210A04"/>
    <w:rsid w:val="00210BBC"/>
    <w:rsid w:val="0021127A"/>
    <w:rsid w:val="002112C3"/>
    <w:rsid w:val="002114D7"/>
    <w:rsid w:val="0021170D"/>
    <w:rsid w:val="002119CF"/>
    <w:rsid w:val="00211ACF"/>
    <w:rsid w:val="00211D57"/>
    <w:rsid w:val="0021312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204DF"/>
    <w:rsid w:val="00221334"/>
    <w:rsid w:val="00221811"/>
    <w:rsid w:val="00221A49"/>
    <w:rsid w:val="00221B9E"/>
    <w:rsid w:val="00221BA7"/>
    <w:rsid w:val="00221D88"/>
    <w:rsid w:val="00222640"/>
    <w:rsid w:val="002229A3"/>
    <w:rsid w:val="00223C9A"/>
    <w:rsid w:val="00224397"/>
    <w:rsid w:val="0022497B"/>
    <w:rsid w:val="00224AD0"/>
    <w:rsid w:val="00224FF3"/>
    <w:rsid w:val="0022504D"/>
    <w:rsid w:val="00225253"/>
    <w:rsid w:val="00225347"/>
    <w:rsid w:val="00225573"/>
    <w:rsid w:val="002257AA"/>
    <w:rsid w:val="0022593B"/>
    <w:rsid w:val="00225AA1"/>
    <w:rsid w:val="0022672B"/>
    <w:rsid w:val="002275A8"/>
    <w:rsid w:val="0022775B"/>
    <w:rsid w:val="00230B8F"/>
    <w:rsid w:val="0023119E"/>
    <w:rsid w:val="00231BC4"/>
    <w:rsid w:val="002321C2"/>
    <w:rsid w:val="00232970"/>
    <w:rsid w:val="00232AC4"/>
    <w:rsid w:val="00233400"/>
    <w:rsid w:val="002334E3"/>
    <w:rsid w:val="00233AE9"/>
    <w:rsid w:val="00233C8B"/>
    <w:rsid w:val="0023413F"/>
    <w:rsid w:val="00234CE8"/>
    <w:rsid w:val="00235367"/>
    <w:rsid w:val="00235706"/>
    <w:rsid w:val="00235DB8"/>
    <w:rsid w:val="00235E9F"/>
    <w:rsid w:val="00235F30"/>
    <w:rsid w:val="00236354"/>
    <w:rsid w:val="0023642E"/>
    <w:rsid w:val="002365F4"/>
    <w:rsid w:val="00236F52"/>
    <w:rsid w:val="0023717B"/>
    <w:rsid w:val="002372E4"/>
    <w:rsid w:val="00237808"/>
    <w:rsid w:val="00240369"/>
    <w:rsid w:val="0024046A"/>
    <w:rsid w:val="002408A7"/>
    <w:rsid w:val="00241078"/>
    <w:rsid w:val="002419F1"/>
    <w:rsid w:val="00241D4C"/>
    <w:rsid w:val="002423C0"/>
    <w:rsid w:val="002426D3"/>
    <w:rsid w:val="00242A96"/>
    <w:rsid w:val="00242FC1"/>
    <w:rsid w:val="00243342"/>
    <w:rsid w:val="0024392B"/>
    <w:rsid w:val="0024429C"/>
    <w:rsid w:val="0024431F"/>
    <w:rsid w:val="00244566"/>
    <w:rsid w:val="00244850"/>
    <w:rsid w:val="00244903"/>
    <w:rsid w:val="002449B2"/>
    <w:rsid w:val="00244A13"/>
    <w:rsid w:val="002453D9"/>
    <w:rsid w:val="0024549D"/>
    <w:rsid w:val="00246216"/>
    <w:rsid w:val="00246596"/>
    <w:rsid w:val="00246D3F"/>
    <w:rsid w:val="00247314"/>
    <w:rsid w:val="002475C7"/>
    <w:rsid w:val="00247CAE"/>
    <w:rsid w:val="00247DA4"/>
    <w:rsid w:val="002504C8"/>
    <w:rsid w:val="002505E5"/>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5D5E"/>
    <w:rsid w:val="002565EE"/>
    <w:rsid w:val="00256805"/>
    <w:rsid w:val="00256A79"/>
    <w:rsid w:val="00256CCE"/>
    <w:rsid w:val="00260410"/>
    <w:rsid w:val="00260B99"/>
    <w:rsid w:val="0026128B"/>
    <w:rsid w:val="00261545"/>
    <w:rsid w:val="00261D76"/>
    <w:rsid w:val="00261E2C"/>
    <w:rsid w:val="00261F0D"/>
    <w:rsid w:val="0026220A"/>
    <w:rsid w:val="002624CB"/>
    <w:rsid w:val="00262718"/>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686"/>
    <w:rsid w:val="00274892"/>
    <w:rsid w:val="00274D6C"/>
    <w:rsid w:val="00274D9C"/>
    <w:rsid w:val="00275507"/>
    <w:rsid w:val="00275560"/>
    <w:rsid w:val="002755EB"/>
    <w:rsid w:val="00275A1F"/>
    <w:rsid w:val="0027608F"/>
    <w:rsid w:val="00276312"/>
    <w:rsid w:val="00276468"/>
    <w:rsid w:val="00276DB8"/>
    <w:rsid w:val="00276DD8"/>
    <w:rsid w:val="002772A8"/>
    <w:rsid w:val="00277371"/>
    <w:rsid w:val="002773C6"/>
    <w:rsid w:val="002774D4"/>
    <w:rsid w:val="00277A7A"/>
    <w:rsid w:val="00277F56"/>
    <w:rsid w:val="002801CE"/>
    <w:rsid w:val="00280830"/>
    <w:rsid w:val="00281303"/>
    <w:rsid w:val="00282778"/>
    <w:rsid w:val="00282A05"/>
    <w:rsid w:val="00282F1A"/>
    <w:rsid w:val="0028312B"/>
    <w:rsid w:val="002831FF"/>
    <w:rsid w:val="002857EB"/>
    <w:rsid w:val="00285B49"/>
    <w:rsid w:val="0028650A"/>
    <w:rsid w:val="00286903"/>
    <w:rsid w:val="00286B3D"/>
    <w:rsid w:val="00286BE5"/>
    <w:rsid w:val="0028706D"/>
    <w:rsid w:val="00287A05"/>
    <w:rsid w:val="00290214"/>
    <w:rsid w:val="002906A4"/>
    <w:rsid w:val="0029276D"/>
    <w:rsid w:val="002927C5"/>
    <w:rsid w:val="00292AA3"/>
    <w:rsid w:val="00292FA2"/>
    <w:rsid w:val="00292FA8"/>
    <w:rsid w:val="002932DC"/>
    <w:rsid w:val="002935BB"/>
    <w:rsid w:val="002936D6"/>
    <w:rsid w:val="00293760"/>
    <w:rsid w:val="00293C1B"/>
    <w:rsid w:val="00294153"/>
    <w:rsid w:val="00294181"/>
    <w:rsid w:val="0029423F"/>
    <w:rsid w:val="00294473"/>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29C"/>
    <w:rsid w:val="002B02B0"/>
    <w:rsid w:val="002B0387"/>
    <w:rsid w:val="002B076C"/>
    <w:rsid w:val="002B1156"/>
    <w:rsid w:val="002B117B"/>
    <w:rsid w:val="002B14B8"/>
    <w:rsid w:val="002B1FFC"/>
    <w:rsid w:val="002B263D"/>
    <w:rsid w:val="002B2B25"/>
    <w:rsid w:val="002B384E"/>
    <w:rsid w:val="002B3BB4"/>
    <w:rsid w:val="002B3CD6"/>
    <w:rsid w:val="002B3D5A"/>
    <w:rsid w:val="002B43FC"/>
    <w:rsid w:val="002B4630"/>
    <w:rsid w:val="002B4B72"/>
    <w:rsid w:val="002B57FF"/>
    <w:rsid w:val="002B5A3B"/>
    <w:rsid w:val="002B5E8E"/>
    <w:rsid w:val="002B66F9"/>
    <w:rsid w:val="002B6715"/>
    <w:rsid w:val="002B698D"/>
    <w:rsid w:val="002B71AD"/>
    <w:rsid w:val="002B739C"/>
    <w:rsid w:val="002B7918"/>
    <w:rsid w:val="002B7B0B"/>
    <w:rsid w:val="002B7EA2"/>
    <w:rsid w:val="002C0167"/>
    <w:rsid w:val="002C0256"/>
    <w:rsid w:val="002C05DD"/>
    <w:rsid w:val="002C1334"/>
    <w:rsid w:val="002C18C0"/>
    <w:rsid w:val="002C1B6C"/>
    <w:rsid w:val="002C266A"/>
    <w:rsid w:val="002C2A26"/>
    <w:rsid w:val="002C2FA3"/>
    <w:rsid w:val="002C5170"/>
    <w:rsid w:val="002C5AA1"/>
    <w:rsid w:val="002C5DA9"/>
    <w:rsid w:val="002C607A"/>
    <w:rsid w:val="002C617B"/>
    <w:rsid w:val="002C659F"/>
    <w:rsid w:val="002C66CC"/>
    <w:rsid w:val="002C68AF"/>
    <w:rsid w:val="002C69F7"/>
    <w:rsid w:val="002C6C46"/>
    <w:rsid w:val="002C6E0F"/>
    <w:rsid w:val="002D0105"/>
    <w:rsid w:val="002D0971"/>
    <w:rsid w:val="002D09B9"/>
    <w:rsid w:val="002D121D"/>
    <w:rsid w:val="002D1CF1"/>
    <w:rsid w:val="002D1E20"/>
    <w:rsid w:val="002D2454"/>
    <w:rsid w:val="002D2E18"/>
    <w:rsid w:val="002D3141"/>
    <w:rsid w:val="002D365E"/>
    <w:rsid w:val="002D3800"/>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385"/>
    <w:rsid w:val="002D75F7"/>
    <w:rsid w:val="002D7E4B"/>
    <w:rsid w:val="002E0206"/>
    <w:rsid w:val="002E0391"/>
    <w:rsid w:val="002E06B4"/>
    <w:rsid w:val="002E0A74"/>
    <w:rsid w:val="002E0C2A"/>
    <w:rsid w:val="002E0EB6"/>
    <w:rsid w:val="002E13FF"/>
    <w:rsid w:val="002E1CF5"/>
    <w:rsid w:val="002E20BB"/>
    <w:rsid w:val="002E22F5"/>
    <w:rsid w:val="002E38C8"/>
    <w:rsid w:val="002E491B"/>
    <w:rsid w:val="002E4DE3"/>
    <w:rsid w:val="002E51CE"/>
    <w:rsid w:val="002E58EE"/>
    <w:rsid w:val="002E5BD6"/>
    <w:rsid w:val="002E6087"/>
    <w:rsid w:val="002E69F9"/>
    <w:rsid w:val="002E6A2B"/>
    <w:rsid w:val="002E6AE0"/>
    <w:rsid w:val="002E71D1"/>
    <w:rsid w:val="002E7779"/>
    <w:rsid w:val="002E77B3"/>
    <w:rsid w:val="002E7E60"/>
    <w:rsid w:val="002F0053"/>
    <w:rsid w:val="002F054C"/>
    <w:rsid w:val="002F09A8"/>
    <w:rsid w:val="002F0A21"/>
    <w:rsid w:val="002F12ED"/>
    <w:rsid w:val="002F1D70"/>
    <w:rsid w:val="002F1DE8"/>
    <w:rsid w:val="002F2093"/>
    <w:rsid w:val="002F260A"/>
    <w:rsid w:val="002F2613"/>
    <w:rsid w:val="002F398E"/>
    <w:rsid w:val="002F4D6B"/>
    <w:rsid w:val="002F4E88"/>
    <w:rsid w:val="002F519C"/>
    <w:rsid w:val="002F5C7B"/>
    <w:rsid w:val="002F63A9"/>
    <w:rsid w:val="002F653F"/>
    <w:rsid w:val="002F6663"/>
    <w:rsid w:val="002F6EE8"/>
    <w:rsid w:val="002F757F"/>
    <w:rsid w:val="002F7DD4"/>
    <w:rsid w:val="002F7E84"/>
    <w:rsid w:val="003000C0"/>
    <w:rsid w:val="00300254"/>
    <w:rsid w:val="00300891"/>
    <w:rsid w:val="00300CD0"/>
    <w:rsid w:val="00300F41"/>
    <w:rsid w:val="0030143A"/>
    <w:rsid w:val="003022AE"/>
    <w:rsid w:val="0030265A"/>
    <w:rsid w:val="00302CD4"/>
    <w:rsid w:val="00302FEE"/>
    <w:rsid w:val="003035E0"/>
    <w:rsid w:val="00303AB6"/>
    <w:rsid w:val="003040E8"/>
    <w:rsid w:val="00304746"/>
    <w:rsid w:val="003050F5"/>
    <w:rsid w:val="00305365"/>
    <w:rsid w:val="00305A89"/>
    <w:rsid w:val="00307107"/>
    <w:rsid w:val="00307188"/>
    <w:rsid w:val="003100C3"/>
    <w:rsid w:val="00310420"/>
    <w:rsid w:val="0031087D"/>
    <w:rsid w:val="0031090D"/>
    <w:rsid w:val="00310AD3"/>
    <w:rsid w:val="00310F34"/>
    <w:rsid w:val="00311547"/>
    <w:rsid w:val="003117DB"/>
    <w:rsid w:val="003119E6"/>
    <w:rsid w:val="00311AE4"/>
    <w:rsid w:val="00312405"/>
    <w:rsid w:val="0031267B"/>
    <w:rsid w:val="00312908"/>
    <w:rsid w:val="00312BC1"/>
    <w:rsid w:val="00312F51"/>
    <w:rsid w:val="00313961"/>
    <w:rsid w:val="00313DFD"/>
    <w:rsid w:val="003140C6"/>
    <w:rsid w:val="0031451B"/>
    <w:rsid w:val="00314863"/>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3AE"/>
    <w:rsid w:val="00321E3B"/>
    <w:rsid w:val="0032252F"/>
    <w:rsid w:val="003225D8"/>
    <w:rsid w:val="0032275C"/>
    <w:rsid w:val="00322CDF"/>
    <w:rsid w:val="00322D81"/>
    <w:rsid w:val="00322E71"/>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1241"/>
    <w:rsid w:val="00331E34"/>
    <w:rsid w:val="0033333F"/>
    <w:rsid w:val="003337F0"/>
    <w:rsid w:val="00333976"/>
    <w:rsid w:val="00333E2A"/>
    <w:rsid w:val="003341D1"/>
    <w:rsid w:val="00334461"/>
    <w:rsid w:val="0033448C"/>
    <w:rsid w:val="00334B4A"/>
    <w:rsid w:val="003352B8"/>
    <w:rsid w:val="00335697"/>
    <w:rsid w:val="003358EB"/>
    <w:rsid w:val="00335AB6"/>
    <w:rsid w:val="00335E4A"/>
    <w:rsid w:val="0033675A"/>
    <w:rsid w:val="003369BA"/>
    <w:rsid w:val="00336E03"/>
    <w:rsid w:val="0033754F"/>
    <w:rsid w:val="0034043E"/>
    <w:rsid w:val="00340742"/>
    <w:rsid w:val="00341238"/>
    <w:rsid w:val="003413CA"/>
    <w:rsid w:val="0034157F"/>
    <w:rsid w:val="003415CE"/>
    <w:rsid w:val="00341D09"/>
    <w:rsid w:val="00342553"/>
    <w:rsid w:val="00342746"/>
    <w:rsid w:val="00342A0D"/>
    <w:rsid w:val="00343656"/>
    <w:rsid w:val="003438F1"/>
    <w:rsid w:val="00343AD7"/>
    <w:rsid w:val="00344244"/>
    <w:rsid w:val="00344261"/>
    <w:rsid w:val="003442E9"/>
    <w:rsid w:val="00344344"/>
    <w:rsid w:val="003460DD"/>
    <w:rsid w:val="00346886"/>
    <w:rsid w:val="00346A41"/>
    <w:rsid w:val="003472FD"/>
    <w:rsid w:val="00347F1F"/>
    <w:rsid w:val="003504B9"/>
    <w:rsid w:val="003506AE"/>
    <w:rsid w:val="00350825"/>
    <w:rsid w:val="00351A8D"/>
    <w:rsid w:val="00351B40"/>
    <w:rsid w:val="00351DB0"/>
    <w:rsid w:val="00351F1E"/>
    <w:rsid w:val="00352018"/>
    <w:rsid w:val="003526E6"/>
    <w:rsid w:val="00352BFD"/>
    <w:rsid w:val="00353003"/>
    <w:rsid w:val="00353CF6"/>
    <w:rsid w:val="00354C75"/>
    <w:rsid w:val="00354CB2"/>
    <w:rsid w:val="003557AB"/>
    <w:rsid w:val="00355AD7"/>
    <w:rsid w:val="00356767"/>
    <w:rsid w:val="003567C1"/>
    <w:rsid w:val="00356B78"/>
    <w:rsid w:val="00356BD2"/>
    <w:rsid w:val="00356CDA"/>
    <w:rsid w:val="00356D80"/>
    <w:rsid w:val="003574B8"/>
    <w:rsid w:val="0035770D"/>
    <w:rsid w:val="003604DA"/>
    <w:rsid w:val="0036117C"/>
    <w:rsid w:val="003612A1"/>
    <w:rsid w:val="003615EC"/>
    <w:rsid w:val="0036160F"/>
    <w:rsid w:val="0036169A"/>
    <w:rsid w:val="00362324"/>
    <w:rsid w:val="003623F2"/>
    <w:rsid w:val="0036248C"/>
    <w:rsid w:val="00362A99"/>
    <w:rsid w:val="003630DE"/>
    <w:rsid w:val="003631DD"/>
    <w:rsid w:val="003632F2"/>
    <w:rsid w:val="003644A6"/>
    <w:rsid w:val="00364B9A"/>
    <w:rsid w:val="00365545"/>
    <w:rsid w:val="003662DE"/>
    <w:rsid w:val="00366364"/>
    <w:rsid w:val="003663ED"/>
    <w:rsid w:val="003664BA"/>
    <w:rsid w:val="003664DF"/>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7C5"/>
    <w:rsid w:val="00374F67"/>
    <w:rsid w:val="00375526"/>
    <w:rsid w:val="003757A2"/>
    <w:rsid w:val="00375837"/>
    <w:rsid w:val="00375B96"/>
    <w:rsid w:val="00375BDC"/>
    <w:rsid w:val="00375DDF"/>
    <w:rsid w:val="00376398"/>
    <w:rsid w:val="0037712C"/>
    <w:rsid w:val="00377677"/>
    <w:rsid w:val="00377CF1"/>
    <w:rsid w:val="00380114"/>
    <w:rsid w:val="00380555"/>
    <w:rsid w:val="0038093C"/>
    <w:rsid w:val="00380BBE"/>
    <w:rsid w:val="00380CB0"/>
    <w:rsid w:val="003811A8"/>
    <w:rsid w:val="003815F9"/>
    <w:rsid w:val="003816F4"/>
    <w:rsid w:val="003825EA"/>
    <w:rsid w:val="0038338C"/>
    <w:rsid w:val="0038350B"/>
    <w:rsid w:val="00383838"/>
    <w:rsid w:val="00383E1A"/>
    <w:rsid w:val="003848AB"/>
    <w:rsid w:val="00384A0F"/>
    <w:rsid w:val="00385767"/>
    <w:rsid w:val="00385BAD"/>
    <w:rsid w:val="0038600B"/>
    <w:rsid w:val="0038600D"/>
    <w:rsid w:val="003861BC"/>
    <w:rsid w:val="0038644C"/>
    <w:rsid w:val="00386BD3"/>
    <w:rsid w:val="00386F14"/>
    <w:rsid w:val="00386F71"/>
    <w:rsid w:val="00387649"/>
    <w:rsid w:val="003876FC"/>
    <w:rsid w:val="0038783E"/>
    <w:rsid w:val="003907FD"/>
    <w:rsid w:val="00390DC0"/>
    <w:rsid w:val="00390FBA"/>
    <w:rsid w:val="0039110E"/>
    <w:rsid w:val="00391296"/>
    <w:rsid w:val="0039154C"/>
    <w:rsid w:val="003922AC"/>
    <w:rsid w:val="00392436"/>
    <w:rsid w:val="003927A4"/>
    <w:rsid w:val="0039287F"/>
    <w:rsid w:val="00392A72"/>
    <w:rsid w:val="00392D84"/>
    <w:rsid w:val="00393C6D"/>
    <w:rsid w:val="00393F9E"/>
    <w:rsid w:val="0039414A"/>
    <w:rsid w:val="003948B4"/>
    <w:rsid w:val="00394AB0"/>
    <w:rsid w:val="00395676"/>
    <w:rsid w:val="0039586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9D3"/>
    <w:rsid w:val="003A1BC0"/>
    <w:rsid w:val="003A2756"/>
    <w:rsid w:val="003A30A0"/>
    <w:rsid w:val="003A372E"/>
    <w:rsid w:val="003A39B1"/>
    <w:rsid w:val="003A42C6"/>
    <w:rsid w:val="003A4D0C"/>
    <w:rsid w:val="003A4F80"/>
    <w:rsid w:val="003A5076"/>
    <w:rsid w:val="003A5234"/>
    <w:rsid w:val="003A530D"/>
    <w:rsid w:val="003A54DE"/>
    <w:rsid w:val="003A570B"/>
    <w:rsid w:val="003A5B83"/>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9E"/>
    <w:rsid w:val="003B47E8"/>
    <w:rsid w:val="003B4A57"/>
    <w:rsid w:val="003B4AE1"/>
    <w:rsid w:val="003B4D3E"/>
    <w:rsid w:val="003B54AD"/>
    <w:rsid w:val="003B5526"/>
    <w:rsid w:val="003B5654"/>
    <w:rsid w:val="003B58EA"/>
    <w:rsid w:val="003B5C0E"/>
    <w:rsid w:val="003B686D"/>
    <w:rsid w:val="003B699B"/>
    <w:rsid w:val="003B7121"/>
    <w:rsid w:val="003B712A"/>
    <w:rsid w:val="003B7AC0"/>
    <w:rsid w:val="003B7F50"/>
    <w:rsid w:val="003C01D4"/>
    <w:rsid w:val="003C0386"/>
    <w:rsid w:val="003C0CA1"/>
    <w:rsid w:val="003C0E62"/>
    <w:rsid w:val="003C12E5"/>
    <w:rsid w:val="003C1905"/>
    <w:rsid w:val="003C1A9C"/>
    <w:rsid w:val="003C22D8"/>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AC8"/>
    <w:rsid w:val="003D02C1"/>
    <w:rsid w:val="003D04BD"/>
    <w:rsid w:val="003D0551"/>
    <w:rsid w:val="003D0C27"/>
    <w:rsid w:val="003D1188"/>
    <w:rsid w:val="003D1C42"/>
    <w:rsid w:val="003D1E94"/>
    <w:rsid w:val="003D2CF7"/>
    <w:rsid w:val="003D2E69"/>
    <w:rsid w:val="003D304D"/>
    <w:rsid w:val="003D3372"/>
    <w:rsid w:val="003D3847"/>
    <w:rsid w:val="003D3EC7"/>
    <w:rsid w:val="003D3F0E"/>
    <w:rsid w:val="003D45DB"/>
    <w:rsid w:val="003D46E4"/>
    <w:rsid w:val="003D520E"/>
    <w:rsid w:val="003D5AC4"/>
    <w:rsid w:val="003D622D"/>
    <w:rsid w:val="003D7C95"/>
    <w:rsid w:val="003E058D"/>
    <w:rsid w:val="003E064D"/>
    <w:rsid w:val="003E08FD"/>
    <w:rsid w:val="003E09C4"/>
    <w:rsid w:val="003E1EF2"/>
    <w:rsid w:val="003E2844"/>
    <w:rsid w:val="003E3254"/>
    <w:rsid w:val="003E499F"/>
    <w:rsid w:val="003E49DE"/>
    <w:rsid w:val="003E4E9B"/>
    <w:rsid w:val="003E624D"/>
    <w:rsid w:val="003E62FB"/>
    <w:rsid w:val="003E6F96"/>
    <w:rsid w:val="003E71E5"/>
    <w:rsid w:val="003E7A42"/>
    <w:rsid w:val="003E7D74"/>
    <w:rsid w:val="003F0EA1"/>
    <w:rsid w:val="003F145E"/>
    <w:rsid w:val="003F195C"/>
    <w:rsid w:val="003F216B"/>
    <w:rsid w:val="003F22CC"/>
    <w:rsid w:val="003F23AF"/>
    <w:rsid w:val="003F2431"/>
    <w:rsid w:val="003F26DD"/>
    <w:rsid w:val="003F403B"/>
    <w:rsid w:val="003F41DC"/>
    <w:rsid w:val="003F43D3"/>
    <w:rsid w:val="003F4DCA"/>
    <w:rsid w:val="003F5FE2"/>
    <w:rsid w:val="003F643C"/>
    <w:rsid w:val="003F643D"/>
    <w:rsid w:val="003F6636"/>
    <w:rsid w:val="003F73E7"/>
    <w:rsid w:val="00400121"/>
    <w:rsid w:val="004010FD"/>
    <w:rsid w:val="00401578"/>
    <w:rsid w:val="0040160E"/>
    <w:rsid w:val="00401622"/>
    <w:rsid w:val="00401643"/>
    <w:rsid w:val="00401C68"/>
    <w:rsid w:val="00401D9B"/>
    <w:rsid w:val="0040219E"/>
    <w:rsid w:val="00402446"/>
    <w:rsid w:val="00402654"/>
    <w:rsid w:val="00402EEA"/>
    <w:rsid w:val="0040349B"/>
    <w:rsid w:val="0040399C"/>
    <w:rsid w:val="00403DC6"/>
    <w:rsid w:val="0040447B"/>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1C3"/>
    <w:rsid w:val="004116E3"/>
    <w:rsid w:val="00411C73"/>
    <w:rsid w:val="0041213C"/>
    <w:rsid w:val="00412465"/>
    <w:rsid w:val="00412A4B"/>
    <w:rsid w:val="004131B4"/>
    <w:rsid w:val="00413288"/>
    <w:rsid w:val="0041394A"/>
    <w:rsid w:val="00413A9C"/>
    <w:rsid w:val="00413BEF"/>
    <w:rsid w:val="00413D08"/>
    <w:rsid w:val="00413EA5"/>
    <w:rsid w:val="00413F7A"/>
    <w:rsid w:val="004140A2"/>
    <w:rsid w:val="004143DF"/>
    <w:rsid w:val="004145A1"/>
    <w:rsid w:val="004147E5"/>
    <w:rsid w:val="00414C29"/>
    <w:rsid w:val="00415250"/>
    <w:rsid w:val="0041567A"/>
    <w:rsid w:val="004156B3"/>
    <w:rsid w:val="00415B07"/>
    <w:rsid w:val="00415BED"/>
    <w:rsid w:val="0041616F"/>
    <w:rsid w:val="004167F1"/>
    <w:rsid w:val="00416819"/>
    <w:rsid w:val="00416DBD"/>
    <w:rsid w:val="004171BB"/>
    <w:rsid w:val="004173CA"/>
    <w:rsid w:val="0042027B"/>
    <w:rsid w:val="00420406"/>
    <w:rsid w:val="0042193F"/>
    <w:rsid w:val="004219F8"/>
    <w:rsid w:val="00421A16"/>
    <w:rsid w:val="00421FE0"/>
    <w:rsid w:val="004220EF"/>
    <w:rsid w:val="00422E23"/>
    <w:rsid w:val="0042324D"/>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EBF"/>
    <w:rsid w:val="00432EF9"/>
    <w:rsid w:val="00432F93"/>
    <w:rsid w:val="0043352A"/>
    <w:rsid w:val="00433E49"/>
    <w:rsid w:val="004345A1"/>
    <w:rsid w:val="00434621"/>
    <w:rsid w:val="00434B96"/>
    <w:rsid w:val="00434E00"/>
    <w:rsid w:val="00435018"/>
    <w:rsid w:val="004350CD"/>
    <w:rsid w:val="00435661"/>
    <w:rsid w:val="004358B5"/>
    <w:rsid w:val="00435A46"/>
    <w:rsid w:val="00436633"/>
    <w:rsid w:val="00437A1D"/>
    <w:rsid w:val="00437B0D"/>
    <w:rsid w:val="00437B61"/>
    <w:rsid w:val="00437E0D"/>
    <w:rsid w:val="00440CF3"/>
    <w:rsid w:val="00440E08"/>
    <w:rsid w:val="004414B3"/>
    <w:rsid w:val="00441B4B"/>
    <w:rsid w:val="00441D02"/>
    <w:rsid w:val="00441E5E"/>
    <w:rsid w:val="00442195"/>
    <w:rsid w:val="00442507"/>
    <w:rsid w:val="004432F0"/>
    <w:rsid w:val="004433A2"/>
    <w:rsid w:val="00443470"/>
    <w:rsid w:val="004434F4"/>
    <w:rsid w:val="0044439A"/>
    <w:rsid w:val="004445C7"/>
    <w:rsid w:val="00444752"/>
    <w:rsid w:val="00444C2E"/>
    <w:rsid w:val="0044508B"/>
    <w:rsid w:val="00445484"/>
    <w:rsid w:val="0044576B"/>
    <w:rsid w:val="004459D0"/>
    <w:rsid w:val="00445B2A"/>
    <w:rsid w:val="00445DC9"/>
    <w:rsid w:val="00446043"/>
    <w:rsid w:val="0044673B"/>
    <w:rsid w:val="00446C1D"/>
    <w:rsid w:val="00446C90"/>
    <w:rsid w:val="0044777D"/>
    <w:rsid w:val="004500BC"/>
    <w:rsid w:val="00450550"/>
    <w:rsid w:val="0045086F"/>
    <w:rsid w:val="00450AF2"/>
    <w:rsid w:val="00450AF6"/>
    <w:rsid w:val="0045139C"/>
    <w:rsid w:val="00451633"/>
    <w:rsid w:val="00451BCE"/>
    <w:rsid w:val="00451E38"/>
    <w:rsid w:val="0045201B"/>
    <w:rsid w:val="00452252"/>
    <w:rsid w:val="0045272C"/>
    <w:rsid w:val="00452786"/>
    <w:rsid w:val="004527DF"/>
    <w:rsid w:val="00452C51"/>
    <w:rsid w:val="00452CFE"/>
    <w:rsid w:val="0045307B"/>
    <w:rsid w:val="004534DA"/>
    <w:rsid w:val="00453D37"/>
    <w:rsid w:val="00454049"/>
    <w:rsid w:val="0045461D"/>
    <w:rsid w:val="004548C5"/>
    <w:rsid w:val="0045518C"/>
    <w:rsid w:val="00455D41"/>
    <w:rsid w:val="004565D7"/>
    <w:rsid w:val="00456714"/>
    <w:rsid w:val="00456E84"/>
    <w:rsid w:val="004574C1"/>
    <w:rsid w:val="00457FC5"/>
    <w:rsid w:val="0046027E"/>
    <w:rsid w:val="004602D7"/>
    <w:rsid w:val="004603C5"/>
    <w:rsid w:val="00460839"/>
    <w:rsid w:val="00460AE5"/>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418"/>
    <w:rsid w:val="0047255F"/>
    <w:rsid w:val="00472C94"/>
    <w:rsid w:val="00472DD5"/>
    <w:rsid w:val="004731ED"/>
    <w:rsid w:val="00473719"/>
    <w:rsid w:val="00473B2C"/>
    <w:rsid w:val="00474415"/>
    <w:rsid w:val="00474632"/>
    <w:rsid w:val="0047487E"/>
    <w:rsid w:val="004748C4"/>
    <w:rsid w:val="00474D1B"/>
    <w:rsid w:val="004750FA"/>
    <w:rsid w:val="004753BB"/>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1515"/>
    <w:rsid w:val="00481715"/>
    <w:rsid w:val="004832D1"/>
    <w:rsid w:val="004850C8"/>
    <w:rsid w:val="004852D3"/>
    <w:rsid w:val="00485A1A"/>
    <w:rsid w:val="00485A7A"/>
    <w:rsid w:val="0048656D"/>
    <w:rsid w:val="0048659D"/>
    <w:rsid w:val="00486786"/>
    <w:rsid w:val="0048738F"/>
    <w:rsid w:val="004901C6"/>
    <w:rsid w:val="004916B5"/>
    <w:rsid w:val="004916F9"/>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068E"/>
    <w:rsid w:val="004A12FC"/>
    <w:rsid w:val="004A1629"/>
    <w:rsid w:val="004A1641"/>
    <w:rsid w:val="004A1B9B"/>
    <w:rsid w:val="004A21EA"/>
    <w:rsid w:val="004A2358"/>
    <w:rsid w:val="004A2B06"/>
    <w:rsid w:val="004A35E5"/>
    <w:rsid w:val="004A3645"/>
    <w:rsid w:val="004A36C9"/>
    <w:rsid w:val="004A3AFE"/>
    <w:rsid w:val="004A3E15"/>
    <w:rsid w:val="004A3EAE"/>
    <w:rsid w:val="004A3FEC"/>
    <w:rsid w:val="004A4095"/>
    <w:rsid w:val="004A4550"/>
    <w:rsid w:val="004A4E27"/>
    <w:rsid w:val="004A5016"/>
    <w:rsid w:val="004A551A"/>
    <w:rsid w:val="004A5CD2"/>
    <w:rsid w:val="004A62C1"/>
    <w:rsid w:val="004A6396"/>
    <w:rsid w:val="004A6AB1"/>
    <w:rsid w:val="004A7366"/>
    <w:rsid w:val="004A77D8"/>
    <w:rsid w:val="004A7C42"/>
    <w:rsid w:val="004A7DBC"/>
    <w:rsid w:val="004B046A"/>
    <w:rsid w:val="004B10AA"/>
    <w:rsid w:val="004B1476"/>
    <w:rsid w:val="004B1873"/>
    <w:rsid w:val="004B1B0B"/>
    <w:rsid w:val="004B1F33"/>
    <w:rsid w:val="004B1FCF"/>
    <w:rsid w:val="004B291F"/>
    <w:rsid w:val="004B2B02"/>
    <w:rsid w:val="004B2FA4"/>
    <w:rsid w:val="004B3636"/>
    <w:rsid w:val="004B3759"/>
    <w:rsid w:val="004B3CFE"/>
    <w:rsid w:val="004B4312"/>
    <w:rsid w:val="004B5001"/>
    <w:rsid w:val="004B535E"/>
    <w:rsid w:val="004B5624"/>
    <w:rsid w:val="004B5710"/>
    <w:rsid w:val="004B5720"/>
    <w:rsid w:val="004B5E14"/>
    <w:rsid w:val="004B60BD"/>
    <w:rsid w:val="004B62B5"/>
    <w:rsid w:val="004B6687"/>
    <w:rsid w:val="004B6807"/>
    <w:rsid w:val="004B6E4E"/>
    <w:rsid w:val="004B725D"/>
    <w:rsid w:val="004B7CAF"/>
    <w:rsid w:val="004B7D5A"/>
    <w:rsid w:val="004B7E2C"/>
    <w:rsid w:val="004C05A7"/>
    <w:rsid w:val="004C08BA"/>
    <w:rsid w:val="004C0EF4"/>
    <w:rsid w:val="004C145B"/>
    <w:rsid w:val="004C15E1"/>
    <w:rsid w:val="004C1909"/>
    <w:rsid w:val="004C25CC"/>
    <w:rsid w:val="004C2D72"/>
    <w:rsid w:val="004C36C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24E5"/>
    <w:rsid w:val="004D25D5"/>
    <w:rsid w:val="004D274D"/>
    <w:rsid w:val="004D2C75"/>
    <w:rsid w:val="004D33CD"/>
    <w:rsid w:val="004D351B"/>
    <w:rsid w:val="004D38D0"/>
    <w:rsid w:val="004D405F"/>
    <w:rsid w:val="004D414E"/>
    <w:rsid w:val="004D43C9"/>
    <w:rsid w:val="004D4557"/>
    <w:rsid w:val="004D4931"/>
    <w:rsid w:val="004D4B57"/>
    <w:rsid w:val="004D5252"/>
    <w:rsid w:val="004D553E"/>
    <w:rsid w:val="004D5778"/>
    <w:rsid w:val="004D593C"/>
    <w:rsid w:val="004D5EF2"/>
    <w:rsid w:val="004D6008"/>
    <w:rsid w:val="004D7AA7"/>
    <w:rsid w:val="004D7D1A"/>
    <w:rsid w:val="004D7DC3"/>
    <w:rsid w:val="004E0336"/>
    <w:rsid w:val="004E07E9"/>
    <w:rsid w:val="004E0EA4"/>
    <w:rsid w:val="004E105E"/>
    <w:rsid w:val="004E140D"/>
    <w:rsid w:val="004E1D71"/>
    <w:rsid w:val="004E235D"/>
    <w:rsid w:val="004E258F"/>
    <w:rsid w:val="004E2F6C"/>
    <w:rsid w:val="004E3817"/>
    <w:rsid w:val="004E4065"/>
    <w:rsid w:val="004E4435"/>
    <w:rsid w:val="004E4B1E"/>
    <w:rsid w:val="004E4C99"/>
    <w:rsid w:val="004E4E4C"/>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37A"/>
    <w:rsid w:val="004F147E"/>
    <w:rsid w:val="004F1D33"/>
    <w:rsid w:val="004F208F"/>
    <w:rsid w:val="004F2C0F"/>
    <w:rsid w:val="004F2D85"/>
    <w:rsid w:val="004F35AF"/>
    <w:rsid w:val="004F38AE"/>
    <w:rsid w:val="004F3AF9"/>
    <w:rsid w:val="004F3D43"/>
    <w:rsid w:val="004F523D"/>
    <w:rsid w:val="004F53AD"/>
    <w:rsid w:val="004F55EC"/>
    <w:rsid w:val="004F5813"/>
    <w:rsid w:val="004F58FE"/>
    <w:rsid w:val="004F6081"/>
    <w:rsid w:val="004F67ED"/>
    <w:rsid w:val="004F6823"/>
    <w:rsid w:val="004F6A38"/>
    <w:rsid w:val="004F721E"/>
    <w:rsid w:val="004F7FE5"/>
    <w:rsid w:val="00500C8D"/>
    <w:rsid w:val="005010E8"/>
    <w:rsid w:val="00501738"/>
    <w:rsid w:val="005017E2"/>
    <w:rsid w:val="00501D89"/>
    <w:rsid w:val="0050213E"/>
    <w:rsid w:val="00502294"/>
    <w:rsid w:val="00502422"/>
    <w:rsid w:val="005026EC"/>
    <w:rsid w:val="00502BC6"/>
    <w:rsid w:val="00503A5F"/>
    <w:rsid w:val="00503AAD"/>
    <w:rsid w:val="00503F0E"/>
    <w:rsid w:val="00504772"/>
    <w:rsid w:val="00504AB7"/>
    <w:rsid w:val="00504B8E"/>
    <w:rsid w:val="00504CA1"/>
    <w:rsid w:val="005050F0"/>
    <w:rsid w:val="005058BD"/>
    <w:rsid w:val="00505AC0"/>
    <w:rsid w:val="00505B86"/>
    <w:rsid w:val="00505FFD"/>
    <w:rsid w:val="00506111"/>
    <w:rsid w:val="005064E9"/>
    <w:rsid w:val="0050673E"/>
    <w:rsid w:val="005069FF"/>
    <w:rsid w:val="00506E74"/>
    <w:rsid w:val="00506FCF"/>
    <w:rsid w:val="00507AE5"/>
    <w:rsid w:val="00507CAD"/>
    <w:rsid w:val="00510068"/>
    <w:rsid w:val="0051053F"/>
    <w:rsid w:val="0051097C"/>
    <w:rsid w:val="00511140"/>
    <w:rsid w:val="0051132F"/>
    <w:rsid w:val="0051147A"/>
    <w:rsid w:val="00513D10"/>
    <w:rsid w:val="0051601C"/>
    <w:rsid w:val="005164E5"/>
    <w:rsid w:val="00516634"/>
    <w:rsid w:val="005166D3"/>
    <w:rsid w:val="00517983"/>
    <w:rsid w:val="00517B1C"/>
    <w:rsid w:val="00517B3F"/>
    <w:rsid w:val="00517B4C"/>
    <w:rsid w:val="00517F98"/>
    <w:rsid w:val="0052074E"/>
    <w:rsid w:val="00521053"/>
    <w:rsid w:val="0052236D"/>
    <w:rsid w:val="00522411"/>
    <w:rsid w:val="00522537"/>
    <w:rsid w:val="0052298D"/>
    <w:rsid w:val="00522A7B"/>
    <w:rsid w:val="00522E2D"/>
    <w:rsid w:val="00523907"/>
    <w:rsid w:val="00525CEB"/>
    <w:rsid w:val="00525E21"/>
    <w:rsid w:val="00526354"/>
    <w:rsid w:val="0052659A"/>
    <w:rsid w:val="00526C05"/>
    <w:rsid w:val="00526FD3"/>
    <w:rsid w:val="0052767E"/>
    <w:rsid w:val="00530066"/>
    <w:rsid w:val="005300D9"/>
    <w:rsid w:val="005302C7"/>
    <w:rsid w:val="00530929"/>
    <w:rsid w:val="005311EC"/>
    <w:rsid w:val="005313C5"/>
    <w:rsid w:val="0053147C"/>
    <w:rsid w:val="0053162F"/>
    <w:rsid w:val="00533921"/>
    <w:rsid w:val="00534094"/>
    <w:rsid w:val="00534281"/>
    <w:rsid w:val="00535005"/>
    <w:rsid w:val="0053506F"/>
    <w:rsid w:val="005362A6"/>
    <w:rsid w:val="0053658B"/>
    <w:rsid w:val="00536595"/>
    <w:rsid w:val="00536E04"/>
    <w:rsid w:val="00537C22"/>
    <w:rsid w:val="00540085"/>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F14"/>
    <w:rsid w:val="0054408E"/>
    <w:rsid w:val="005449EA"/>
    <w:rsid w:val="005453A8"/>
    <w:rsid w:val="00545538"/>
    <w:rsid w:val="005459D8"/>
    <w:rsid w:val="00545B85"/>
    <w:rsid w:val="00545CEA"/>
    <w:rsid w:val="00545FAC"/>
    <w:rsid w:val="005462BE"/>
    <w:rsid w:val="00546370"/>
    <w:rsid w:val="0054666E"/>
    <w:rsid w:val="00546AE3"/>
    <w:rsid w:val="0054708E"/>
    <w:rsid w:val="00547170"/>
    <w:rsid w:val="005474A0"/>
    <w:rsid w:val="00547BF8"/>
    <w:rsid w:val="00547D4C"/>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5C4"/>
    <w:rsid w:val="00555D17"/>
    <w:rsid w:val="00556799"/>
    <w:rsid w:val="00556DCD"/>
    <w:rsid w:val="00557A0A"/>
    <w:rsid w:val="00557A9A"/>
    <w:rsid w:val="00557EDA"/>
    <w:rsid w:val="00560438"/>
    <w:rsid w:val="00560A33"/>
    <w:rsid w:val="00560DB8"/>
    <w:rsid w:val="00561D63"/>
    <w:rsid w:val="0056261C"/>
    <w:rsid w:val="0056287E"/>
    <w:rsid w:val="00562BC1"/>
    <w:rsid w:val="0056547C"/>
    <w:rsid w:val="005656F0"/>
    <w:rsid w:val="00566658"/>
    <w:rsid w:val="00567784"/>
    <w:rsid w:val="00567E90"/>
    <w:rsid w:val="00567F0D"/>
    <w:rsid w:val="00570402"/>
    <w:rsid w:val="0057078F"/>
    <w:rsid w:val="005710B8"/>
    <w:rsid w:val="00571BE4"/>
    <w:rsid w:val="00571D7C"/>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AED"/>
    <w:rsid w:val="005813B5"/>
    <w:rsid w:val="005818F3"/>
    <w:rsid w:val="00581BF0"/>
    <w:rsid w:val="00582F27"/>
    <w:rsid w:val="00583102"/>
    <w:rsid w:val="00583BFD"/>
    <w:rsid w:val="00584078"/>
    <w:rsid w:val="0058415D"/>
    <w:rsid w:val="00584698"/>
    <w:rsid w:val="005846A0"/>
    <w:rsid w:val="00584CED"/>
    <w:rsid w:val="00584D31"/>
    <w:rsid w:val="00584EBD"/>
    <w:rsid w:val="00584ED7"/>
    <w:rsid w:val="00584F09"/>
    <w:rsid w:val="00584F20"/>
    <w:rsid w:val="00585235"/>
    <w:rsid w:val="00586153"/>
    <w:rsid w:val="005866A7"/>
    <w:rsid w:val="00590133"/>
    <w:rsid w:val="00590315"/>
    <w:rsid w:val="005908BB"/>
    <w:rsid w:val="00591B5A"/>
    <w:rsid w:val="00591DB3"/>
    <w:rsid w:val="005922A9"/>
    <w:rsid w:val="00592900"/>
    <w:rsid w:val="00592E0A"/>
    <w:rsid w:val="00593149"/>
    <w:rsid w:val="00593633"/>
    <w:rsid w:val="005937BF"/>
    <w:rsid w:val="00595286"/>
    <w:rsid w:val="00595287"/>
    <w:rsid w:val="00596015"/>
    <w:rsid w:val="00596AAA"/>
    <w:rsid w:val="005977D7"/>
    <w:rsid w:val="00597BB6"/>
    <w:rsid w:val="005A0002"/>
    <w:rsid w:val="005A0309"/>
    <w:rsid w:val="005A05FA"/>
    <w:rsid w:val="005A0D27"/>
    <w:rsid w:val="005A0E8D"/>
    <w:rsid w:val="005A15C6"/>
    <w:rsid w:val="005A1ECC"/>
    <w:rsid w:val="005A1F8F"/>
    <w:rsid w:val="005A28B4"/>
    <w:rsid w:val="005A32A9"/>
    <w:rsid w:val="005A3ED3"/>
    <w:rsid w:val="005A40B6"/>
    <w:rsid w:val="005A47D4"/>
    <w:rsid w:val="005A48C1"/>
    <w:rsid w:val="005A4C64"/>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EBF"/>
    <w:rsid w:val="005B2EEA"/>
    <w:rsid w:val="005B354C"/>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1C43"/>
    <w:rsid w:val="005C2622"/>
    <w:rsid w:val="005C267F"/>
    <w:rsid w:val="005C28D7"/>
    <w:rsid w:val="005C2CE2"/>
    <w:rsid w:val="005C3679"/>
    <w:rsid w:val="005C3978"/>
    <w:rsid w:val="005C3A39"/>
    <w:rsid w:val="005C46B2"/>
    <w:rsid w:val="005C4AD2"/>
    <w:rsid w:val="005C5255"/>
    <w:rsid w:val="005C547E"/>
    <w:rsid w:val="005C5D44"/>
    <w:rsid w:val="005C5E75"/>
    <w:rsid w:val="005C5F87"/>
    <w:rsid w:val="005C6982"/>
    <w:rsid w:val="005C69C1"/>
    <w:rsid w:val="005C74AD"/>
    <w:rsid w:val="005C7684"/>
    <w:rsid w:val="005C7AC8"/>
    <w:rsid w:val="005D006D"/>
    <w:rsid w:val="005D00A3"/>
    <w:rsid w:val="005D05CF"/>
    <w:rsid w:val="005D07F9"/>
    <w:rsid w:val="005D1087"/>
    <w:rsid w:val="005D1AAD"/>
    <w:rsid w:val="005D1CF8"/>
    <w:rsid w:val="005D1F0F"/>
    <w:rsid w:val="005D1FFA"/>
    <w:rsid w:val="005D226D"/>
    <w:rsid w:val="005D2651"/>
    <w:rsid w:val="005D2A6F"/>
    <w:rsid w:val="005D2EAB"/>
    <w:rsid w:val="005D3920"/>
    <w:rsid w:val="005D3C3D"/>
    <w:rsid w:val="005D425F"/>
    <w:rsid w:val="005D48ED"/>
    <w:rsid w:val="005D49FE"/>
    <w:rsid w:val="005D4A84"/>
    <w:rsid w:val="005D5196"/>
    <w:rsid w:val="005D54C6"/>
    <w:rsid w:val="005D54E1"/>
    <w:rsid w:val="005D5710"/>
    <w:rsid w:val="005D59E4"/>
    <w:rsid w:val="005D6339"/>
    <w:rsid w:val="005D69A8"/>
    <w:rsid w:val="005D6AD3"/>
    <w:rsid w:val="005D6BB2"/>
    <w:rsid w:val="005D7C73"/>
    <w:rsid w:val="005E07A2"/>
    <w:rsid w:val="005E164C"/>
    <w:rsid w:val="005E1724"/>
    <w:rsid w:val="005E1897"/>
    <w:rsid w:val="005E1AEE"/>
    <w:rsid w:val="005E1B4D"/>
    <w:rsid w:val="005E35DD"/>
    <w:rsid w:val="005E35E8"/>
    <w:rsid w:val="005E4078"/>
    <w:rsid w:val="005E41E6"/>
    <w:rsid w:val="005E41F4"/>
    <w:rsid w:val="005E45E9"/>
    <w:rsid w:val="005E5061"/>
    <w:rsid w:val="005E5242"/>
    <w:rsid w:val="005E5BBF"/>
    <w:rsid w:val="005E5CA2"/>
    <w:rsid w:val="005E5D41"/>
    <w:rsid w:val="005E5FA5"/>
    <w:rsid w:val="005E6F3C"/>
    <w:rsid w:val="005E74E3"/>
    <w:rsid w:val="005E7627"/>
    <w:rsid w:val="005E7A12"/>
    <w:rsid w:val="005E7D02"/>
    <w:rsid w:val="005E7EE0"/>
    <w:rsid w:val="005F0604"/>
    <w:rsid w:val="005F0AA2"/>
    <w:rsid w:val="005F0E47"/>
    <w:rsid w:val="005F0EBA"/>
    <w:rsid w:val="005F1312"/>
    <w:rsid w:val="005F18F1"/>
    <w:rsid w:val="005F1DEF"/>
    <w:rsid w:val="005F207D"/>
    <w:rsid w:val="005F2238"/>
    <w:rsid w:val="005F2B17"/>
    <w:rsid w:val="005F344B"/>
    <w:rsid w:val="005F3FA4"/>
    <w:rsid w:val="005F5070"/>
    <w:rsid w:val="005F5593"/>
    <w:rsid w:val="005F61DC"/>
    <w:rsid w:val="005F65D2"/>
    <w:rsid w:val="005F6918"/>
    <w:rsid w:val="005F6C25"/>
    <w:rsid w:val="005F6C4F"/>
    <w:rsid w:val="005F6CCE"/>
    <w:rsid w:val="005F6D93"/>
    <w:rsid w:val="005F7157"/>
    <w:rsid w:val="005F73BE"/>
    <w:rsid w:val="005F7F35"/>
    <w:rsid w:val="005F7FE9"/>
    <w:rsid w:val="0060138E"/>
    <w:rsid w:val="006016F2"/>
    <w:rsid w:val="00601BE8"/>
    <w:rsid w:val="006030CF"/>
    <w:rsid w:val="00603336"/>
    <w:rsid w:val="0060347E"/>
    <w:rsid w:val="006037A1"/>
    <w:rsid w:val="00603836"/>
    <w:rsid w:val="00603F74"/>
    <w:rsid w:val="00604AD6"/>
    <w:rsid w:val="00605F7C"/>
    <w:rsid w:val="00607048"/>
    <w:rsid w:val="0060716D"/>
    <w:rsid w:val="006073E9"/>
    <w:rsid w:val="006077F9"/>
    <w:rsid w:val="00607903"/>
    <w:rsid w:val="00607B7C"/>
    <w:rsid w:val="00607CD1"/>
    <w:rsid w:val="0061018C"/>
    <w:rsid w:val="006104C3"/>
    <w:rsid w:val="006109BF"/>
    <w:rsid w:val="00611110"/>
    <w:rsid w:val="00611DFF"/>
    <w:rsid w:val="00611E31"/>
    <w:rsid w:val="0061223E"/>
    <w:rsid w:val="006123EC"/>
    <w:rsid w:val="00612D47"/>
    <w:rsid w:val="0061308D"/>
    <w:rsid w:val="006137BF"/>
    <w:rsid w:val="00613AE0"/>
    <w:rsid w:val="00613B91"/>
    <w:rsid w:val="00613F06"/>
    <w:rsid w:val="00613FA1"/>
    <w:rsid w:val="00614085"/>
    <w:rsid w:val="006142D0"/>
    <w:rsid w:val="006143C4"/>
    <w:rsid w:val="0061498D"/>
    <w:rsid w:val="00614C47"/>
    <w:rsid w:val="00615178"/>
    <w:rsid w:val="00615835"/>
    <w:rsid w:val="00616729"/>
    <w:rsid w:val="006168DA"/>
    <w:rsid w:val="00616AF1"/>
    <w:rsid w:val="00616D83"/>
    <w:rsid w:val="00617A4A"/>
    <w:rsid w:val="00617AE4"/>
    <w:rsid w:val="00617C41"/>
    <w:rsid w:val="00620388"/>
    <w:rsid w:val="00620A7D"/>
    <w:rsid w:val="00620ED1"/>
    <w:rsid w:val="00620F86"/>
    <w:rsid w:val="006219B8"/>
    <w:rsid w:val="00621C10"/>
    <w:rsid w:val="006222CC"/>
    <w:rsid w:val="006222DC"/>
    <w:rsid w:val="0062236E"/>
    <w:rsid w:val="006223E4"/>
    <w:rsid w:val="00622F51"/>
    <w:rsid w:val="006235FD"/>
    <w:rsid w:val="0062414A"/>
    <w:rsid w:val="00624B03"/>
    <w:rsid w:val="00625875"/>
    <w:rsid w:val="00625FA6"/>
    <w:rsid w:val="006263EC"/>
    <w:rsid w:val="006267D1"/>
    <w:rsid w:val="006269E9"/>
    <w:rsid w:val="006270C3"/>
    <w:rsid w:val="0062748A"/>
    <w:rsid w:val="00627D06"/>
    <w:rsid w:val="00630DD6"/>
    <w:rsid w:val="0063109A"/>
    <w:rsid w:val="00631BB8"/>
    <w:rsid w:val="00631D48"/>
    <w:rsid w:val="00631DDC"/>
    <w:rsid w:val="00631EB4"/>
    <w:rsid w:val="00632313"/>
    <w:rsid w:val="00632772"/>
    <w:rsid w:val="006327DF"/>
    <w:rsid w:val="00632A4C"/>
    <w:rsid w:val="00632D31"/>
    <w:rsid w:val="006334D1"/>
    <w:rsid w:val="00633BB0"/>
    <w:rsid w:val="00633F9E"/>
    <w:rsid w:val="00634D79"/>
    <w:rsid w:val="0063501E"/>
    <w:rsid w:val="006350CD"/>
    <w:rsid w:val="0063541B"/>
    <w:rsid w:val="006358E1"/>
    <w:rsid w:val="00635F76"/>
    <w:rsid w:val="00636605"/>
    <w:rsid w:val="00636963"/>
    <w:rsid w:val="00637266"/>
    <w:rsid w:val="006374B6"/>
    <w:rsid w:val="00637724"/>
    <w:rsid w:val="006377CF"/>
    <w:rsid w:val="00640553"/>
    <w:rsid w:val="00640620"/>
    <w:rsid w:val="00641667"/>
    <w:rsid w:val="00641B30"/>
    <w:rsid w:val="00641CD7"/>
    <w:rsid w:val="00642C50"/>
    <w:rsid w:val="00642EB8"/>
    <w:rsid w:val="00643164"/>
    <w:rsid w:val="0064339B"/>
    <w:rsid w:val="006436D9"/>
    <w:rsid w:val="00643D59"/>
    <w:rsid w:val="00644BBB"/>
    <w:rsid w:val="00644F8F"/>
    <w:rsid w:val="0064511A"/>
    <w:rsid w:val="00645123"/>
    <w:rsid w:val="00645295"/>
    <w:rsid w:val="0064534C"/>
    <w:rsid w:val="0064538C"/>
    <w:rsid w:val="00645878"/>
    <w:rsid w:val="00645FE7"/>
    <w:rsid w:val="006461D7"/>
    <w:rsid w:val="0064676B"/>
    <w:rsid w:val="006469DA"/>
    <w:rsid w:val="00646B8E"/>
    <w:rsid w:val="00646E2E"/>
    <w:rsid w:val="006471AF"/>
    <w:rsid w:val="0064754C"/>
    <w:rsid w:val="006479F8"/>
    <w:rsid w:val="006501AD"/>
    <w:rsid w:val="00650784"/>
    <w:rsid w:val="00650E72"/>
    <w:rsid w:val="006510B4"/>
    <w:rsid w:val="00651581"/>
    <w:rsid w:val="00651721"/>
    <w:rsid w:val="0065191A"/>
    <w:rsid w:val="00651C3C"/>
    <w:rsid w:val="00652160"/>
    <w:rsid w:val="00652238"/>
    <w:rsid w:val="00652441"/>
    <w:rsid w:val="00652551"/>
    <w:rsid w:val="00652612"/>
    <w:rsid w:val="0065265C"/>
    <w:rsid w:val="00652D20"/>
    <w:rsid w:val="00653044"/>
    <w:rsid w:val="006531CB"/>
    <w:rsid w:val="00653629"/>
    <w:rsid w:val="00653A4C"/>
    <w:rsid w:val="00653BDA"/>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072F"/>
    <w:rsid w:val="00660F74"/>
    <w:rsid w:val="0066122C"/>
    <w:rsid w:val="006628B4"/>
    <w:rsid w:val="006628D6"/>
    <w:rsid w:val="006629F3"/>
    <w:rsid w:val="00662C5C"/>
    <w:rsid w:val="00663089"/>
    <w:rsid w:val="00663201"/>
    <w:rsid w:val="0066369E"/>
    <w:rsid w:val="00664067"/>
    <w:rsid w:val="0066489B"/>
    <w:rsid w:val="006648CF"/>
    <w:rsid w:val="006650F3"/>
    <w:rsid w:val="006654DD"/>
    <w:rsid w:val="00665815"/>
    <w:rsid w:val="00665BB5"/>
    <w:rsid w:val="00665CBB"/>
    <w:rsid w:val="006662C4"/>
    <w:rsid w:val="006665D8"/>
    <w:rsid w:val="00666A66"/>
    <w:rsid w:val="00667656"/>
    <w:rsid w:val="00667A27"/>
    <w:rsid w:val="00670C87"/>
    <w:rsid w:val="00670FA5"/>
    <w:rsid w:val="006711D0"/>
    <w:rsid w:val="006714C3"/>
    <w:rsid w:val="00671B7C"/>
    <w:rsid w:val="00671BDC"/>
    <w:rsid w:val="00672E0E"/>
    <w:rsid w:val="00672FFD"/>
    <w:rsid w:val="0067398C"/>
    <w:rsid w:val="00673C84"/>
    <w:rsid w:val="006742CD"/>
    <w:rsid w:val="00674372"/>
    <w:rsid w:val="00674443"/>
    <w:rsid w:val="006745D8"/>
    <w:rsid w:val="00674F10"/>
    <w:rsid w:val="006752EA"/>
    <w:rsid w:val="00675B5C"/>
    <w:rsid w:val="00675FBF"/>
    <w:rsid w:val="00677004"/>
    <w:rsid w:val="006803D7"/>
    <w:rsid w:val="00680BB4"/>
    <w:rsid w:val="0068138A"/>
    <w:rsid w:val="0068144C"/>
    <w:rsid w:val="00682B4C"/>
    <w:rsid w:val="00682CCD"/>
    <w:rsid w:val="00682E75"/>
    <w:rsid w:val="00683738"/>
    <w:rsid w:val="00683B08"/>
    <w:rsid w:val="00683BB4"/>
    <w:rsid w:val="00684312"/>
    <w:rsid w:val="006846EA"/>
    <w:rsid w:val="00684798"/>
    <w:rsid w:val="0068481F"/>
    <w:rsid w:val="00684AAC"/>
    <w:rsid w:val="00684C5F"/>
    <w:rsid w:val="00685527"/>
    <w:rsid w:val="006864DF"/>
    <w:rsid w:val="006868B4"/>
    <w:rsid w:val="00686C46"/>
    <w:rsid w:val="00686E82"/>
    <w:rsid w:val="00686F06"/>
    <w:rsid w:val="00687056"/>
    <w:rsid w:val="0068751F"/>
    <w:rsid w:val="0068755E"/>
    <w:rsid w:val="006877A4"/>
    <w:rsid w:val="00687AD1"/>
    <w:rsid w:val="00687C9F"/>
    <w:rsid w:val="0069108B"/>
    <w:rsid w:val="006911B2"/>
    <w:rsid w:val="0069134F"/>
    <w:rsid w:val="00691477"/>
    <w:rsid w:val="006914E6"/>
    <w:rsid w:val="00691AE8"/>
    <w:rsid w:val="006928F2"/>
    <w:rsid w:val="00693151"/>
    <w:rsid w:val="006933F6"/>
    <w:rsid w:val="00693667"/>
    <w:rsid w:val="00693A25"/>
    <w:rsid w:val="00693E48"/>
    <w:rsid w:val="00694865"/>
    <w:rsid w:val="006952B3"/>
    <w:rsid w:val="006952FD"/>
    <w:rsid w:val="0069571D"/>
    <w:rsid w:val="00695A38"/>
    <w:rsid w:val="0069609F"/>
    <w:rsid w:val="006970CF"/>
    <w:rsid w:val="00697165"/>
    <w:rsid w:val="00697B8D"/>
    <w:rsid w:val="00697CC1"/>
    <w:rsid w:val="006A022D"/>
    <w:rsid w:val="006A0A28"/>
    <w:rsid w:val="006A117C"/>
    <w:rsid w:val="006A1549"/>
    <w:rsid w:val="006A1958"/>
    <w:rsid w:val="006A1B7D"/>
    <w:rsid w:val="006A1E96"/>
    <w:rsid w:val="006A236F"/>
    <w:rsid w:val="006A2969"/>
    <w:rsid w:val="006A2A94"/>
    <w:rsid w:val="006A2E48"/>
    <w:rsid w:val="006A3184"/>
    <w:rsid w:val="006A3214"/>
    <w:rsid w:val="006A35E2"/>
    <w:rsid w:val="006A37BB"/>
    <w:rsid w:val="006A38F7"/>
    <w:rsid w:val="006A40EA"/>
    <w:rsid w:val="006A42FC"/>
    <w:rsid w:val="006A4461"/>
    <w:rsid w:val="006A4FFE"/>
    <w:rsid w:val="006A5127"/>
    <w:rsid w:val="006A5FF6"/>
    <w:rsid w:val="006A6383"/>
    <w:rsid w:val="006A694A"/>
    <w:rsid w:val="006A6FC7"/>
    <w:rsid w:val="006A74D3"/>
    <w:rsid w:val="006A7917"/>
    <w:rsid w:val="006A7BD3"/>
    <w:rsid w:val="006A7EAF"/>
    <w:rsid w:val="006B0407"/>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5FF2"/>
    <w:rsid w:val="006B76F0"/>
    <w:rsid w:val="006C0C71"/>
    <w:rsid w:val="006C2AB5"/>
    <w:rsid w:val="006C41B0"/>
    <w:rsid w:val="006C440F"/>
    <w:rsid w:val="006C4A56"/>
    <w:rsid w:val="006C4E3C"/>
    <w:rsid w:val="006C58E1"/>
    <w:rsid w:val="006C5DAC"/>
    <w:rsid w:val="006C6443"/>
    <w:rsid w:val="006C6539"/>
    <w:rsid w:val="006C67DF"/>
    <w:rsid w:val="006C7647"/>
    <w:rsid w:val="006C7EC3"/>
    <w:rsid w:val="006C7F0D"/>
    <w:rsid w:val="006D002C"/>
    <w:rsid w:val="006D0267"/>
    <w:rsid w:val="006D0517"/>
    <w:rsid w:val="006D05B4"/>
    <w:rsid w:val="006D0630"/>
    <w:rsid w:val="006D0E78"/>
    <w:rsid w:val="006D1C74"/>
    <w:rsid w:val="006D1D9E"/>
    <w:rsid w:val="006D1E31"/>
    <w:rsid w:val="006D207B"/>
    <w:rsid w:val="006D2B2C"/>
    <w:rsid w:val="006D2F87"/>
    <w:rsid w:val="006D302D"/>
    <w:rsid w:val="006D36B4"/>
    <w:rsid w:val="006D38E0"/>
    <w:rsid w:val="006D3AB1"/>
    <w:rsid w:val="006D3C29"/>
    <w:rsid w:val="006D3CF2"/>
    <w:rsid w:val="006D3F40"/>
    <w:rsid w:val="006D417E"/>
    <w:rsid w:val="006D41A0"/>
    <w:rsid w:val="006D49A0"/>
    <w:rsid w:val="006D4F8C"/>
    <w:rsid w:val="006D525A"/>
    <w:rsid w:val="006D53DF"/>
    <w:rsid w:val="006D5935"/>
    <w:rsid w:val="006D5B80"/>
    <w:rsid w:val="006D5C6B"/>
    <w:rsid w:val="006D69A3"/>
    <w:rsid w:val="006D6FF4"/>
    <w:rsid w:val="006D7000"/>
    <w:rsid w:val="006D72F9"/>
    <w:rsid w:val="006D7D23"/>
    <w:rsid w:val="006E007F"/>
    <w:rsid w:val="006E0393"/>
    <w:rsid w:val="006E0498"/>
    <w:rsid w:val="006E0BE4"/>
    <w:rsid w:val="006E1510"/>
    <w:rsid w:val="006E1BBA"/>
    <w:rsid w:val="006E1C86"/>
    <w:rsid w:val="006E20D9"/>
    <w:rsid w:val="006E21EF"/>
    <w:rsid w:val="006E233B"/>
    <w:rsid w:val="006E251D"/>
    <w:rsid w:val="006E2EAA"/>
    <w:rsid w:val="006E3661"/>
    <w:rsid w:val="006E4C9A"/>
    <w:rsid w:val="006E4CC9"/>
    <w:rsid w:val="006E5132"/>
    <w:rsid w:val="006E51CF"/>
    <w:rsid w:val="006E545A"/>
    <w:rsid w:val="006E5D69"/>
    <w:rsid w:val="006E657A"/>
    <w:rsid w:val="006E6699"/>
    <w:rsid w:val="006E6766"/>
    <w:rsid w:val="006E6861"/>
    <w:rsid w:val="006E6BF9"/>
    <w:rsid w:val="006E6C3F"/>
    <w:rsid w:val="006E6E27"/>
    <w:rsid w:val="006E7435"/>
    <w:rsid w:val="006E765B"/>
    <w:rsid w:val="006E7C2E"/>
    <w:rsid w:val="006F0672"/>
    <w:rsid w:val="006F105D"/>
    <w:rsid w:val="006F10EC"/>
    <w:rsid w:val="006F13E0"/>
    <w:rsid w:val="006F1749"/>
    <w:rsid w:val="006F21D3"/>
    <w:rsid w:val="006F2BED"/>
    <w:rsid w:val="006F3020"/>
    <w:rsid w:val="006F3E3F"/>
    <w:rsid w:val="006F44DE"/>
    <w:rsid w:val="006F5212"/>
    <w:rsid w:val="006F5872"/>
    <w:rsid w:val="006F5D98"/>
    <w:rsid w:val="006F6578"/>
    <w:rsid w:val="006F68E0"/>
    <w:rsid w:val="006F72F9"/>
    <w:rsid w:val="006F7817"/>
    <w:rsid w:val="006F7BDF"/>
    <w:rsid w:val="006F7BF8"/>
    <w:rsid w:val="006F7C6B"/>
    <w:rsid w:val="007007D3"/>
    <w:rsid w:val="00700F4C"/>
    <w:rsid w:val="00700F6A"/>
    <w:rsid w:val="0070113B"/>
    <w:rsid w:val="007014B9"/>
    <w:rsid w:val="007015C4"/>
    <w:rsid w:val="0070160C"/>
    <w:rsid w:val="0070160F"/>
    <w:rsid w:val="007017EA"/>
    <w:rsid w:val="0070228A"/>
    <w:rsid w:val="0070257B"/>
    <w:rsid w:val="00702C5B"/>
    <w:rsid w:val="00702C8A"/>
    <w:rsid w:val="00703611"/>
    <w:rsid w:val="0070373A"/>
    <w:rsid w:val="00703793"/>
    <w:rsid w:val="00704C8D"/>
    <w:rsid w:val="007058B5"/>
    <w:rsid w:val="00705BA9"/>
    <w:rsid w:val="00705BC2"/>
    <w:rsid w:val="00705C4A"/>
    <w:rsid w:val="007069F4"/>
    <w:rsid w:val="00706AC0"/>
    <w:rsid w:val="00707668"/>
    <w:rsid w:val="007107EC"/>
    <w:rsid w:val="007109E9"/>
    <w:rsid w:val="00710AF1"/>
    <w:rsid w:val="00711364"/>
    <w:rsid w:val="00711839"/>
    <w:rsid w:val="00711A22"/>
    <w:rsid w:val="00711F33"/>
    <w:rsid w:val="00712020"/>
    <w:rsid w:val="00712125"/>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6CA6"/>
    <w:rsid w:val="00717F62"/>
    <w:rsid w:val="00720D13"/>
    <w:rsid w:val="00720D5C"/>
    <w:rsid w:val="0072192A"/>
    <w:rsid w:val="0072197B"/>
    <w:rsid w:val="00721D75"/>
    <w:rsid w:val="00721EBF"/>
    <w:rsid w:val="007220FD"/>
    <w:rsid w:val="007228A7"/>
    <w:rsid w:val="00723AD4"/>
    <w:rsid w:val="00723B8B"/>
    <w:rsid w:val="00724982"/>
    <w:rsid w:val="007255AD"/>
    <w:rsid w:val="007258CD"/>
    <w:rsid w:val="007258E6"/>
    <w:rsid w:val="00725C37"/>
    <w:rsid w:val="00725D31"/>
    <w:rsid w:val="0072628A"/>
    <w:rsid w:val="007263D9"/>
    <w:rsid w:val="00726A22"/>
    <w:rsid w:val="007275F7"/>
    <w:rsid w:val="0072792B"/>
    <w:rsid w:val="00727B4C"/>
    <w:rsid w:val="007304F6"/>
    <w:rsid w:val="007306C2"/>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083"/>
    <w:rsid w:val="00735659"/>
    <w:rsid w:val="00735892"/>
    <w:rsid w:val="00735AEA"/>
    <w:rsid w:val="0073704F"/>
    <w:rsid w:val="0073714C"/>
    <w:rsid w:val="007374F6"/>
    <w:rsid w:val="00740285"/>
    <w:rsid w:val="007405CB"/>
    <w:rsid w:val="0074090E"/>
    <w:rsid w:val="007409F3"/>
    <w:rsid w:val="00740B30"/>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B25"/>
    <w:rsid w:val="00751050"/>
    <w:rsid w:val="00751414"/>
    <w:rsid w:val="007516E5"/>
    <w:rsid w:val="007521C1"/>
    <w:rsid w:val="007533DC"/>
    <w:rsid w:val="00753641"/>
    <w:rsid w:val="007546F4"/>
    <w:rsid w:val="00754FFB"/>
    <w:rsid w:val="0075512C"/>
    <w:rsid w:val="00755272"/>
    <w:rsid w:val="00755522"/>
    <w:rsid w:val="007558C5"/>
    <w:rsid w:val="00756861"/>
    <w:rsid w:val="00756F01"/>
    <w:rsid w:val="00756FAD"/>
    <w:rsid w:val="00757A50"/>
    <w:rsid w:val="00757C20"/>
    <w:rsid w:val="00757EA5"/>
    <w:rsid w:val="0076011A"/>
    <w:rsid w:val="00760697"/>
    <w:rsid w:val="0076080A"/>
    <w:rsid w:val="00760A64"/>
    <w:rsid w:val="00760C12"/>
    <w:rsid w:val="0076197B"/>
    <w:rsid w:val="00761A51"/>
    <w:rsid w:val="00761D0E"/>
    <w:rsid w:val="00761DEF"/>
    <w:rsid w:val="00762B45"/>
    <w:rsid w:val="00762B5B"/>
    <w:rsid w:val="00762BBD"/>
    <w:rsid w:val="007633E0"/>
    <w:rsid w:val="00763831"/>
    <w:rsid w:val="00764293"/>
    <w:rsid w:val="00764741"/>
    <w:rsid w:val="00764A27"/>
    <w:rsid w:val="00764EC6"/>
    <w:rsid w:val="00765F59"/>
    <w:rsid w:val="00766070"/>
    <w:rsid w:val="0076638E"/>
    <w:rsid w:val="0076652B"/>
    <w:rsid w:val="00766CAC"/>
    <w:rsid w:val="00766CCF"/>
    <w:rsid w:val="00766D70"/>
    <w:rsid w:val="0076701D"/>
    <w:rsid w:val="00767146"/>
    <w:rsid w:val="00767DC6"/>
    <w:rsid w:val="00767DEB"/>
    <w:rsid w:val="00767DF2"/>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4858"/>
    <w:rsid w:val="00775389"/>
    <w:rsid w:val="0077574B"/>
    <w:rsid w:val="00776091"/>
    <w:rsid w:val="007760F2"/>
    <w:rsid w:val="00776B47"/>
    <w:rsid w:val="00777045"/>
    <w:rsid w:val="00777EF7"/>
    <w:rsid w:val="00780B4C"/>
    <w:rsid w:val="00780C1E"/>
    <w:rsid w:val="007819B1"/>
    <w:rsid w:val="007819BE"/>
    <w:rsid w:val="00781AF8"/>
    <w:rsid w:val="007823AB"/>
    <w:rsid w:val="00782962"/>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5B"/>
    <w:rsid w:val="007876D8"/>
    <w:rsid w:val="00787C00"/>
    <w:rsid w:val="007910F3"/>
    <w:rsid w:val="00791310"/>
    <w:rsid w:val="007915FE"/>
    <w:rsid w:val="007929BB"/>
    <w:rsid w:val="0079325A"/>
    <w:rsid w:val="00793431"/>
    <w:rsid w:val="00793506"/>
    <w:rsid w:val="00794A46"/>
    <w:rsid w:val="00794BFA"/>
    <w:rsid w:val="00795293"/>
    <w:rsid w:val="00795477"/>
    <w:rsid w:val="00795873"/>
    <w:rsid w:val="00795D00"/>
    <w:rsid w:val="007961D1"/>
    <w:rsid w:val="00796678"/>
    <w:rsid w:val="007966FD"/>
    <w:rsid w:val="00796741"/>
    <w:rsid w:val="007969DA"/>
    <w:rsid w:val="00796D3B"/>
    <w:rsid w:val="007970D0"/>
    <w:rsid w:val="00797D39"/>
    <w:rsid w:val="00797F95"/>
    <w:rsid w:val="007A0982"/>
    <w:rsid w:val="007A0CBC"/>
    <w:rsid w:val="007A1578"/>
    <w:rsid w:val="007A1B9C"/>
    <w:rsid w:val="007A2818"/>
    <w:rsid w:val="007A2D64"/>
    <w:rsid w:val="007A2EB6"/>
    <w:rsid w:val="007A33C1"/>
    <w:rsid w:val="007A343E"/>
    <w:rsid w:val="007A34CD"/>
    <w:rsid w:val="007A3B07"/>
    <w:rsid w:val="007A3D2B"/>
    <w:rsid w:val="007A44C8"/>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2528"/>
    <w:rsid w:val="007B2B29"/>
    <w:rsid w:val="007B331A"/>
    <w:rsid w:val="007B33E7"/>
    <w:rsid w:val="007B3F83"/>
    <w:rsid w:val="007B3F9A"/>
    <w:rsid w:val="007B50FE"/>
    <w:rsid w:val="007B599D"/>
    <w:rsid w:val="007B5D76"/>
    <w:rsid w:val="007B658D"/>
    <w:rsid w:val="007B680F"/>
    <w:rsid w:val="007B688A"/>
    <w:rsid w:val="007B6C87"/>
    <w:rsid w:val="007B6E67"/>
    <w:rsid w:val="007B71D5"/>
    <w:rsid w:val="007B74E5"/>
    <w:rsid w:val="007C038C"/>
    <w:rsid w:val="007C0484"/>
    <w:rsid w:val="007C0C51"/>
    <w:rsid w:val="007C0E5A"/>
    <w:rsid w:val="007C12E6"/>
    <w:rsid w:val="007C1A1C"/>
    <w:rsid w:val="007C2475"/>
    <w:rsid w:val="007C24AA"/>
    <w:rsid w:val="007C2690"/>
    <w:rsid w:val="007C2785"/>
    <w:rsid w:val="007C2FFB"/>
    <w:rsid w:val="007C30EF"/>
    <w:rsid w:val="007C35FC"/>
    <w:rsid w:val="007C3C3A"/>
    <w:rsid w:val="007C46CD"/>
    <w:rsid w:val="007C4C51"/>
    <w:rsid w:val="007C5058"/>
    <w:rsid w:val="007C544F"/>
    <w:rsid w:val="007C587A"/>
    <w:rsid w:val="007C6086"/>
    <w:rsid w:val="007C626A"/>
    <w:rsid w:val="007C62A5"/>
    <w:rsid w:val="007C63BF"/>
    <w:rsid w:val="007C656A"/>
    <w:rsid w:val="007C657A"/>
    <w:rsid w:val="007C6789"/>
    <w:rsid w:val="007C6831"/>
    <w:rsid w:val="007C748D"/>
    <w:rsid w:val="007C7647"/>
    <w:rsid w:val="007D0164"/>
    <w:rsid w:val="007D037A"/>
    <w:rsid w:val="007D07C3"/>
    <w:rsid w:val="007D15E3"/>
    <w:rsid w:val="007D1B3B"/>
    <w:rsid w:val="007D2812"/>
    <w:rsid w:val="007D2B55"/>
    <w:rsid w:val="007D2FDA"/>
    <w:rsid w:val="007D3C32"/>
    <w:rsid w:val="007D3E14"/>
    <w:rsid w:val="007D64F5"/>
    <w:rsid w:val="007D6B86"/>
    <w:rsid w:val="007D6C65"/>
    <w:rsid w:val="007D6D8E"/>
    <w:rsid w:val="007D73E8"/>
    <w:rsid w:val="007D7726"/>
    <w:rsid w:val="007D7A07"/>
    <w:rsid w:val="007D7E94"/>
    <w:rsid w:val="007E004C"/>
    <w:rsid w:val="007E014C"/>
    <w:rsid w:val="007E0548"/>
    <w:rsid w:val="007E05AA"/>
    <w:rsid w:val="007E0A6F"/>
    <w:rsid w:val="007E0B10"/>
    <w:rsid w:val="007E154F"/>
    <w:rsid w:val="007E1708"/>
    <w:rsid w:val="007E201C"/>
    <w:rsid w:val="007E2168"/>
    <w:rsid w:val="007E27DD"/>
    <w:rsid w:val="007E309B"/>
    <w:rsid w:val="007E31E8"/>
    <w:rsid w:val="007E32B1"/>
    <w:rsid w:val="007E3EC8"/>
    <w:rsid w:val="007E407D"/>
    <w:rsid w:val="007E5E3B"/>
    <w:rsid w:val="007E6341"/>
    <w:rsid w:val="007E65D1"/>
    <w:rsid w:val="007E6638"/>
    <w:rsid w:val="007E6884"/>
    <w:rsid w:val="007E6F69"/>
    <w:rsid w:val="007E7107"/>
    <w:rsid w:val="007E7316"/>
    <w:rsid w:val="007E7DE6"/>
    <w:rsid w:val="007E7E57"/>
    <w:rsid w:val="007F017D"/>
    <w:rsid w:val="007F0728"/>
    <w:rsid w:val="007F0A63"/>
    <w:rsid w:val="007F0F2A"/>
    <w:rsid w:val="007F1C36"/>
    <w:rsid w:val="007F21FA"/>
    <w:rsid w:val="007F22B6"/>
    <w:rsid w:val="007F2B19"/>
    <w:rsid w:val="007F2B89"/>
    <w:rsid w:val="007F2ED0"/>
    <w:rsid w:val="007F36A7"/>
    <w:rsid w:val="007F38E1"/>
    <w:rsid w:val="007F3944"/>
    <w:rsid w:val="007F405B"/>
    <w:rsid w:val="007F4091"/>
    <w:rsid w:val="007F4469"/>
    <w:rsid w:val="007F5180"/>
    <w:rsid w:val="007F53AA"/>
    <w:rsid w:val="007F56B4"/>
    <w:rsid w:val="007F5AF2"/>
    <w:rsid w:val="007F69C3"/>
    <w:rsid w:val="007F6E4A"/>
    <w:rsid w:val="007F7381"/>
    <w:rsid w:val="007F7BDE"/>
    <w:rsid w:val="007F7F44"/>
    <w:rsid w:val="008000C6"/>
    <w:rsid w:val="0080035A"/>
    <w:rsid w:val="00800A1D"/>
    <w:rsid w:val="00800D45"/>
    <w:rsid w:val="00801113"/>
    <w:rsid w:val="008018A0"/>
    <w:rsid w:val="00801C47"/>
    <w:rsid w:val="00802738"/>
    <w:rsid w:val="00802FE5"/>
    <w:rsid w:val="00803748"/>
    <w:rsid w:val="00803E18"/>
    <w:rsid w:val="00803F80"/>
    <w:rsid w:val="00804C11"/>
    <w:rsid w:val="00805228"/>
    <w:rsid w:val="008054FC"/>
    <w:rsid w:val="0080635E"/>
    <w:rsid w:val="00806F68"/>
    <w:rsid w:val="008077E3"/>
    <w:rsid w:val="008100FA"/>
    <w:rsid w:val="00810A03"/>
    <w:rsid w:val="00810A97"/>
    <w:rsid w:val="00810C41"/>
    <w:rsid w:val="00810DCD"/>
    <w:rsid w:val="00811077"/>
    <w:rsid w:val="00811CDA"/>
    <w:rsid w:val="00811E03"/>
    <w:rsid w:val="008120F6"/>
    <w:rsid w:val="0081216E"/>
    <w:rsid w:val="00812508"/>
    <w:rsid w:val="0081317C"/>
    <w:rsid w:val="0081424A"/>
    <w:rsid w:val="00815137"/>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1393"/>
    <w:rsid w:val="008221D2"/>
    <w:rsid w:val="008225E5"/>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2230"/>
    <w:rsid w:val="00833010"/>
    <w:rsid w:val="00833356"/>
    <w:rsid w:val="00833A57"/>
    <w:rsid w:val="00833F3D"/>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2CE3"/>
    <w:rsid w:val="00842EAC"/>
    <w:rsid w:val="00843134"/>
    <w:rsid w:val="008437F0"/>
    <w:rsid w:val="008447D8"/>
    <w:rsid w:val="00844D0B"/>
    <w:rsid w:val="00844FDA"/>
    <w:rsid w:val="008451D7"/>
    <w:rsid w:val="0084534E"/>
    <w:rsid w:val="00845646"/>
    <w:rsid w:val="00845A40"/>
    <w:rsid w:val="00845F48"/>
    <w:rsid w:val="0084602C"/>
    <w:rsid w:val="00846125"/>
    <w:rsid w:val="0084638D"/>
    <w:rsid w:val="008463E6"/>
    <w:rsid w:val="0084653C"/>
    <w:rsid w:val="00846A71"/>
    <w:rsid w:val="00846D42"/>
    <w:rsid w:val="0084746E"/>
    <w:rsid w:val="00847F83"/>
    <w:rsid w:val="008506AB"/>
    <w:rsid w:val="008509D2"/>
    <w:rsid w:val="00850AE6"/>
    <w:rsid w:val="0085115C"/>
    <w:rsid w:val="008514BB"/>
    <w:rsid w:val="008518A0"/>
    <w:rsid w:val="00851A34"/>
    <w:rsid w:val="00851CC6"/>
    <w:rsid w:val="00851FF5"/>
    <w:rsid w:val="00853026"/>
    <w:rsid w:val="00853245"/>
    <w:rsid w:val="0085347A"/>
    <w:rsid w:val="008535E9"/>
    <w:rsid w:val="0085387C"/>
    <w:rsid w:val="00854645"/>
    <w:rsid w:val="0085510D"/>
    <w:rsid w:val="008569D4"/>
    <w:rsid w:val="0086034A"/>
    <w:rsid w:val="0086177C"/>
    <w:rsid w:val="0086277C"/>
    <w:rsid w:val="00862C5C"/>
    <w:rsid w:val="00862E81"/>
    <w:rsid w:val="0086314B"/>
    <w:rsid w:val="0086319F"/>
    <w:rsid w:val="008631E1"/>
    <w:rsid w:val="0086343A"/>
    <w:rsid w:val="0086388F"/>
    <w:rsid w:val="008644DA"/>
    <w:rsid w:val="00864845"/>
    <w:rsid w:val="00864EAD"/>
    <w:rsid w:val="00866095"/>
    <w:rsid w:val="00866311"/>
    <w:rsid w:val="008668AA"/>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E8A"/>
    <w:rsid w:val="00876967"/>
    <w:rsid w:val="00876D9A"/>
    <w:rsid w:val="00877039"/>
    <w:rsid w:val="00877103"/>
    <w:rsid w:val="00877397"/>
    <w:rsid w:val="008778C3"/>
    <w:rsid w:val="00877DD9"/>
    <w:rsid w:val="008800E1"/>
    <w:rsid w:val="00880541"/>
    <w:rsid w:val="00880956"/>
    <w:rsid w:val="00880A35"/>
    <w:rsid w:val="008815AF"/>
    <w:rsid w:val="00881700"/>
    <w:rsid w:val="0088183C"/>
    <w:rsid w:val="008819D4"/>
    <w:rsid w:val="008820E7"/>
    <w:rsid w:val="008820FE"/>
    <w:rsid w:val="008825A9"/>
    <w:rsid w:val="00882811"/>
    <w:rsid w:val="00882832"/>
    <w:rsid w:val="00882E6D"/>
    <w:rsid w:val="00884199"/>
    <w:rsid w:val="0088482A"/>
    <w:rsid w:val="008849DA"/>
    <w:rsid w:val="00884B56"/>
    <w:rsid w:val="00884CAF"/>
    <w:rsid w:val="0088500A"/>
    <w:rsid w:val="008858D5"/>
    <w:rsid w:val="00885B75"/>
    <w:rsid w:val="00885C4C"/>
    <w:rsid w:val="00886C4C"/>
    <w:rsid w:val="00886E74"/>
    <w:rsid w:val="00887C14"/>
    <w:rsid w:val="00890016"/>
    <w:rsid w:val="0089033D"/>
    <w:rsid w:val="008905B8"/>
    <w:rsid w:val="00890988"/>
    <w:rsid w:val="00890CC6"/>
    <w:rsid w:val="00890F09"/>
    <w:rsid w:val="008911F4"/>
    <w:rsid w:val="0089150D"/>
    <w:rsid w:val="00891798"/>
    <w:rsid w:val="00891CCD"/>
    <w:rsid w:val="00891EAB"/>
    <w:rsid w:val="00891EAC"/>
    <w:rsid w:val="00892576"/>
    <w:rsid w:val="00892955"/>
    <w:rsid w:val="00892F89"/>
    <w:rsid w:val="0089310C"/>
    <w:rsid w:val="00893BFA"/>
    <w:rsid w:val="0089464D"/>
    <w:rsid w:val="0089482D"/>
    <w:rsid w:val="00894B77"/>
    <w:rsid w:val="00895455"/>
    <w:rsid w:val="00895A0F"/>
    <w:rsid w:val="00895F70"/>
    <w:rsid w:val="008963DD"/>
    <w:rsid w:val="00896E88"/>
    <w:rsid w:val="00897003"/>
    <w:rsid w:val="00897267"/>
    <w:rsid w:val="0089728D"/>
    <w:rsid w:val="00897330"/>
    <w:rsid w:val="00897586"/>
    <w:rsid w:val="0089761A"/>
    <w:rsid w:val="00897752"/>
    <w:rsid w:val="00897818"/>
    <w:rsid w:val="00897B0E"/>
    <w:rsid w:val="00897DF6"/>
    <w:rsid w:val="00897EF7"/>
    <w:rsid w:val="008A053F"/>
    <w:rsid w:val="008A1023"/>
    <w:rsid w:val="008A13A1"/>
    <w:rsid w:val="008A17BF"/>
    <w:rsid w:val="008A1893"/>
    <w:rsid w:val="008A1C3F"/>
    <w:rsid w:val="008A24D0"/>
    <w:rsid w:val="008A2B71"/>
    <w:rsid w:val="008A30A0"/>
    <w:rsid w:val="008A34B3"/>
    <w:rsid w:val="008A3558"/>
    <w:rsid w:val="008A3800"/>
    <w:rsid w:val="008A3C63"/>
    <w:rsid w:val="008A46B7"/>
    <w:rsid w:val="008A4AAB"/>
    <w:rsid w:val="008A530A"/>
    <w:rsid w:val="008A5C31"/>
    <w:rsid w:val="008A65F4"/>
    <w:rsid w:val="008A6930"/>
    <w:rsid w:val="008A6A16"/>
    <w:rsid w:val="008A7037"/>
    <w:rsid w:val="008A7180"/>
    <w:rsid w:val="008A751D"/>
    <w:rsid w:val="008A75C4"/>
    <w:rsid w:val="008A7CE2"/>
    <w:rsid w:val="008B0082"/>
    <w:rsid w:val="008B022E"/>
    <w:rsid w:val="008B0CA8"/>
    <w:rsid w:val="008B147C"/>
    <w:rsid w:val="008B19A5"/>
    <w:rsid w:val="008B234E"/>
    <w:rsid w:val="008B2642"/>
    <w:rsid w:val="008B2788"/>
    <w:rsid w:val="008B2AA8"/>
    <w:rsid w:val="008B336D"/>
    <w:rsid w:val="008B33DE"/>
    <w:rsid w:val="008B36C0"/>
    <w:rsid w:val="008B381B"/>
    <w:rsid w:val="008B3E34"/>
    <w:rsid w:val="008B46FF"/>
    <w:rsid w:val="008B4CFE"/>
    <w:rsid w:val="008B586A"/>
    <w:rsid w:val="008B5DBD"/>
    <w:rsid w:val="008B5E7E"/>
    <w:rsid w:val="008B5ED8"/>
    <w:rsid w:val="008B75CD"/>
    <w:rsid w:val="008B78DD"/>
    <w:rsid w:val="008B7E22"/>
    <w:rsid w:val="008C0761"/>
    <w:rsid w:val="008C0762"/>
    <w:rsid w:val="008C122D"/>
    <w:rsid w:val="008C181F"/>
    <w:rsid w:val="008C1D73"/>
    <w:rsid w:val="008C1E19"/>
    <w:rsid w:val="008C20DD"/>
    <w:rsid w:val="008C25E9"/>
    <w:rsid w:val="008C2B29"/>
    <w:rsid w:val="008C3617"/>
    <w:rsid w:val="008C3D65"/>
    <w:rsid w:val="008C4393"/>
    <w:rsid w:val="008C495D"/>
    <w:rsid w:val="008C4E3B"/>
    <w:rsid w:val="008C518D"/>
    <w:rsid w:val="008C6134"/>
    <w:rsid w:val="008C62E3"/>
    <w:rsid w:val="008C6A60"/>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A62"/>
    <w:rsid w:val="008D6C8F"/>
    <w:rsid w:val="008D7298"/>
    <w:rsid w:val="008D74A8"/>
    <w:rsid w:val="008D7BC9"/>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CDA"/>
    <w:rsid w:val="008E4DD7"/>
    <w:rsid w:val="008E4F99"/>
    <w:rsid w:val="008E5114"/>
    <w:rsid w:val="008E5125"/>
    <w:rsid w:val="008E53DB"/>
    <w:rsid w:val="008E5979"/>
    <w:rsid w:val="008E5FDF"/>
    <w:rsid w:val="008E6731"/>
    <w:rsid w:val="008E6D0F"/>
    <w:rsid w:val="008E7435"/>
    <w:rsid w:val="008E7869"/>
    <w:rsid w:val="008E78BD"/>
    <w:rsid w:val="008F0058"/>
    <w:rsid w:val="008F0740"/>
    <w:rsid w:val="008F0761"/>
    <w:rsid w:val="008F07AF"/>
    <w:rsid w:val="008F07D7"/>
    <w:rsid w:val="008F1257"/>
    <w:rsid w:val="008F137A"/>
    <w:rsid w:val="008F1841"/>
    <w:rsid w:val="008F238D"/>
    <w:rsid w:val="008F267F"/>
    <w:rsid w:val="008F27B9"/>
    <w:rsid w:val="008F3005"/>
    <w:rsid w:val="008F3919"/>
    <w:rsid w:val="008F3E9B"/>
    <w:rsid w:val="008F40C7"/>
    <w:rsid w:val="008F44D8"/>
    <w:rsid w:val="008F47E6"/>
    <w:rsid w:val="008F4A55"/>
    <w:rsid w:val="008F5057"/>
    <w:rsid w:val="008F51BE"/>
    <w:rsid w:val="008F52EC"/>
    <w:rsid w:val="008F663E"/>
    <w:rsid w:val="008F6E55"/>
    <w:rsid w:val="008F6F40"/>
    <w:rsid w:val="008F720A"/>
    <w:rsid w:val="008F720E"/>
    <w:rsid w:val="008F76FD"/>
    <w:rsid w:val="008F77E8"/>
    <w:rsid w:val="008F7E49"/>
    <w:rsid w:val="008F7F38"/>
    <w:rsid w:val="00900089"/>
    <w:rsid w:val="00900807"/>
    <w:rsid w:val="00900B68"/>
    <w:rsid w:val="00901656"/>
    <w:rsid w:val="009030EF"/>
    <w:rsid w:val="0090373F"/>
    <w:rsid w:val="00903764"/>
    <w:rsid w:val="00903B76"/>
    <w:rsid w:val="00903C3F"/>
    <w:rsid w:val="00903FA6"/>
    <w:rsid w:val="009047E0"/>
    <w:rsid w:val="009048D1"/>
    <w:rsid w:val="00904AFD"/>
    <w:rsid w:val="00904C99"/>
    <w:rsid w:val="00905049"/>
    <w:rsid w:val="00905154"/>
    <w:rsid w:val="00905169"/>
    <w:rsid w:val="00905FB4"/>
    <w:rsid w:val="00906EFF"/>
    <w:rsid w:val="00906F16"/>
    <w:rsid w:val="00907932"/>
    <w:rsid w:val="009079E8"/>
    <w:rsid w:val="00907C03"/>
    <w:rsid w:val="0091075F"/>
    <w:rsid w:val="009107B2"/>
    <w:rsid w:val="009116D3"/>
    <w:rsid w:val="0091189F"/>
    <w:rsid w:val="00911DFD"/>
    <w:rsid w:val="00911E60"/>
    <w:rsid w:val="009120BA"/>
    <w:rsid w:val="0091269D"/>
    <w:rsid w:val="00912781"/>
    <w:rsid w:val="00912C77"/>
    <w:rsid w:val="009137A3"/>
    <w:rsid w:val="009139D9"/>
    <w:rsid w:val="009146DB"/>
    <w:rsid w:val="00914C5B"/>
    <w:rsid w:val="0091536D"/>
    <w:rsid w:val="00915784"/>
    <w:rsid w:val="0091579C"/>
    <w:rsid w:val="00915C1B"/>
    <w:rsid w:val="0091609F"/>
    <w:rsid w:val="009163B6"/>
    <w:rsid w:val="00916531"/>
    <w:rsid w:val="0091654F"/>
    <w:rsid w:val="00916A04"/>
    <w:rsid w:val="009178B7"/>
    <w:rsid w:val="00917ADC"/>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30622"/>
    <w:rsid w:val="00930A68"/>
    <w:rsid w:val="00931084"/>
    <w:rsid w:val="00931920"/>
    <w:rsid w:val="0093205B"/>
    <w:rsid w:val="0093223F"/>
    <w:rsid w:val="00932664"/>
    <w:rsid w:val="00932C8D"/>
    <w:rsid w:val="00933442"/>
    <w:rsid w:val="00933542"/>
    <w:rsid w:val="009336DE"/>
    <w:rsid w:val="00933759"/>
    <w:rsid w:val="0093391A"/>
    <w:rsid w:val="00933ED6"/>
    <w:rsid w:val="0093447A"/>
    <w:rsid w:val="00934525"/>
    <w:rsid w:val="0093476B"/>
    <w:rsid w:val="00934E37"/>
    <w:rsid w:val="00934E7D"/>
    <w:rsid w:val="00934E9E"/>
    <w:rsid w:val="0093518E"/>
    <w:rsid w:val="009351FB"/>
    <w:rsid w:val="00936795"/>
    <w:rsid w:val="00936C33"/>
    <w:rsid w:val="00936C7A"/>
    <w:rsid w:val="00936E45"/>
    <w:rsid w:val="00937494"/>
    <w:rsid w:val="009374B8"/>
    <w:rsid w:val="00937908"/>
    <w:rsid w:val="00937A22"/>
    <w:rsid w:val="009401EF"/>
    <w:rsid w:val="009404BC"/>
    <w:rsid w:val="009422C4"/>
    <w:rsid w:val="009423AB"/>
    <w:rsid w:val="00942BA9"/>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C1A"/>
    <w:rsid w:val="00950151"/>
    <w:rsid w:val="00950991"/>
    <w:rsid w:val="00950B2A"/>
    <w:rsid w:val="009518A3"/>
    <w:rsid w:val="00952C0D"/>
    <w:rsid w:val="00952E73"/>
    <w:rsid w:val="00952F5B"/>
    <w:rsid w:val="00953054"/>
    <w:rsid w:val="009531E3"/>
    <w:rsid w:val="00953C38"/>
    <w:rsid w:val="00953C90"/>
    <w:rsid w:val="00954B95"/>
    <w:rsid w:val="00954D98"/>
    <w:rsid w:val="0095514F"/>
    <w:rsid w:val="009552B0"/>
    <w:rsid w:val="009567C9"/>
    <w:rsid w:val="00956C01"/>
    <w:rsid w:val="00956FF4"/>
    <w:rsid w:val="00957218"/>
    <w:rsid w:val="0095758F"/>
    <w:rsid w:val="009600AF"/>
    <w:rsid w:val="0096042B"/>
    <w:rsid w:val="0096047E"/>
    <w:rsid w:val="00960BE4"/>
    <w:rsid w:val="00961D18"/>
    <w:rsid w:val="00961DDC"/>
    <w:rsid w:val="00961DE4"/>
    <w:rsid w:val="009622CE"/>
    <w:rsid w:val="00962535"/>
    <w:rsid w:val="00962BB6"/>
    <w:rsid w:val="009634D8"/>
    <w:rsid w:val="009635FE"/>
    <w:rsid w:val="00963D13"/>
    <w:rsid w:val="0096415B"/>
    <w:rsid w:val="00964361"/>
    <w:rsid w:val="009646E8"/>
    <w:rsid w:val="00964FCB"/>
    <w:rsid w:val="009660BC"/>
    <w:rsid w:val="00966453"/>
    <w:rsid w:val="00966E3C"/>
    <w:rsid w:val="00967550"/>
    <w:rsid w:val="009701E0"/>
    <w:rsid w:val="00970210"/>
    <w:rsid w:val="0097073A"/>
    <w:rsid w:val="00971258"/>
    <w:rsid w:val="0097158A"/>
    <w:rsid w:val="009716FA"/>
    <w:rsid w:val="00971A1F"/>
    <w:rsid w:val="00971B5E"/>
    <w:rsid w:val="00972498"/>
    <w:rsid w:val="00973034"/>
    <w:rsid w:val="00973464"/>
    <w:rsid w:val="00974058"/>
    <w:rsid w:val="00974476"/>
    <w:rsid w:val="0097466B"/>
    <w:rsid w:val="00974985"/>
    <w:rsid w:val="009752A8"/>
    <w:rsid w:val="0097573A"/>
    <w:rsid w:val="00976231"/>
    <w:rsid w:val="009762B3"/>
    <w:rsid w:val="0097663D"/>
    <w:rsid w:val="009770DC"/>
    <w:rsid w:val="009771CF"/>
    <w:rsid w:val="0097759E"/>
    <w:rsid w:val="009800DB"/>
    <w:rsid w:val="0098045B"/>
    <w:rsid w:val="00981498"/>
    <w:rsid w:val="00981528"/>
    <w:rsid w:val="00982045"/>
    <w:rsid w:val="009828ED"/>
    <w:rsid w:val="009830CA"/>
    <w:rsid w:val="00983126"/>
    <w:rsid w:val="0098322F"/>
    <w:rsid w:val="0098466A"/>
    <w:rsid w:val="009857B5"/>
    <w:rsid w:val="00985B83"/>
    <w:rsid w:val="009867B2"/>
    <w:rsid w:val="00986B97"/>
    <w:rsid w:val="00987513"/>
    <w:rsid w:val="00987570"/>
    <w:rsid w:val="00987EF2"/>
    <w:rsid w:val="00990253"/>
    <w:rsid w:val="00990372"/>
    <w:rsid w:val="009912BD"/>
    <w:rsid w:val="0099172D"/>
    <w:rsid w:val="00991BB6"/>
    <w:rsid w:val="00991F73"/>
    <w:rsid w:val="00992091"/>
    <w:rsid w:val="00992111"/>
    <w:rsid w:val="00992A58"/>
    <w:rsid w:val="00992AD6"/>
    <w:rsid w:val="00992BF9"/>
    <w:rsid w:val="00992CEF"/>
    <w:rsid w:val="0099365F"/>
    <w:rsid w:val="00993823"/>
    <w:rsid w:val="00993B16"/>
    <w:rsid w:val="00994118"/>
    <w:rsid w:val="0099429C"/>
    <w:rsid w:val="009948B9"/>
    <w:rsid w:val="00994984"/>
    <w:rsid w:val="00994AF2"/>
    <w:rsid w:val="00995F22"/>
    <w:rsid w:val="0099666B"/>
    <w:rsid w:val="00996896"/>
    <w:rsid w:val="00996A4E"/>
    <w:rsid w:val="0099762F"/>
    <w:rsid w:val="00997636"/>
    <w:rsid w:val="00997FB1"/>
    <w:rsid w:val="009A03EF"/>
    <w:rsid w:val="009A073E"/>
    <w:rsid w:val="009A1D4D"/>
    <w:rsid w:val="009A1E91"/>
    <w:rsid w:val="009A1F7C"/>
    <w:rsid w:val="009A21CA"/>
    <w:rsid w:val="009A2BC4"/>
    <w:rsid w:val="009A2D3F"/>
    <w:rsid w:val="009A3780"/>
    <w:rsid w:val="009A42C2"/>
    <w:rsid w:val="009A4584"/>
    <w:rsid w:val="009A4B4B"/>
    <w:rsid w:val="009A5002"/>
    <w:rsid w:val="009A5149"/>
    <w:rsid w:val="009A59BF"/>
    <w:rsid w:val="009A5E2D"/>
    <w:rsid w:val="009A6159"/>
    <w:rsid w:val="009A63EE"/>
    <w:rsid w:val="009A7801"/>
    <w:rsid w:val="009A7A14"/>
    <w:rsid w:val="009B02A9"/>
    <w:rsid w:val="009B1120"/>
    <w:rsid w:val="009B1149"/>
    <w:rsid w:val="009B17BC"/>
    <w:rsid w:val="009B1BEF"/>
    <w:rsid w:val="009B1DD5"/>
    <w:rsid w:val="009B251D"/>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153"/>
    <w:rsid w:val="009C42E8"/>
    <w:rsid w:val="009C4C1E"/>
    <w:rsid w:val="009C550E"/>
    <w:rsid w:val="009C55A6"/>
    <w:rsid w:val="009C5C2B"/>
    <w:rsid w:val="009C6168"/>
    <w:rsid w:val="009C677F"/>
    <w:rsid w:val="009C731D"/>
    <w:rsid w:val="009C7366"/>
    <w:rsid w:val="009C766C"/>
    <w:rsid w:val="009C7804"/>
    <w:rsid w:val="009C7C7B"/>
    <w:rsid w:val="009C7FD9"/>
    <w:rsid w:val="009D031F"/>
    <w:rsid w:val="009D1421"/>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E0292"/>
    <w:rsid w:val="009E0764"/>
    <w:rsid w:val="009E0784"/>
    <w:rsid w:val="009E189A"/>
    <w:rsid w:val="009E19C4"/>
    <w:rsid w:val="009E1F55"/>
    <w:rsid w:val="009E23DC"/>
    <w:rsid w:val="009E2B7D"/>
    <w:rsid w:val="009E302D"/>
    <w:rsid w:val="009E3143"/>
    <w:rsid w:val="009E3253"/>
    <w:rsid w:val="009E35DD"/>
    <w:rsid w:val="009E3A09"/>
    <w:rsid w:val="009E3B77"/>
    <w:rsid w:val="009E3DAA"/>
    <w:rsid w:val="009E3E16"/>
    <w:rsid w:val="009E40E9"/>
    <w:rsid w:val="009E4412"/>
    <w:rsid w:val="009E446E"/>
    <w:rsid w:val="009E4B35"/>
    <w:rsid w:val="009E4C39"/>
    <w:rsid w:val="009E5E9C"/>
    <w:rsid w:val="009E6946"/>
    <w:rsid w:val="009E6E27"/>
    <w:rsid w:val="009E7446"/>
    <w:rsid w:val="009E7925"/>
    <w:rsid w:val="009F0512"/>
    <w:rsid w:val="009F0A2F"/>
    <w:rsid w:val="009F0D23"/>
    <w:rsid w:val="009F16B3"/>
    <w:rsid w:val="009F1A53"/>
    <w:rsid w:val="009F1F0B"/>
    <w:rsid w:val="009F2081"/>
    <w:rsid w:val="009F2429"/>
    <w:rsid w:val="009F25C6"/>
    <w:rsid w:val="009F284B"/>
    <w:rsid w:val="009F392A"/>
    <w:rsid w:val="009F3AB4"/>
    <w:rsid w:val="009F3E71"/>
    <w:rsid w:val="009F3EA0"/>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B49"/>
    <w:rsid w:val="009F7BBB"/>
    <w:rsid w:val="00A000B0"/>
    <w:rsid w:val="00A010CF"/>
    <w:rsid w:val="00A01B86"/>
    <w:rsid w:val="00A02353"/>
    <w:rsid w:val="00A023D1"/>
    <w:rsid w:val="00A026BE"/>
    <w:rsid w:val="00A02991"/>
    <w:rsid w:val="00A03174"/>
    <w:rsid w:val="00A03858"/>
    <w:rsid w:val="00A03DE4"/>
    <w:rsid w:val="00A04845"/>
    <w:rsid w:val="00A0487D"/>
    <w:rsid w:val="00A0488C"/>
    <w:rsid w:val="00A0526E"/>
    <w:rsid w:val="00A054CE"/>
    <w:rsid w:val="00A055CA"/>
    <w:rsid w:val="00A06D4D"/>
    <w:rsid w:val="00A0757E"/>
    <w:rsid w:val="00A0770E"/>
    <w:rsid w:val="00A079D3"/>
    <w:rsid w:val="00A07AE4"/>
    <w:rsid w:val="00A07DD8"/>
    <w:rsid w:val="00A07E5A"/>
    <w:rsid w:val="00A10268"/>
    <w:rsid w:val="00A10362"/>
    <w:rsid w:val="00A104F4"/>
    <w:rsid w:val="00A105DC"/>
    <w:rsid w:val="00A10F60"/>
    <w:rsid w:val="00A11FD0"/>
    <w:rsid w:val="00A120AD"/>
    <w:rsid w:val="00A12BEC"/>
    <w:rsid w:val="00A12C16"/>
    <w:rsid w:val="00A12DCA"/>
    <w:rsid w:val="00A12EFF"/>
    <w:rsid w:val="00A13080"/>
    <w:rsid w:val="00A1341E"/>
    <w:rsid w:val="00A134DE"/>
    <w:rsid w:val="00A1361F"/>
    <w:rsid w:val="00A13BB0"/>
    <w:rsid w:val="00A13D6B"/>
    <w:rsid w:val="00A1463B"/>
    <w:rsid w:val="00A1475C"/>
    <w:rsid w:val="00A14FC3"/>
    <w:rsid w:val="00A15999"/>
    <w:rsid w:val="00A159B6"/>
    <w:rsid w:val="00A15D64"/>
    <w:rsid w:val="00A16287"/>
    <w:rsid w:val="00A170B3"/>
    <w:rsid w:val="00A173A9"/>
    <w:rsid w:val="00A1796E"/>
    <w:rsid w:val="00A20D67"/>
    <w:rsid w:val="00A20DB2"/>
    <w:rsid w:val="00A20FC0"/>
    <w:rsid w:val="00A21428"/>
    <w:rsid w:val="00A218DB"/>
    <w:rsid w:val="00A22500"/>
    <w:rsid w:val="00A225A3"/>
    <w:rsid w:val="00A230BC"/>
    <w:rsid w:val="00A231D1"/>
    <w:rsid w:val="00A23713"/>
    <w:rsid w:val="00A23A07"/>
    <w:rsid w:val="00A23C37"/>
    <w:rsid w:val="00A23E98"/>
    <w:rsid w:val="00A2420D"/>
    <w:rsid w:val="00A24891"/>
    <w:rsid w:val="00A24956"/>
    <w:rsid w:val="00A25084"/>
    <w:rsid w:val="00A25D49"/>
    <w:rsid w:val="00A2654C"/>
    <w:rsid w:val="00A2663C"/>
    <w:rsid w:val="00A26864"/>
    <w:rsid w:val="00A2712F"/>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6437"/>
    <w:rsid w:val="00A36479"/>
    <w:rsid w:val="00A36538"/>
    <w:rsid w:val="00A36975"/>
    <w:rsid w:val="00A36A01"/>
    <w:rsid w:val="00A36C0C"/>
    <w:rsid w:val="00A37117"/>
    <w:rsid w:val="00A37D23"/>
    <w:rsid w:val="00A40A91"/>
    <w:rsid w:val="00A40D7C"/>
    <w:rsid w:val="00A40F1B"/>
    <w:rsid w:val="00A41331"/>
    <w:rsid w:val="00A4140E"/>
    <w:rsid w:val="00A415A9"/>
    <w:rsid w:val="00A41815"/>
    <w:rsid w:val="00A41BA4"/>
    <w:rsid w:val="00A41D3E"/>
    <w:rsid w:val="00A422D9"/>
    <w:rsid w:val="00A42C96"/>
    <w:rsid w:val="00A438BB"/>
    <w:rsid w:val="00A43CD0"/>
    <w:rsid w:val="00A43E39"/>
    <w:rsid w:val="00A43F85"/>
    <w:rsid w:val="00A44AE0"/>
    <w:rsid w:val="00A44AF0"/>
    <w:rsid w:val="00A44E73"/>
    <w:rsid w:val="00A452D6"/>
    <w:rsid w:val="00A455D6"/>
    <w:rsid w:val="00A45789"/>
    <w:rsid w:val="00A4599B"/>
    <w:rsid w:val="00A45A6F"/>
    <w:rsid w:val="00A45F43"/>
    <w:rsid w:val="00A46339"/>
    <w:rsid w:val="00A463AD"/>
    <w:rsid w:val="00A463CD"/>
    <w:rsid w:val="00A466D0"/>
    <w:rsid w:val="00A469B0"/>
    <w:rsid w:val="00A46C1F"/>
    <w:rsid w:val="00A47329"/>
    <w:rsid w:val="00A4745F"/>
    <w:rsid w:val="00A47477"/>
    <w:rsid w:val="00A47560"/>
    <w:rsid w:val="00A47FA3"/>
    <w:rsid w:val="00A50104"/>
    <w:rsid w:val="00A508BE"/>
    <w:rsid w:val="00A50A0B"/>
    <w:rsid w:val="00A50ECC"/>
    <w:rsid w:val="00A5163E"/>
    <w:rsid w:val="00A5188F"/>
    <w:rsid w:val="00A51A45"/>
    <w:rsid w:val="00A51AB9"/>
    <w:rsid w:val="00A51BEA"/>
    <w:rsid w:val="00A527B4"/>
    <w:rsid w:val="00A52CB7"/>
    <w:rsid w:val="00A5332C"/>
    <w:rsid w:val="00A5395A"/>
    <w:rsid w:val="00A53CC5"/>
    <w:rsid w:val="00A55B7E"/>
    <w:rsid w:val="00A55C6F"/>
    <w:rsid w:val="00A55DAD"/>
    <w:rsid w:val="00A56BC1"/>
    <w:rsid w:val="00A5720F"/>
    <w:rsid w:val="00A5777E"/>
    <w:rsid w:val="00A57C55"/>
    <w:rsid w:val="00A60C2F"/>
    <w:rsid w:val="00A60D5F"/>
    <w:rsid w:val="00A611C4"/>
    <w:rsid w:val="00A61546"/>
    <w:rsid w:val="00A617C8"/>
    <w:rsid w:val="00A621D0"/>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DC"/>
    <w:rsid w:val="00A7541C"/>
    <w:rsid w:val="00A756C7"/>
    <w:rsid w:val="00A759B8"/>
    <w:rsid w:val="00A75D8F"/>
    <w:rsid w:val="00A75EA0"/>
    <w:rsid w:val="00A76204"/>
    <w:rsid w:val="00A762A2"/>
    <w:rsid w:val="00A7665A"/>
    <w:rsid w:val="00A767DC"/>
    <w:rsid w:val="00A76D54"/>
    <w:rsid w:val="00A76E62"/>
    <w:rsid w:val="00A76FC2"/>
    <w:rsid w:val="00A771A9"/>
    <w:rsid w:val="00A77241"/>
    <w:rsid w:val="00A7760F"/>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A97"/>
    <w:rsid w:val="00A84BB1"/>
    <w:rsid w:val="00A84C21"/>
    <w:rsid w:val="00A84D63"/>
    <w:rsid w:val="00A853CE"/>
    <w:rsid w:val="00A856E4"/>
    <w:rsid w:val="00A858E1"/>
    <w:rsid w:val="00A85BCE"/>
    <w:rsid w:val="00A85E64"/>
    <w:rsid w:val="00A87333"/>
    <w:rsid w:val="00A874E3"/>
    <w:rsid w:val="00A876B9"/>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045"/>
    <w:rsid w:val="00AA4968"/>
    <w:rsid w:val="00AA4F9C"/>
    <w:rsid w:val="00AA6526"/>
    <w:rsid w:val="00AA727C"/>
    <w:rsid w:val="00AB0151"/>
    <w:rsid w:val="00AB0539"/>
    <w:rsid w:val="00AB09DD"/>
    <w:rsid w:val="00AB1093"/>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7B1A"/>
    <w:rsid w:val="00AC0424"/>
    <w:rsid w:val="00AC0AF4"/>
    <w:rsid w:val="00AC0FAB"/>
    <w:rsid w:val="00AC1FBE"/>
    <w:rsid w:val="00AC200C"/>
    <w:rsid w:val="00AC2833"/>
    <w:rsid w:val="00AC2FE1"/>
    <w:rsid w:val="00AC3BDA"/>
    <w:rsid w:val="00AC4E0D"/>
    <w:rsid w:val="00AC56E0"/>
    <w:rsid w:val="00AC5705"/>
    <w:rsid w:val="00AC587A"/>
    <w:rsid w:val="00AC6434"/>
    <w:rsid w:val="00AC6667"/>
    <w:rsid w:val="00AC6A39"/>
    <w:rsid w:val="00AC7F6D"/>
    <w:rsid w:val="00AD02DA"/>
    <w:rsid w:val="00AD0793"/>
    <w:rsid w:val="00AD0D51"/>
    <w:rsid w:val="00AD0FB6"/>
    <w:rsid w:val="00AD20C7"/>
    <w:rsid w:val="00AD2285"/>
    <w:rsid w:val="00AD2821"/>
    <w:rsid w:val="00AD2CA8"/>
    <w:rsid w:val="00AD3A04"/>
    <w:rsid w:val="00AD42AF"/>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1D67"/>
    <w:rsid w:val="00AE2500"/>
    <w:rsid w:val="00AE2C46"/>
    <w:rsid w:val="00AE32B2"/>
    <w:rsid w:val="00AE3F13"/>
    <w:rsid w:val="00AE3F62"/>
    <w:rsid w:val="00AE59CC"/>
    <w:rsid w:val="00AE5CD9"/>
    <w:rsid w:val="00AE61E4"/>
    <w:rsid w:val="00AE61EF"/>
    <w:rsid w:val="00AE62C0"/>
    <w:rsid w:val="00AE6498"/>
    <w:rsid w:val="00AE6F11"/>
    <w:rsid w:val="00AE7437"/>
    <w:rsid w:val="00AE7AF7"/>
    <w:rsid w:val="00AF0346"/>
    <w:rsid w:val="00AF043D"/>
    <w:rsid w:val="00AF05D4"/>
    <w:rsid w:val="00AF0F61"/>
    <w:rsid w:val="00AF1CBC"/>
    <w:rsid w:val="00AF1F4D"/>
    <w:rsid w:val="00AF2272"/>
    <w:rsid w:val="00AF2292"/>
    <w:rsid w:val="00AF2689"/>
    <w:rsid w:val="00AF2A37"/>
    <w:rsid w:val="00AF381A"/>
    <w:rsid w:val="00AF3F33"/>
    <w:rsid w:val="00AF42F8"/>
    <w:rsid w:val="00AF432C"/>
    <w:rsid w:val="00AF49D2"/>
    <w:rsid w:val="00AF4BD3"/>
    <w:rsid w:val="00AF4E8A"/>
    <w:rsid w:val="00AF53DD"/>
    <w:rsid w:val="00AF5878"/>
    <w:rsid w:val="00AF5C48"/>
    <w:rsid w:val="00AF63D0"/>
    <w:rsid w:val="00AF63EA"/>
    <w:rsid w:val="00AF692C"/>
    <w:rsid w:val="00AF6FBC"/>
    <w:rsid w:val="00AF732A"/>
    <w:rsid w:val="00AF74F0"/>
    <w:rsid w:val="00B000CD"/>
    <w:rsid w:val="00B00850"/>
    <w:rsid w:val="00B00CAB"/>
    <w:rsid w:val="00B00E51"/>
    <w:rsid w:val="00B00FFB"/>
    <w:rsid w:val="00B01A58"/>
    <w:rsid w:val="00B0284F"/>
    <w:rsid w:val="00B02EF2"/>
    <w:rsid w:val="00B03193"/>
    <w:rsid w:val="00B0440A"/>
    <w:rsid w:val="00B04E47"/>
    <w:rsid w:val="00B06D9C"/>
    <w:rsid w:val="00B07D27"/>
    <w:rsid w:val="00B101D7"/>
    <w:rsid w:val="00B10276"/>
    <w:rsid w:val="00B10947"/>
    <w:rsid w:val="00B10C0B"/>
    <w:rsid w:val="00B117B0"/>
    <w:rsid w:val="00B118F6"/>
    <w:rsid w:val="00B11A06"/>
    <w:rsid w:val="00B11FA4"/>
    <w:rsid w:val="00B120BB"/>
    <w:rsid w:val="00B12265"/>
    <w:rsid w:val="00B1265C"/>
    <w:rsid w:val="00B12928"/>
    <w:rsid w:val="00B13227"/>
    <w:rsid w:val="00B1333B"/>
    <w:rsid w:val="00B13D1E"/>
    <w:rsid w:val="00B14220"/>
    <w:rsid w:val="00B142EE"/>
    <w:rsid w:val="00B14784"/>
    <w:rsid w:val="00B14C19"/>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66E"/>
    <w:rsid w:val="00B25768"/>
    <w:rsid w:val="00B2592D"/>
    <w:rsid w:val="00B25CCD"/>
    <w:rsid w:val="00B25D22"/>
    <w:rsid w:val="00B26C83"/>
    <w:rsid w:val="00B26ED0"/>
    <w:rsid w:val="00B27008"/>
    <w:rsid w:val="00B270B0"/>
    <w:rsid w:val="00B27955"/>
    <w:rsid w:val="00B30012"/>
    <w:rsid w:val="00B30A31"/>
    <w:rsid w:val="00B30D98"/>
    <w:rsid w:val="00B31A5C"/>
    <w:rsid w:val="00B31A64"/>
    <w:rsid w:val="00B31FBB"/>
    <w:rsid w:val="00B32C5A"/>
    <w:rsid w:val="00B330FB"/>
    <w:rsid w:val="00B33FDF"/>
    <w:rsid w:val="00B34120"/>
    <w:rsid w:val="00B3442B"/>
    <w:rsid w:val="00B34477"/>
    <w:rsid w:val="00B344AB"/>
    <w:rsid w:val="00B345DE"/>
    <w:rsid w:val="00B34D1D"/>
    <w:rsid w:val="00B34E1A"/>
    <w:rsid w:val="00B34F0D"/>
    <w:rsid w:val="00B35ADD"/>
    <w:rsid w:val="00B35BC2"/>
    <w:rsid w:val="00B35C4C"/>
    <w:rsid w:val="00B363A8"/>
    <w:rsid w:val="00B36A8F"/>
    <w:rsid w:val="00B36ADF"/>
    <w:rsid w:val="00B36E67"/>
    <w:rsid w:val="00B36F98"/>
    <w:rsid w:val="00B3704F"/>
    <w:rsid w:val="00B379A2"/>
    <w:rsid w:val="00B37E32"/>
    <w:rsid w:val="00B40003"/>
    <w:rsid w:val="00B4016D"/>
    <w:rsid w:val="00B408CC"/>
    <w:rsid w:val="00B40EAA"/>
    <w:rsid w:val="00B41743"/>
    <w:rsid w:val="00B41E2F"/>
    <w:rsid w:val="00B42195"/>
    <w:rsid w:val="00B42583"/>
    <w:rsid w:val="00B42763"/>
    <w:rsid w:val="00B42B11"/>
    <w:rsid w:val="00B42FA6"/>
    <w:rsid w:val="00B435E4"/>
    <w:rsid w:val="00B4366D"/>
    <w:rsid w:val="00B437DB"/>
    <w:rsid w:val="00B439FD"/>
    <w:rsid w:val="00B44569"/>
    <w:rsid w:val="00B449F5"/>
    <w:rsid w:val="00B44AF0"/>
    <w:rsid w:val="00B44B63"/>
    <w:rsid w:val="00B4514D"/>
    <w:rsid w:val="00B456FF"/>
    <w:rsid w:val="00B45A51"/>
    <w:rsid w:val="00B45F96"/>
    <w:rsid w:val="00B4649E"/>
    <w:rsid w:val="00B46A40"/>
    <w:rsid w:val="00B46CCA"/>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645"/>
    <w:rsid w:val="00B55817"/>
    <w:rsid w:val="00B55C32"/>
    <w:rsid w:val="00B562F1"/>
    <w:rsid w:val="00B565AE"/>
    <w:rsid w:val="00B56FD9"/>
    <w:rsid w:val="00B57137"/>
    <w:rsid w:val="00B57504"/>
    <w:rsid w:val="00B57B25"/>
    <w:rsid w:val="00B57FCD"/>
    <w:rsid w:val="00B60BD7"/>
    <w:rsid w:val="00B60D9E"/>
    <w:rsid w:val="00B61447"/>
    <w:rsid w:val="00B615F0"/>
    <w:rsid w:val="00B61928"/>
    <w:rsid w:val="00B61959"/>
    <w:rsid w:val="00B62231"/>
    <w:rsid w:val="00B6243A"/>
    <w:rsid w:val="00B62DC9"/>
    <w:rsid w:val="00B6311C"/>
    <w:rsid w:val="00B635BB"/>
    <w:rsid w:val="00B63793"/>
    <w:rsid w:val="00B63F47"/>
    <w:rsid w:val="00B64204"/>
    <w:rsid w:val="00B64258"/>
    <w:rsid w:val="00B647FB"/>
    <w:rsid w:val="00B64BFE"/>
    <w:rsid w:val="00B64C8E"/>
    <w:rsid w:val="00B650AD"/>
    <w:rsid w:val="00B658C6"/>
    <w:rsid w:val="00B6591F"/>
    <w:rsid w:val="00B65C28"/>
    <w:rsid w:val="00B65E63"/>
    <w:rsid w:val="00B66813"/>
    <w:rsid w:val="00B67C41"/>
    <w:rsid w:val="00B70918"/>
    <w:rsid w:val="00B70E9E"/>
    <w:rsid w:val="00B71501"/>
    <w:rsid w:val="00B715DB"/>
    <w:rsid w:val="00B717CA"/>
    <w:rsid w:val="00B72146"/>
    <w:rsid w:val="00B72176"/>
    <w:rsid w:val="00B72354"/>
    <w:rsid w:val="00B731EA"/>
    <w:rsid w:val="00B732E8"/>
    <w:rsid w:val="00B7351F"/>
    <w:rsid w:val="00B7380B"/>
    <w:rsid w:val="00B73A22"/>
    <w:rsid w:val="00B745E7"/>
    <w:rsid w:val="00B74739"/>
    <w:rsid w:val="00B749FA"/>
    <w:rsid w:val="00B74A10"/>
    <w:rsid w:val="00B74AA8"/>
    <w:rsid w:val="00B75345"/>
    <w:rsid w:val="00B75632"/>
    <w:rsid w:val="00B75873"/>
    <w:rsid w:val="00B75E5F"/>
    <w:rsid w:val="00B75F7D"/>
    <w:rsid w:val="00B7689A"/>
    <w:rsid w:val="00B773F7"/>
    <w:rsid w:val="00B7797D"/>
    <w:rsid w:val="00B77A36"/>
    <w:rsid w:val="00B77D38"/>
    <w:rsid w:val="00B77D92"/>
    <w:rsid w:val="00B77F4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494"/>
    <w:rsid w:val="00B911A5"/>
    <w:rsid w:val="00B911E7"/>
    <w:rsid w:val="00B9201A"/>
    <w:rsid w:val="00B9243C"/>
    <w:rsid w:val="00B9254A"/>
    <w:rsid w:val="00B92B2E"/>
    <w:rsid w:val="00B935F5"/>
    <w:rsid w:val="00B941FC"/>
    <w:rsid w:val="00B94247"/>
    <w:rsid w:val="00B9442E"/>
    <w:rsid w:val="00B94E51"/>
    <w:rsid w:val="00B94E6D"/>
    <w:rsid w:val="00B9583C"/>
    <w:rsid w:val="00B958BC"/>
    <w:rsid w:val="00B95EC0"/>
    <w:rsid w:val="00B96676"/>
    <w:rsid w:val="00B96800"/>
    <w:rsid w:val="00B96918"/>
    <w:rsid w:val="00B969C3"/>
    <w:rsid w:val="00B96D82"/>
    <w:rsid w:val="00B96EEF"/>
    <w:rsid w:val="00B973FB"/>
    <w:rsid w:val="00B97C92"/>
    <w:rsid w:val="00B97FBC"/>
    <w:rsid w:val="00BA014D"/>
    <w:rsid w:val="00BA12FF"/>
    <w:rsid w:val="00BA1A54"/>
    <w:rsid w:val="00BA25EF"/>
    <w:rsid w:val="00BA2C20"/>
    <w:rsid w:val="00BA2CA7"/>
    <w:rsid w:val="00BA33C6"/>
    <w:rsid w:val="00BA3630"/>
    <w:rsid w:val="00BA3AEA"/>
    <w:rsid w:val="00BA3F00"/>
    <w:rsid w:val="00BA46A4"/>
    <w:rsid w:val="00BA4A89"/>
    <w:rsid w:val="00BA4AC2"/>
    <w:rsid w:val="00BA543C"/>
    <w:rsid w:val="00BA5BFE"/>
    <w:rsid w:val="00BA5D1C"/>
    <w:rsid w:val="00BB00C0"/>
    <w:rsid w:val="00BB06AE"/>
    <w:rsid w:val="00BB18CA"/>
    <w:rsid w:val="00BB2564"/>
    <w:rsid w:val="00BB269C"/>
    <w:rsid w:val="00BB2F22"/>
    <w:rsid w:val="00BB3446"/>
    <w:rsid w:val="00BB35EA"/>
    <w:rsid w:val="00BB3EA2"/>
    <w:rsid w:val="00BB4542"/>
    <w:rsid w:val="00BB4BC4"/>
    <w:rsid w:val="00BB4BEF"/>
    <w:rsid w:val="00BB4EDF"/>
    <w:rsid w:val="00BB557F"/>
    <w:rsid w:val="00BB62E9"/>
    <w:rsid w:val="00BB6C16"/>
    <w:rsid w:val="00BB71B0"/>
    <w:rsid w:val="00BC094A"/>
    <w:rsid w:val="00BC0B3E"/>
    <w:rsid w:val="00BC0FF6"/>
    <w:rsid w:val="00BC1ADE"/>
    <w:rsid w:val="00BC22F9"/>
    <w:rsid w:val="00BC24D1"/>
    <w:rsid w:val="00BC2BBC"/>
    <w:rsid w:val="00BC393E"/>
    <w:rsid w:val="00BC3CF0"/>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1C89"/>
    <w:rsid w:val="00BD25EB"/>
    <w:rsid w:val="00BD2873"/>
    <w:rsid w:val="00BD2D39"/>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21DE"/>
    <w:rsid w:val="00BE22FC"/>
    <w:rsid w:val="00BE267C"/>
    <w:rsid w:val="00BE290C"/>
    <w:rsid w:val="00BE31B1"/>
    <w:rsid w:val="00BE4843"/>
    <w:rsid w:val="00BE4A16"/>
    <w:rsid w:val="00BE4A46"/>
    <w:rsid w:val="00BE4C21"/>
    <w:rsid w:val="00BE6642"/>
    <w:rsid w:val="00BE7852"/>
    <w:rsid w:val="00BE7BA6"/>
    <w:rsid w:val="00BE7F63"/>
    <w:rsid w:val="00BF0050"/>
    <w:rsid w:val="00BF101C"/>
    <w:rsid w:val="00BF1282"/>
    <w:rsid w:val="00BF1478"/>
    <w:rsid w:val="00BF1A6F"/>
    <w:rsid w:val="00BF366D"/>
    <w:rsid w:val="00BF3720"/>
    <w:rsid w:val="00BF3778"/>
    <w:rsid w:val="00BF3BE7"/>
    <w:rsid w:val="00BF3FDC"/>
    <w:rsid w:val="00BF43A8"/>
    <w:rsid w:val="00BF5256"/>
    <w:rsid w:val="00BF5826"/>
    <w:rsid w:val="00BF5CF0"/>
    <w:rsid w:val="00BF5E77"/>
    <w:rsid w:val="00BF661B"/>
    <w:rsid w:val="00BF6BA6"/>
    <w:rsid w:val="00BF6FAA"/>
    <w:rsid w:val="00BF74F7"/>
    <w:rsid w:val="00BF7EDC"/>
    <w:rsid w:val="00C00635"/>
    <w:rsid w:val="00C01DD8"/>
    <w:rsid w:val="00C01E75"/>
    <w:rsid w:val="00C02404"/>
    <w:rsid w:val="00C024C9"/>
    <w:rsid w:val="00C024E3"/>
    <w:rsid w:val="00C02721"/>
    <w:rsid w:val="00C02B31"/>
    <w:rsid w:val="00C03142"/>
    <w:rsid w:val="00C03501"/>
    <w:rsid w:val="00C03F4A"/>
    <w:rsid w:val="00C03FEF"/>
    <w:rsid w:val="00C04FA3"/>
    <w:rsid w:val="00C04FA6"/>
    <w:rsid w:val="00C0507E"/>
    <w:rsid w:val="00C05D2B"/>
    <w:rsid w:val="00C06345"/>
    <w:rsid w:val="00C06C0A"/>
    <w:rsid w:val="00C076B6"/>
    <w:rsid w:val="00C07994"/>
    <w:rsid w:val="00C100AF"/>
    <w:rsid w:val="00C1091A"/>
    <w:rsid w:val="00C109E4"/>
    <w:rsid w:val="00C10CAD"/>
    <w:rsid w:val="00C10D04"/>
    <w:rsid w:val="00C1167E"/>
    <w:rsid w:val="00C11CAF"/>
    <w:rsid w:val="00C12A8B"/>
    <w:rsid w:val="00C12D7B"/>
    <w:rsid w:val="00C13349"/>
    <w:rsid w:val="00C13932"/>
    <w:rsid w:val="00C13CFD"/>
    <w:rsid w:val="00C143CC"/>
    <w:rsid w:val="00C14405"/>
    <w:rsid w:val="00C14E17"/>
    <w:rsid w:val="00C150F5"/>
    <w:rsid w:val="00C153D3"/>
    <w:rsid w:val="00C1572D"/>
    <w:rsid w:val="00C15C49"/>
    <w:rsid w:val="00C15C9B"/>
    <w:rsid w:val="00C15E88"/>
    <w:rsid w:val="00C1642D"/>
    <w:rsid w:val="00C16780"/>
    <w:rsid w:val="00C16E7F"/>
    <w:rsid w:val="00C16FF3"/>
    <w:rsid w:val="00C1720B"/>
    <w:rsid w:val="00C17D01"/>
    <w:rsid w:val="00C17F77"/>
    <w:rsid w:val="00C211B3"/>
    <w:rsid w:val="00C215E1"/>
    <w:rsid w:val="00C21CF3"/>
    <w:rsid w:val="00C221C8"/>
    <w:rsid w:val="00C22278"/>
    <w:rsid w:val="00C22CB0"/>
    <w:rsid w:val="00C2312A"/>
    <w:rsid w:val="00C24391"/>
    <w:rsid w:val="00C248DB"/>
    <w:rsid w:val="00C24D80"/>
    <w:rsid w:val="00C252AE"/>
    <w:rsid w:val="00C25366"/>
    <w:rsid w:val="00C253C1"/>
    <w:rsid w:val="00C253C4"/>
    <w:rsid w:val="00C25452"/>
    <w:rsid w:val="00C256A8"/>
    <w:rsid w:val="00C25810"/>
    <w:rsid w:val="00C25A17"/>
    <w:rsid w:val="00C26030"/>
    <w:rsid w:val="00C260DD"/>
    <w:rsid w:val="00C268A9"/>
    <w:rsid w:val="00C26DDB"/>
    <w:rsid w:val="00C26EFC"/>
    <w:rsid w:val="00C26FF1"/>
    <w:rsid w:val="00C27A85"/>
    <w:rsid w:val="00C27F1A"/>
    <w:rsid w:val="00C3002B"/>
    <w:rsid w:val="00C3053C"/>
    <w:rsid w:val="00C32AB4"/>
    <w:rsid w:val="00C32B7C"/>
    <w:rsid w:val="00C340B3"/>
    <w:rsid w:val="00C344E2"/>
    <w:rsid w:val="00C345F2"/>
    <w:rsid w:val="00C35110"/>
    <w:rsid w:val="00C3554F"/>
    <w:rsid w:val="00C36396"/>
    <w:rsid w:val="00C366F9"/>
    <w:rsid w:val="00C37323"/>
    <w:rsid w:val="00C3771F"/>
    <w:rsid w:val="00C3775C"/>
    <w:rsid w:val="00C37C61"/>
    <w:rsid w:val="00C37F46"/>
    <w:rsid w:val="00C40020"/>
    <w:rsid w:val="00C4083B"/>
    <w:rsid w:val="00C408A1"/>
    <w:rsid w:val="00C40C8D"/>
    <w:rsid w:val="00C40DA6"/>
    <w:rsid w:val="00C40DB1"/>
    <w:rsid w:val="00C4107B"/>
    <w:rsid w:val="00C41803"/>
    <w:rsid w:val="00C4196A"/>
    <w:rsid w:val="00C41EF2"/>
    <w:rsid w:val="00C42073"/>
    <w:rsid w:val="00C42137"/>
    <w:rsid w:val="00C42217"/>
    <w:rsid w:val="00C424EF"/>
    <w:rsid w:val="00C4259B"/>
    <w:rsid w:val="00C42730"/>
    <w:rsid w:val="00C42B31"/>
    <w:rsid w:val="00C43270"/>
    <w:rsid w:val="00C43AB1"/>
    <w:rsid w:val="00C43AF1"/>
    <w:rsid w:val="00C44576"/>
    <w:rsid w:val="00C4466C"/>
    <w:rsid w:val="00C447D1"/>
    <w:rsid w:val="00C44A51"/>
    <w:rsid w:val="00C44B01"/>
    <w:rsid w:val="00C45651"/>
    <w:rsid w:val="00C45891"/>
    <w:rsid w:val="00C459A4"/>
    <w:rsid w:val="00C45B15"/>
    <w:rsid w:val="00C45D10"/>
    <w:rsid w:val="00C45DDA"/>
    <w:rsid w:val="00C46434"/>
    <w:rsid w:val="00C46539"/>
    <w:rsid w:val="00C46D45"/>
    <w:rsid w:val="00C4704C"/>
    <w:rsid w:val="00C4719B"/>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7965"/>
    <w:rsid w:val="00C57DBB"/>
    <w:rsid w:val="00C6056E"/>
    <w:rsid w:val="00C60B4E"/>
    <w:rsid w:val="00C60C4A"/>
    <w:rsid w:val="00C60D57"/>
    <w:rsid w:val="00C613DE"/>
    <w:rsid w:val="00C61790"/>
    <w:rsid w:val="00C61852"/>
    <w:rsid w:val="00C61CAC"/>
    <w:rsid w:val="00C61CDE"/>
    <w:rsid w:val="00C625FD"/>
    <w:rsid w:val="00C6374E"/>
    <w:rsid w:val="00C6416E"/>
    <w:rsid w:val="00C6437E"/>
    <w:rsid w:val="00C64C3B"/>
    <w:rsid w:val="00C64DC3"/>
    <w:rsid w:val="00C65820"/>
    <w:rsid w:val="00C65F39"/>
    <w:rsid w:val="00C6621C"/>
    <w:rsid w:val="00C67761"/>
    <w:rsid w:val="00C679DA"/>
    <w:rsid w:val="00C67A74"/>
    <w:rsid w:val="00C70DCD"/>
    <w:rsid w:val="00C711B7"/>
    <w:rsid w:val="00C71C1D"/>
    <w:rsid w:val="00C71E17"/>
    <w:rsid w:val="00C72166"/>
    <w:rsid w:val="00C72394"/>
    <w:rsid w:val="00C72487"/>
    <w:rsid w:val="00C724B5"/>
    <w:rsid w:val="00C7263A"/>
    <w:rsid w:val="00C72936"/>
    <w:rsid w:val="00C72D96"/>
    <w:rsid w:val="00C734CD"/>
    <w:rsid w:val="00C73E15"/>
    <w:rsid w:val="00C74191"/>
    <w:rsid w:val="00C741A3"/>
    <w:rsid w:val="00C74228"/>
    <w:rsid w:val="00C7443C"/>
    <w:rsid w:val="00C744C0"/>
    <w:rsid w:val="00C745EC"/>
    <w:rsid w:val="00C74652"/>
    <w:rsid w:val="00C7511D"/>
    <w:rsid w:val="00C75173"/>
    <w:rsid w:val="00C75315"/>
    <w:rsid w:val="00C7569E"/>
    <w:rsid w:val="00C75D58"/>
    <w:rsid w:val="00C760B0"/>
    <w:rsid w:val="00C76B7A"/>
    <w:rsid w:val="00C77076"/>
    <w:rsid w:val="00C7749D"/>
    <w:rsid w:val="00C77753"/>
    <w:rsid w:val="00C778E1"/>
    <w:rsid w:val="00C77FCE"/>
    <w:rsid w:val="00C81FF4"/>
    <w:rsid w:val="00C82850"/>
    <w:rsid w:val="00C83374"/>
    <w:rsid w:val="00C833A9"/>
    <w:rsid w:val="00C8493E"/>
    <w:rsid w:val="00C84BDE"/>
    <w:rsid w:val="00C85CD7"/>
    <w:rsid w:val="00C85FA8"/>
    <w:rsid w:val="00C869C1"/>
    <w:rsid w:val="00C86BB8"/>
    <w:rsid w:val="00C86E80"/>
    <w:rsid w:val="00C87C01"/>
    <w:rsid w:val="00C87D9F"/>
    <w:rsid w:val="00C87F7B"/>
    <w:rsid w:val="00C903C1"/>
    <w:rsid w:val="00C90432"/>
    <w:rsid w:val="00C904D0"/>
    <w:rsid w:val="00C91260"/>
    <w:rsid w:val="00C91B00"/>
    <w:rsid w:val="00C91D63"/>
    <w:rsid w:val="00C91E8D"/>
    <w:rsid w:val="00C9277A"/>
    <w:rsid w:val="00C93651"/>
    <w:rsid w:val="00C9373E"/>
    <w:rsid w:val="00C93EDE"/>
    <w:rsid w:val="00C940D1"/>
    <w:rsid w:val="00C940E9"/>
    <w:rsid w:val="00C945AE"/>
    <w:rsid w:val="00C95093"/>
    <w:rsid w:val="00C952EB"/>
    <w:rsid w:val="00C95493"/>
    <w:rsid w:val="00C956ED"/>
    <w:rsid w:val="00C95ABF"/>
    <w:rsid w:val="00C967CC"/>
    <w:rsid w:val="00C973B8"/>
    <w:rsid w:val="00C9797D"/>
    <w:rsid w:val="00C97B4E"/>
    <w:rsid w:val="00CA0CD8"/>
    <w:rsid w:val="00CA0FA7"/>
    <w:rsid w:val="00CA1416"/>
    <w:rsid w:val="00CA1CD3"/>
    <w:rsid w:val="00CA3186"/>
    <w:rsid w:val="00CA398D"/>
    <w:rsid w:val="00CA431B"/>
    <w:rsid w:val="00CA4C07"/>
    <w:rsid w:val="00CA51A6"/>
    <w:rsid w:val="00CA53EB"/>
    <w:rsid w:val="00CA5694"/>
    <w:rsid w:val="00CA5A12"/>
    <w:rsid w:val="00CA6A08"/>
    <w:rsid w:val="00CA6D7D"/>
    <w:rsid w:val="00CA7B52"/>
    <w:rsid w:val="00CB0157"/>
    <w:rsid w:val="00CB03F0"/>
    <w:rsid w:val="00CB0A5D"/>
    <w:rsid w:val="00CB1B03"/>
    <w:rsid w:val="00CB29D4"/>
    <w:rsid w:val="00CB2AA3"/>
    <w:rsid w:val="00CB3245"/>
    <w:rsid w:val="00CB386C"/>
    <w:rsid w:val="00CB3884"/>
    <w:rsid w:val="00CB3968"/>
    <w:rsid w:val="00CB3D90"/>
    <w:rsid w:val="00CB40E6"/>
    <w:rsid w:val="00CB42D2"/>
    <w:rsid w:val="00CB5724"/>
    <w:rsid w:val="00CB5C80"/>
    <w:rsid w:val="00CB5CFB"/>
    <w:rsid w:val="00CB5E01"/>
    <w:rsid w:val="00CB5FCA"/>
    <w:rsid w:val="00CB706B"/>
    <w:rsid w:val="00CC0196"/>
    <w:rsid w:val="00CC0AC5"/>
    <w:rsid w:val="00CC0B16"/>
    <w:rsid w:val="00CC1188"/>
    <w:rsid w:val="00CC14EA"/>
    <w:rsid w:val="00CC15DC"/>
    <w:rsid w:val="00CC1739"/>
    <w:rsid w:val="00CC17D3"/>
    <w:rsid w:val="00CC1985"/>
    <w:rsid w:val="00CC24B8"/>
    <w:rsid w:val="00CC2557"/>
    <w:rsid w:val="00CC2B9F"/>
    <w:rsid w:val="00CC2BBD"/>
    <w:rsid w:val="00CC2D0B"/>
    <w:rsid w:val="00CC2FF9"/>
    <w:rsid w:val="00CC32AC"/>
    <w:rsid w:val="00CC3831"/>
    <w:rsid w:val="00CC406B"/>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3391"/>
    <w:rsid w:val="00CD39BD"/>
    <w:rsid w:val="00CD3AA3"/>
    <w:rsid w:val="00CD3D81"/>
    <w:rsid w:val="00CD3DEC"/>
    <w:rsid w:val="00CD42A6"/>
    <w:rsid w:val="00CD4377"/>
    <w:rsid w:val="00CD4B4F"/>
    <w:rsid w:val="00CD4BE6"/>
    <w:rsid w:val="00CD4EEE"/>
    <w:rsid w:val="00CD5007"/>
    <w:rsid w:val="00CD5715"/>
    <w:rsid w:val="00CD5B29"/>
    <w:rsid w:val="00CD5E0B"/>
    <w:rsid w:val="00CD6276"/>
    <w:rsid w:val="00CD64E2"/>
    <w:rsid w:val="00CD6E48"/>
    <w:rsid w:val="00CD7573"/>
    <w:rsid w:val="00CD78E1"/>
    <w:rsid w:val="00CD7C41"/>
    <w:rsid w:val="00CD7C61"/>
    <w:rsid w:val="00CD7E32"/>
    <w:rsid w:val="00CD7EA7"/>
    <w:rsid w:val="00CE0661"/>
    <w:rsid w:val="00CE0A2B"/>
    <w:rsid w:val="00CE115C"/>
    <w:rsid w:val="00CE14FD"/>
    <w:rsid w:val="00CE17FA"/>
    <w:rsid w:val="00CE220A"/>
    <w:rsid w:val="00CE2377"/>
    <w:rsid w:val="00CE257F"/>
    <w:rsid w:val="00CE26D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E3"/>
    <w:rsid w:val="00CE79EF"/>
    <w:rsid w:val="00CE7A58"/>
    <w:rsid w:val="00CE7FC0"/>
    <w:rsid w:val="00CF00F6"/>
    <w:rsid w:val="00CF0162"/>
    <w:rsid w:val="00CF0174"/>
    <w:rsid w:val="00CF0699"/>
    <w:rsid w:val="00CF0AB7"/>
    <w:rsid w:val="00CF0C0F"/>
    <w:rsid w:val="00CF1768"/>
    <w:rsid w:val="00CF1D08"/>
    <w:rsid w:val="00CF21C3"/>
    <w:rsid w:val="00CF2A35"/>
    <w:rsid w:val="00CF3008"/>
    <w:rsid w:val="00CF3497"/>
    <w:rsid w:val="00CF3C34"/>
    <w:rsid w:val="00CF3FB1"/>
    <w:rsid w:val="00CF44AB"/>
    <w:rsid w:val="00CF4861"/>
    <w:rsid w:val="00CF4A77"/>
    <w:rsid w:val="00CF4B13"/>
    <w:rsid w:val="00CF4CB5"/>
    <w:rsid w:val="00CF4D9C"/>
    <w:rsid w:val="00CF5077"/>
    <w:rsid w:val="00CF578A"/>
    <w:rsid w:val="00CF58EB"/>
    <w:rsid w:val="00CF59EF"/>
    <w:rsid w:val="00CF5B39"/>
    <w:rsid w:val="00CF6CD0"/>
    <w:rsid w:val="00CF713C"/>
    <w:rsid w:val="00D00504"/>
    <w:rsid w:val="00D014FE"/>
    <w:rsid w:val="00D01D3D"/>
    <w:rsid w:val="00D02F07"/>
    <w:rsid w:val="00D03541"/>
    <w:rsid w:val="00D03656"/>
    <w:rsid w:val="00D03A01"/>
    <w:rsid w:val="00D03AE5"/>
    <w:rsid w:val="00D03BA5"/>
    <w:rsid w:val="00D0406C"/>
    <w:rsid w:val="00D0446D"/>
    <w:rsid w:val="00D04ACA"/>
    <w:rsid w:val="00D04BC8"/>
    <w:rsid w:val="00D04EE8"/>
    <w:rsid w:val="00D05059"/>
    <w:rsid w:val="00D058AB"/>
    <w:rsid w:val="00D06814"/>
    <w:rsid w:val="00D06EE4"/>
    <w:rsid w:val="00D071DD"/>
    <w:rsid w:val="00D077A7"/>
    <w:rsid w:val="00D0796B"/>
    <w:rsid w:val="00D07FB2"/>
    <w:rsid w:val="00D10529"/>
    <w:rsid w:val="00D117FB"/>
    <w:rsid w:val="00D119D9"/>
    <w:rsid w:val="00D12246"/>
    <w:rsid w:val="00D125C3"/>
    <w:rsid w:val="00D1268F"/>
    <w:rsid w:val="00D12A52"/>
    <w:rsid w:val="00D12E17"/>
    <w:rsid w:val="00D13290"/>
    <w:rsid w:val="00D1391B"/>
    <w:rsid w:val="00D13CDE"/>
    <w:rsid w:val="00D13F8B"/>
    <w:rsid w:val="00D148B1"/>
    <w:rsid w:val="00D149A8"/>
    <w:rsid w:val="00D15125"/>
    <w:rsid w:val="00D15468"/>
    <w:rsid w:val="00D1556C"/>
    <w:rsid w:val="00D157BF"/>
    <w:rsid w:val="00D15C84"/>
    <w:rsid w:val="00D16CC1"/>
    <w:rsid w:val="00D1763B"/>
    <w:rsid w:val="00D179F0"/>
    <w:rsid w:val="00D20111"/>
    <w:rsid w:val="00D21194"/>
    <w:rsid w:val="00D212A9"/>
    <w:rsid w:val="00D21784"/>
    <w:rsid w:val="00D223E8"/>
    <w:rsid w:val="00D22EA0"/>
    <w:rsid w:val="00D232F6"/>
    <w:rsid w:val="00D23EA9"/>
    <w:rsid w:val="00D243EB"/>
    <w:rsid w:val="00D24A39"/>
    <w:rsid w:val="00D24B4A"/>
    <w:rsid w:val="00D24FA2"/>
    <w:rsid w:val="00D25A91"/>
    <w:rsid w:val="00D262CD"/>
    <w:rsid w:val="00D26CEE"/>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3277"/>
    <w:rsid w:val="00D332DF"/>
    <w:rsid w:val="00D33E13"/>
    <w:rsid w:val="00D34528"/>
    <w:rsid w:val="00D35ACF"/>
    <w:rsid w:val="00D35BE6"/>
    <w:rsid w:val="00D36526"/>
    <w:rsid w:val="00D366F5"/>
    <w:rsid w:val="00D36DFD"/>
    <w:rsid w:val="00D37241"/>
    <w:rsid w:val="00D37873"/>
    <w:rsid w:val="00D40207"/>
    <w:rsid w:val="00D40639"/>
    <w:rsid w:val="00D4071F"/>
    <w:rsid w:val="00D40A37"/>
    <w:rsid w:val="00D41607"/>
    <w:rsid w:val="00D41A09"/>
    <w:rsid w:val="00D41B1C"/>
    <w:rsid w:val="00D4287B"/>
    <w:rsid w:val="00D4364A"/>
    <w:rsid w:val="00D43E78"/>
    <w:rsid w:val="00D44A5D"/>
    <w:rsid w:val="00D45C9A"/>
    <w:rsid w:val="00D462D7"/>
    <w:rsid w:val="00D4661A"/>
    <w:rsid w:val="00D47F5D"/>
    <w:rsid w:val="00D5023C"/>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3619"/>
    <w:rsid w:val="00D63A64"/>
    <w:rsid w:val="00D63B39"/>
    <w:rsid w:val="00D63B4E"/>
    <w:rsid w:val="00D63C0F"/>
    <w:rsid w:val="00D63D6C"/>
    <w:rsid w:val="00D64095"/>
    <w:rsid w:val="00D64141"/>
    <w:rsid w:val="00D64AED"/>
    <w:rsid w:val="00D64E37"/>
    <w:rsid w:val="00D65825"/>
    <w:rsid w:val="00D659CD"/>
    <w:rsid w:val="00D65A5D"/>
    <w:rsid w:val="00D66133"/>
    <w:rsid w:val="00D668A0"/>
    <w:rsid w:val="00D67043"/>
    <w:rsid w:val="00D67078"/>
    <w:rsid w:val="00D671C5"/>
    <w:rsid w:val="00D67BE9"/>
    <w:rsid w:val="00D67FC9"/>
    <w:rsid w:val="00D7008E"/>
    <w:rsid w:val="00D70236"/>
    <w:rsid w:val="00D7045E"/>
    <w:rsid w:val="00D710C9"/>
    <w:rsid w:val="00D71272"/>
    <w:rsid w:val="00D717D4"/>
    <w:rsid w:val="00D73353"/>
    <w:rsid w:val="00D73506"/>
    <w:rsid w:val="00D7483A"/>
    <w:rsid w:val="00D74B72"/>
    <w:rsid w:val="00D74CDA"/>
    <w:rsid w:val="00D752A4"/>
    <w:rsid w:val="00D75B5A"/>
    <w:rsid w:val="00D75FBB"/>
    <w:rsid w:val="00D768EC"/>
    <w:rsid w:val="00D76CA5"/>
    <w:rsid w:val="00D77A9F"/>
    <w:rsid w:val="00D80070"/>
    <w:rsid w:val="00D80A71"/>
    <w:rsid w:val="00D80C34"/>
    <w:rsid w:val="00D80CB7"/>
    <w:rsid w:val="00D81170"/>
    <w:rsid w:val="00D81E05"/>
    <w:rsid w:val="00D81FFB"/>
    <w:rsid w:val="00D8296E"/>
    <w:rsid w:val="00D83184"/>
    <w:rsid w:val="00D8342D"/>
    <w:rsid w:val="00D8355E"/>
    <w:rsid w:val="00D839E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67B"/>
    <w:rsid w:val="00D87A7B"/>
    <w:rsid w:val="00D90106"/>
    <w:rsid w:val="00D906F1"/>
    <w:rsid w:val="00D91401"/>
    <w:rsid w:val="00D917C8"/>
    <w:rsid w:val="00D9185C"/>
    <w:rsid w:val="00D92744"/>
    <w:rsid w:val="00D9277D"/>
    <w:rsid w:val="00D92B9F"/>
    <w:rsid w:val="00D92CEC"/>
    <w:rsid w:val="00D93770"/>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A28"/>
    <w:rsid w:val="00DA4159"/>
    <w:rsid w:val="00DA4647"/>
    <w:rsid w:val="00DA4A0D"/>
    <w:rsid w:val="00DA50D7"/>
    <w:rsid w:val="00DA5543"/>
    <w:rsid w:val="00DA61FD"/>
    <w:rsid w:val="00DA651B"/>
    <w:rsid w:val="00DA664E"/>
    <w:rsid w:val="00DA6882"/>
    <w:rsid w:val="00DA7136"/>
    <w:rsid w:val="00DB07FB"/>
    <w:rsid w:val="00DB09FD"/>
    <w:rsid w:val="00DB10F4"/>
    <w:rsid w:val="00DB1161"/>
    <w:rsid w:val="00DB18C0"/>
    <w:rsid w:val="00DB1E18"/>
    <w:rsid w:val="00DB22B2"/>
    <w:rsid w:val="00DB23EF"/>
    <w:rsid w:val="00DB2C23"/>
    <w:rsid w:val="00DB2D2C"/>
    <w:rsid w:val="00DB2D86"/>
    <w:rsid w:val="00DB2DB8"/>
    <w:rsid w:val="00DB2E91"/>
    <w:rsid w:val="00DB308B"/>
    <w:rsid w:val="00DB3CAA"/>
    <w:rsid w:val="00DB403E"/>
    <w:rsid w:val="00DB44AC"/>
    <w:rsid w:val="00DB4DA0"/>
    <w:rsid w:val="00DB585E"/>
    <w:rsid w:val="00DB6C9B"/>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0F7"/>
    <w:rsid w:val="00DD464F"/>
    <w:rsid w:val="00DD4694"/>
    <w:rsid w:val="00DD50C3"/>
    <w:rsid w:val="00DD5DC1"/>
    <w:rsid w:val="00DD5FBE"/>
    <w:rsid w:val="00DD693C"/>
    <w:rsid w:val="00DD6E55"/>
    <w:rsid w:val="00DD71A8"/>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2B39"/>
    <w:rsid w:val="00DE2BDB"/>
    <w:rsid w:val="00DE361D"/>
    <w:rsid w:val="00DE39AF"/>
    <w:rsid w:val="00DE3E4A"/>
    <w:rsid w:val="00DE419B"/>
    <w:rsid w:val="00DE4FEE"/>
    <w:rsid w:val="00DE524A"/>
    <w:rsid w:val="00DE5B8B"/>
    <w:rsid w:val="00DE5E9D"/>
    <w:rsid w:val="00DE6B56"/>
    <w:rsid w:val="00DE6C03"/>
    <w:rsid w:val="00DE6C3B"/>
    <w:rsid w:val="00DE6E09"/>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45B1"/>
    <w:rsid w:val="00DF4738"/>
    <w:rsid w:val="00DF493E"/>
    <w:rsid w:val="00DF4E5C"/>
    <w:rsid w:val="00DF4F7B"/>
    <w:rsid w:val="00DF5236"/>
    <w:rsid w:val="00DF5F11"/>
    <w:rsid w:val="00DF627B"/>
    <w:rsid w:val="00DF65C7"/>
    <w:rsid w:val="00DF66AE"/>
    <w:rsid w:val="00DF671E"/>
    <w:rsid w:val="00DF674C"/>
    <w:rsid w:val="00DF6C38"/>
    <w:rsid w:val="00DF6DE6"/>
    <w:rsid w:val="00DF6F3C"/>
    <w:rsid w:val="00DF78EF"/>
    <w:rsid w:val="00DF7B52"/>
    <w:rsid w:val="00DF7C3F"/>
    <w:rsid w:val="00DF7C6A"/>
    <w:rsid w:val="00DF7CD8"/>
    <w:rsid w:val="00DF7F9E"/>
    <w:rsid w:val="00E0020C"/>
    <w:rsid w:val="00E00C5E"/>
    <w:rsid w:val="00E0176B"/>
    <w:rsid w:val="00E01831"/>
    <w:rsid w:val="00E018B7"/>
    <w:rsid w:val="00E0194E"/>
    <w:rsid w:val="00E01CD9"/>
    <w:rsid w:val="00E01D06"/>
    <w:rsid w:val="00E01D73"/>
    <w:rsid w:val="00E0306F"/>
    <w:rsid w:val="00E0333C"/>
    <w:rsid w:val="00E034A4"/>
    <w:rsid w:val="00E037DB"/>
    <w:rsid w:val="00E03C0D"/>
    <w:rsid w:val="00E03F1F"/>
    <w:rsid w:val="00E04076"/>
    <w:rsid w:val="00E04137"/>
    <w:rsid w:val="00E0454B"/>
    <w:rsid w:val="00E0474E"/>
    <w:rsid w:val="00E04E4B"/>
    <w:rsid w:val="00E06310"/>
    <w:rsid w:val="00E07015"/>
    <w:rsid w:val="00E071E5"/>
    <w:rsid w:val="00E07559"/>
    <w:rsid w:val="00E103ED"/>
    <w:rsid w:val="00E103FF"/>
    <w:rsid w:val="00E10654"/>
    <w:rsid w:val="00E10A07"/>
    <w:rsid w:val="00E10A77"/>
    <w:rsid w:val="00E10E13"/>
    <w:rsid w:val="00E1133A"/>
    <w:rsid w:val="00E11815"/>
    <w:rsid w:val="00E1188B"/>
    <w:rsid w:val="00E11FB2"/>
    <w:rsid w:val="00E1212F"/>
    <w:rsid w:val="00E12409"/>
    <w:rsid w:val="00E12F50"/>
    <w:rsid w:val="00E143BF"/>
    <w:rsid w:val="00E14577"/>
    <w:rsid w:val="00E145B4"/>
    <w:rsid w:val="00E152AD"/>
    <w:rsid w:val="00E1548D"/>
    <w:rsid w:val="00E156B4"/>
    <w:rsid w:val="00E15745"/>
    <w:rsid w:val="00E15DFD"/>
    <w:rsid w:val="00E15F74"/>
    <w:rsid w:val="00E16182"/>
    <w:rsid w:val="00E16C9D"/>
    <w:rsid w:val="00E16D5E"/>
    <w:rsid w:val="00E16F1B"/>
    <w:rsid w:val="00E173DF"/>
    <w:rsid w:val="00E17714"/>
    <w:rsid w:val="00E20B9F"/>
    <w:rsid w:val="00E21222"/>
    <w:rsid w:val="00E22BFF"/>
    <w:rsid w:val="00E230D2"/>
    <w:rsid w:val="00E234EA"/>
    <w:rsid w:val="00E237F4"/>
    <w:rsid w:val="00E25F15"/>
    <w:rsid w:val="00E2628C"/>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08"/>
    <w:rsid w:val="00E322F8"/>
    <w:rsid w:val="00E32B01"/>
    <w:rsid w:val="00E33286"/>
    <w:rsid w:val="00E33566"/>
    <w:rsid w:val="00E33567"/>
    <w:rsid w:val="00E33591"/>
    <w:rsid w:val="00E33F49"/>
    <w:rsid w:val="00E34432"/>
    <w:rsid w:val="00E34812"/>
    <w:rsid w:val="00E34BD6"/>
    <w:rsid w:val="00E35933"/>
    <w:rsid w:val="00E35E1C"/>
    <w:rsid w:val="00E365F7"/>
    <w:rsid w:val="00E375A7"/>
    <w:rsid w:val="00E37691"/>
    <w:rsid w:val="00E377DA"/>
    <w:rsid w:val="00E3798E"/>
    <w:rsid w:val="00E37FCD"/>
    <w:rsid w:val="00E40CCC"/>
    <w:rsid w:val="00E41385"/>
    <w:rsid w:val="00E416AF"/>
    <w:rsid w:val="00E41BAF"/>
    <w:rsid w:val="00E41E2D"/>
    <w:rsid w:val="00E42820"/>
    <w:rsid w:val="00E42BE9"/>
    <w:rsid w:val="00E4317B"/>
    <w:rsid w:val="00E432E2"/>
    <w:rsid w:val="00E43DF4"/>
    <w:rsid w:val="00E4450C"/>
    <w:rsid w:val="00E4455E"/>
    <w:rsid w:val="00E44F40"/>
    <w:rsid w:val="00E450E2"/>
    <w:rsid w:val="00E45739"/>
    <w:rsid w:val="00E45E52"/>
    <w:rsid w:val="00E469D9"/>
    <w:rsid w:val="00E46A24"/>
    <w:rsid w:val="00E502C5"/>
    <w:rsid w:val="00E50457"/>
    <w:rsid w:val="00E5056F"/>
    <w:rsid w:val="00E50A78"/>
    <w:rsid w:val="00E50CC7"/>
    <w:rsid w:val="00E50E35"/>
    <w:rsid w:val="00E51A41"/>
    <w:rsid w:val="00E51D18"/>
    <w:rsid w:val="00E525FE"/>
    <w:rsid w:val="00E53C9D"/>
    <w:rsid w:val="00E542DE"/>
    <w:rsid w:val="00E55463"/>
    <w:rsid w:val="00E5573B"/>
    <w:rsid w:val="00E5598D"/>
    <w:rsid w:val="00E559AA"/>
    <w:rsid w:val="00E55A9C"/>
    <w:rsid w:val="00E55AB3"/>
    <w:rsid w:val="00E55F23"/>
    <w:rsid w:val="00E5648E"/>
    <w:rsid w:val="00E57673"/>
    <w:rsid w:val="00E577B4"/>
    <w:rsid w:val="00E57936"/>
    <w:rsid w:val="00E6097C"/>
    <w:rsid w:val="00E614F3"/>
    <w:rsid w:val="00E616B0"/>
    <w:rsid w:val="00E61DE5"/>
    <w:rsid w:val="00E6220E"/>
    <w:rsid w:val="00E62425"/>
    <w:rsid w:val="00E62A15"/>
    <w:rsid w:val="00E63DAC"/>
    <w:rsid w:val="00E64023"/>
    <w:rsid w:val="00E640C5"/>
    <w:rsid w:val="00E648D9"/>
    <w:rsid w:val="00E65089"/>
    <w:rsid w:val="00E65791"/>
    <w:rsid w:val="00E658D1"/>
    <w:rsid w:val="00E65AD6"/>
    <w:rsid w:val="00E65F94"/>
    <w:rsid w:val="00E66302"/>
    <w:rsid w:val="00E6733D"/>
    <w:rsid w:val="00E6752F"/>
    <w:rsid w:val="00E6765B"/>
    <w:rsid w:val="00E67F9B"/>
    <w:rsid w:val="00E70150"/>
    <w:rsid w:val="00E70CA8"/>
    <w:rsid w:val="00E71065"/>
    <w:rsid w:val="00E716FC"/>
    <w:rsid w:val="00E71933"/>
    <w:rsid w:val="00E722CC"/>
    <w:rsid w:val="00E725A8"/>
    <w:rsid w:val="00E72674"/>
    <w:rsid w:val="00E726E3"/>
    <w:rsid w:val="00E72BFB"/>
    <w:rsid w:val="00E72E01"/>
    <w:rsid w:val="00E73C1D"/>
    <w:rsid w:val="00E73E0B"/>
    <w:rsid w:val="00E7426F"/>
    <w:rsid w:val="00E74535"/>
    <w:rsid w:val="00E7498B"/>
    <w:rsid w:val="00E74BA2"/>
    <w:rsid w:val="00E74BEA"/>
    <w:rsid w:val="00E74E93"/>
    <w:rsid w:val="00E75223"/>
    <w:rsid w:val="00E75992"/>
    <w:rsid w:val="00E75D08"/>
    <w:rsid w:val="00E76187"/>
    <w:rsid w:val="00E7619E"/>
    <w:rsid w:val="00E76346"/>
    <w:rsid w:val="00E7669F"/>
    <w:rsid w:val="00E766A5"/>
    <w:rsid w:val="00E766F4"/>
    <w:rsid w:val="00E76EBD"/>
    <w:rsid w:val="00E77AFF"/>
    <w:rsid w:val="00E77D11"/>
    <w:rsid w:val="00E77DD4"/>
    <w:rsid w:val="00E801DE"/>
    <w:rsid w:val="00E80268"/>
    <w:rsid w:val="00E80826"/>
    <w:rsid w:val="00E80E56"/>
    <w:rsid w:val="00E80F1B"/>
    <w:rsid w:val="00E815F7"/>
    <w:rsid w:val="00E81AA2"/>
    <w:rsid w:val="00E81ABC"/>
    <w:rsid w:val="00E81B33"/>
    <w:rsid w:val="00E81B60"/>
    <w:rsid w:val="00E81CA9"/>
    <w:rsid w:val="00E81CBF"/>
    <w:rsid w:val="00E82759"/>
    <w:rsid w:val="00E82911"/>
    <w:rsid w:val="00E8318C"/>
    <w:rsid w:val="00E83D4F"/>
    <w:rsid w:val="00E84378"/>
    <w:rsid w:val="00E84DA2"/>
    <w:rsid w:val="00E84E69"/>
    <w:rsid w:val="00E84EAB"/>
    <w:rsid w:val="00E85AE3"/>
    <w:rsid w:val="00E862E4"/>
    <w:rsid w:val="00E869E5"/>
    <w:rsid w:val="00E86C25"/>
    <w:rsid w:val="00E876C2"/>
    <w:rsid w:val="00E8793D"/>
    <w:rsid w:val="00E87FE9"/>
    <w:rsid w:val="00E90B08"/>
    <w:rsid w:val="00E91395"/>
    <w:rsid w:val="00E924C1"/>
    <w:rsid w:val="00E92A7F"/>
    <w:rsid w:val="00E93076"/>
    <w:rsid w:val="00E93493"/>
    <w:rsid w:val="00E935A5"/>
    <w:rsid w:val="00E935FF"/>
    <w:rsid w:val="00E938A8"/>
    <w:rsid w:val="00E946A6"/>
    <w:rsid w:val="00E9541A"/>
    <w:rsid w:val="00E95BB0"/>
    <w:rsid w:val="00E9609B"/>
    <w:rsid w:val="00E96167"/>
    <w:rsid w:val="00E96E4B"/>
    <w:rsid w:val="00E971E1"/>
    <w:rsid w:val="00E97600"/>
    <w:rsid w:val="00E97E12"/>
    <w:rsid w:val="00EA0A54"/>
    <w:rsid w:val="00EA0A5C"/>
    <w:rsid w:val="00EA0DE9"/>
    <w:rsid w:val="00EA0FFB"/>
    <w:rsid w:val="00EA144B"/>
    <w:rsid w:val="00EA166C"/>
    <w:rsid w:val="00EA1674"/>
    <w:rsid w:val="00EA19F4"/>
    <w:rsid w:val="00EA1A57"/>
    <w:rsid w:val="00EA1BA9"/>
    <w:rsid w:val="00EA21BF"/>
    <w:rsid w:val="00EA2BAA"/>
    <w:rsid w:val="00EA2FC9"/>
    <w:rsid w:val="00EA32AE"/>
    <w:rsid w:val="00EA3DA2"/>
    <w:rsid w:val="00EA3DBB"/>
    <w:rsid w:val="00EA429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70D"/>
    <w:rsid w:val="00EB4B4F"/>
    <w:rsid w:val="00EB4E56"/>
    <w:rsid w:val="00EB4EF9"/>
    <w:rsid w:val="00EB515D"/>
    <w:rsid w:val="00EB5539"/>
    <w:rsid w:val="00EB5826"/>
    <w:rsid w:val="00EB5E54"/>
    <w:rsid w:val="00EB72AC"/>
    <w:rsid w:val="00EB7621"/>
    <w:rsid w:val="00EB7779"/>
    <w:rsid w:val="00EB79A7"/>
    <w:rsid w:val="00EB7B79"/>
    <w:rsid w:val="00EC0100"/>
    <w:rsid w:val="00EC0925"/>
    <w:rsid w:val="00EC124F"/>
    <w:rsid w:val="00EC1A50"/>
    <w:rsid w:val="00EC2056"/>
    <w:rsid w:val="00EC2289"/>
    <w:rsid w:val="00EC2651"/>
    <w:rsid w:val="00EC2D84"/>
    <w:rsid w:val="00EC3261"/>
    <w:rsid w:val="00EC3F0C"/>
    <w:rsid w:val="00EC3F57"/>
    <w:rsid w:val="00EC401C"/>
    <w:rsid w:val="00EC4C09"/>
    <w:rsid w:val="00EC5022"/>
    <w:rsid w:val="00EC5065"/>
    <w:rsid w:val="00EC5545"/>
    <w:rsid w:val="00EC571A"/>
    <w:rsid w:val="00EC5BD4"/>
    <w:rsid w:val="00EC6315"/>
    <w:rsid w:val="00EC665E"/>
    <w:rsid w:val="00EC66ED"/>
    <w:rsid w:val="00EC679D"/>
    <w:rsid w:val="00EC6DBB"/>
    <w:rsid w:val="00EC7189"/>
    <w:rsid w:val="00EC73A9"/>
    <w:rsid w:val="00EC73B0"/>
    <w:rsid w:val="00EC7415"/>
    <w:rsid w:val="00EC7422"/>
    <w:rsid w:val="00EC7E90"/>
    <w:rsid w:val="00ED018A"/>
    <w:rsid w:val="00ED01DC"/>
    <w:rsid w:val="00ED026B"/>
    <w:rsid w:val="00ED0BA9"/>
    <w:rsid w:val="00ED135A"/>
    <w:rsid w:val="00ED1C45"/>
    <w:rsid w:val="00ED1E3D"/>
    <w:rsid w:val="00ED1F8B"/>
    <w:rsid w:val="00ED21A1"/>
    <w:rsid w:val="00ED23C1"/>
    <w:rsid w:val="00ED297B"/>
    <w:rsid w:val="00ED2FCC"/>
    <w:rsid w:val="00ED3169"/>
    <w:rsid w:val="00ED332D"/>
    <w:rsid w:val="00ED3862"/>
    <w:rsid w:val="00ED3910"/>
    <w:rsid w:val="00ED3D63"/>
    <w:rsid w:val="00ED508C"/>
    <w:rsid w:val="00ED526B"/>
    <w:rsid w:val="00ED54B4"/>
    <w:rsid w:val="00ED5692"/>
    <w:rsid w:val="00ED5C2F"/>
    <w:rsid w:val="00ED651F"/>
    <w:rsid w:val="00ED6A7D"/>
    <w:rsid w:val="00ED6B73"/>
    <w:rsid w:val="00ED7059"/>
    <w:rsid w:val="00ED73A3"/>
    <w:rsid w:val="00ED752E"/>
    <w:rsid w:val="00ED792F"/>
    <w:rsid w:val="00ED7A29"/>
    <w:rsid w:val="00ED7EDB"/>
    <w:rsid w:val="00EE043B"/>
    <w:rsid w:val="00EE07B8"/>
    <w:rsid w:val="00EE089E"/>
    <w:rsid w:val="00EE0DC3"/>
    <w:rsid w:val="00EE1884"/>
    <w:rsid w:val="00EE19C5"/>
    <w:rsid w:val="00EE22CD"/>
    <w:rsid w:val="00EE24EC"/>
    <w:rsid w:val="00EE2F6F"/>
    <w:rsid w:val="00EE3173"/>
    <w:rsid w:val="00EE33A8"/>
    <w:rsid w:val="00EE3716"/>
    <w:rsid w:val="00EE3BB1"/>
    <w:rsid w:val="00EE3C36"/>
    <w:rsid w:val="00EE3DD0"/>
    <w:rsid w:val="00EE4308"/>
    <w:rsid w:val="00EE4A94"/>
    <w:rsid w:val="00EE55C2"/>
    <w:rsid w:val="00EE575F"/>
    <w:rsid w:val="00EE5913"/>
    <w:rsid w:val="00EE5CD3"/>
    <w:rsid w:val="00EE5CDC"/>
    <w:rsid w:val="00EE6009"/>
    <w:rsid w:val="00EE62DC"/>
    <w:rsid w:val="00EE62E5"/>
    <w:rsid w:val="00EE6D20"/>
    <w:rsid w:val="00EE7812"/>
    <w:rsid w:val="00EF0605"/>
    <w:rsid w:val="00EF083C"/>
    <w:rsid w:val="00EF096A"/>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1292"/>
    <w:rsid w:val="00F01820"/>
    <w:rsid w:val="00F0182E"/>
    <w:rsid w:val="00F01CFC"/>
    <w:rsid w:val="00F028AD"/>
    <w:rsid w:val="00F02CDD"/>
    <w:rsid w:val="00F03544"/>
    <w:rsid w:val="00F0366C"/>
    <w:rsid w:val="00F03857"/>
    <w:rsid w:val="00F0392D"/>
    <w:rsid w:val="00F04061"/>
    <w:rsid w:val="00F042B9"/>
    <w:rsid w:val="00F042C8"/>
    <w:rsid w:val="00F043B8"/>
    <w:rsid w:val="00F046D3"/>
    <w:rsid w:val="00F047ED"/>
    <w:rsid w:val="00F053C9"/>
    <w:rsid w:val="00F05C4C"/>
    <w:rsid w:val="00F06431"/>
    <w:rsid w:val="00F0676E"/>
    <w:rsid w:val="00F06D0A"/>
    <w:rsid w:val="00F07190"/>
    <w:rsid w:val="00F10B13"/>
    <w:rsid w:val="00F10E0B"/>
    <w:rsid w:val="00F110ED"/>
    <w:rsid w:val="00F11816"/>
    <w:rsid w:val="00F12859"/>
    <w:rsid w:val="00F13229"/>
    <w:rsid w:val="00F13CBB"/>
    <w:rsid w:val="00F13F7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67D"/>
    <w:rsid w:val="00F219F2"/>
    <w:rsid w:val="00F21F19"/>
    <w:rsid w:val="00F22089"/>
    <w:rsid w:val="00F22217"/>
    <w:rsid w:val="00F22376"/>
    <w:rsid w:val="00F22422"/>
    <w:rsid w:val="00F23579"/>
    <w:rsid w:val="00F23B33"/>
    <w:rsid w:val="00F23B6D"/>
    <w:rsid w:val="00F23EA4"/>
    <w:rsid w:val="00F24228"/>
    <w:rsid w:val="00F247CD"/>
    <w:rsid w:val="00F24BDA"/>
    <w:rsid w:val="00F24D6A"/>
    <w:rsid w:val="00F25175"/>
    <w:rsid w:val="00F2524A"/>
    <w:rsid w:val="00F25978"/>
    <w:rsid w:val="00F2611A"/>
    <w:rsid w:val="00F262A7"/>
    <w:rsid w:val="00F267D7"/>
    <w:rsid w:val="00F268D7"/>
    <w:rsid w:val="00F273D3"/>
    <w:rsid w:val="00F27B69"/>
    <w:rsid w:val="00F306A3"/>
    <w:rsid w:val="00F306B2"/>
    <w:rsid w:val="00F30899"/>
    <w:rsid w:val="00F31064"/>
    <w:rsid w:val="00F323D9"/>
    <w:rsid w:val="00F32945"/>
    <w:rsid w:val="00F32BE3"/>
    <w:rsid w:val="00F333B7"/>
    <w:rsid w:val="00F33F5F"/>
    <w:rsid w:val="00F33F6E"/>
    <w:rsid w:val="00F34194"/>
    <w:rsid w:val="00F34243"/>
    <w:rsid w:val="00F342B4"/>
    <w:rsid w:val="00F343FF"/>
    <w:rsid w:val="00F34466"/>
    <w:rsid w:val="00F34CC5"/>
    <w:rsid w:val="00F34FC8"/>
    <w:rsid w:val="00F35990"/>
    <w:rsid w:val="00F35B92"/>
    <w:rsid w:val="00F36005"/>
    <w:rsid w:val="00F36075"/>
    <w:rsid w:val="00F365F0"/>
    <w:rsid w:val="00F3674F"/>
    <w:rsid w:val="00F368CE"/>
    <w:rsid w:val="00F36A15"/>
    <w:rsid w:val="00F36C86"/>
    <w:rsid w:val="00F379A6"/>
    <w:rsid w:val="00F37DFD"/>
    <w:rsid w:val="00F403D4"/>
    <w:rsid w:val="00F4076E"/>
    <w:rsid w:val="00F408A5"/>
    <w:rsid w:val="00F409E1"/>
    <w:rsid w:val="00F40FFA"/>
    <w:rsid w:val="00F410B5"/>
    <w:rsid w:val="00F41447"/>
    <w:rsid w:val="00F41539"/>
    <w:rsid w:val="00F41832"/>
    <w:rsid w:val="00F418E8"/>
    <w:rsid w:val="00F41CE1"/>
    <w:rsid w:val="00F42A04"/>
    <w:rsid w:val="00F43E01"/>
    <w:rsid w:val="00F4459B"/>
    <w:rsid w:val="00F4554C"/>
    <w:rsid w:val="00F458FF"/>
    <w:rsid w:val="00F464F7"/>
    <w:rsid w:val="00F4677F"/>
    <w:rsid w:val="00F477C9"/>
    <w:rsid w:val="00F47E6D"/>
    <w:rsid w:val="00F500F4"/>
    <w:rsid w:val="00F5043C"/>
    <w:rsid w:val="00F50626"/>
    <w:rsid w:val="00F50863"/>
    <w:rsid w:val="00F50DBA"/>
    <w:rsid w:val="00F514A2"/>
    <w:rsid w:val="00F51572"/>
    <w:rsid w:val="00F520F8"/>
    <w:rsid w:val="00F521E5"/>
    <w:rsid w:val="00F522F8"/>
    <w:rsid w:val="00F52F1D"/>
    <w:rsid w:val="00F52FC0"/>
    <w:rsid w:val="00F53293"/>
    <w:rsid w:val="00F53808"/>
    <w:rsid w:val="00F53A12"/>
    <w:rsid w:val="00F5481D"/>
    <w:rsid w:val="00F54BAA"/>
    <w:rsid w:val="00F55210"/>
    <w:rsid w:val="00F55855"/>
    <w:rsid w:val="00F55B9E"/>
    <w:rsid w:val="00F55C36"/>
    <w:rsid w:val="00F56E3E"/>
    <w:rsid w:val="00F578F6"/>
    <w:rsid w:val="00F57BD5"/>
    <w:rsid w:val="00F60031"/>
    <w:rsid w:val="00F606F0"/>
    <w:rsid w:val="00F60E13"/>
    <w:rsid w:val="00F61093"/>
    <w:rsid w:val="00F612B9"/>
    <w:rsid w:val="00F6164C"/>
    <w:rsid w:val="00F61DF4"/>
    <w:rsid w:val="00F623A5"/>
    <w:rsid w:val="00F62E03"/>
    <w:rsid w:val="00F635CD"/>
    <w:rsid w:val="00F6361D"/>
    <w:rsid w:val="00F6443A"/>
    <w:rsid w:val="00F6478A"/>
    <w:rsid w:val="00F64D1B"/>
    <w:rsid w:val="00F64FAA"/>
    <w:rsid w:val="00F6514B"/>
    <w:rsid w:val="00F653E6"/>
    <w:rsid w:val="00F656DB"/>
    <w:rsid w:val="00F658B5"/>
    <w:rsid w:val="00F65E06"/>
    <w:rsid w:val="00F65F01"/>
    <w:rsid w:val="00F67B59"/>
    <w:rsid w:val="00F67DAD"/>
    <w:rsid w:val="00F67F5F"/>
    <w:rsid w:val="00F70967"/>
    <w:rsid w:val="00F70AB0"/>
    <w:rsid w:val="00F71816"/>
    <w:rsid w:val="00F71BF2"/>
    <w:rsid w:val="00F71FD0"/>
    <w:rsid w:val="00F72132"/>
    <w:rsid w:val="00F7275C"/>
    <w:rsid w:val="00F7279A"/>
    <w:rsid w:val="00F73330"/>
    <w:rsid w:val="00F733E4"/>
    <w:rsid w:val="00F733F9"/>
    <w:rsid w:val="00F73818"/>
    <w:rsid w:val="00F73D16"/>
    <w:rsid w:val="00F73D39"/>
    <w:rsid w:val="00F75FEB"/>
    <w:rsid w:val="00F7625A"/>
    <w:rsid w:val="00F764FF"/>
    <w:rsid w:val="00F76746"/>
    <w:rsid w:val="00F76A66"/>
    <w:rsid w:val="00F805B3"/>
    <w:rsid w:val="00F81267"/>
    <w:rsid w:val="00F81602"/>
    <w:rsid w:val="00F816D4"/>
    <w:rsid w:val="00F82B53"/>
    <w:rsid w:val="00F82E50"/>
    <w:rsid w:val="00F83357"/>
    <w:rsid w:val="00F837B2"/>
    <w:rsid w:val="00F861EF"/>
    <w:rsid w:val="00F86626"/>
    <w:rsid w:val="00F86721"/>
    <w:rsid w:val="00F87D25"/>
    <w:rsid w:val="00F902F7"/>
    <w:rsid w:val="00F90304"/>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4C1E"/>
    <w:rsid w:val="00F94E86"/>
    <w:rsid w:val="00F9513D"/>
    <w:rsid w:val="00F95A19"/>
    <w:rsid w:val="00F95C0A"/>
    <w:rsid w:val="00F9665A"/>
    <w:rsid w:val="00F9697A"/>
    <w:rsid w:val="00F96F81"/>
    <w:rsid w:val="00F9741D"/>
    <w:rsid w:val="00F97515"/>
    <w:rsid w:val="00F9756A"/>
    <w:rsid w:val="00F975BD"/>
    <w:rsid w:val="00F97795"/>
    <w:rsid w:val="00F9797B"/>
    <w:rsid w:val="00F979EB"/>
    <w:rsid w:val="00F97EE4"/>
    <w:rsid w:val="00FA11A0"/>
    <w:rsid w:val="00FA18BC"/>
    <w:rsid w:val="00FA1ED7"/>
    <w:rsid w:val="00FA2540"/>
    <w:rsid w:val="00FA290E"/>
    <w:rsid w:val="00FA3CE5"/>
    <w:rsid w:val="00FA457C"/>
    <w:rsid w:val="00FA459A"/>
    <w:rsid w:val="00FA4662"/>
    <w:rsid w:val="00FA69B8"/>
    <w:rsid w:val="00FA70EB"/>
    <w:rsid w:val="00FA7514"/>
    <w:rsid w:val="00FA7761"/>
    <w:rsid w:val="00FA7C56"/>
    <w:rsid w:val="00FA7D31"/>
    <w:rsid w:val="00FA7DB4"/>
    <w:rsid w:val="00FA7F18"/>
    <w:rsid w:val="00FB0723"/>
    <w:rsid w:val="00FB1108"/>
    <w:rsid w:val="00FB130D"/>
    <w:rsid w:val="00FB1370"/>
    <w:rsid w:val="00FB14CD"/>
    <w:rsid w:val="00FB19D9"/>
    <w:rsid w:val="00FB29CA"/>
    <w:rsid w:val="00FB3A0D"/>
    <w:rsid w:val="00FB40BE"/>
    <w:rsid w:val="00FB4EF3"/>
    <w:rsid w:val="00FB64DF"/>
    <w:rsid w:val="00FB7390"/>
    <w:rsid w:val="00FB746B"/>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D0105"/>
    <w:rsid w:val="00FD017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5DD"/>
    <w:rsid w:val="00FD774D"/>
    <w:rsid w:val="00FD7A97"/>
    <w:rsid w:val="00FD7E28"/>
    <w:rsid w:val="00FE01D7"/>
    <w:rsid w:val="00FE0555"/>
    <w:rsid w:val="00FE0AAC"/>
    <w:rsid w:val="00FE0EA1"/>
    <w:rsid w:val="00FE1092"/>
    <w:rsid w:val="00FE1A61"/>
    <w:rsid w:val="00FE1B73"/>
    <w:rsid w:val="00FE1DE1"/>
    <w:rsid w:val="00FE2220"/>
    <w:rsid w:val="00FE22AA"/>
    <w:rsid w:val="00FE2628"/>
    <w:rsid w:val="00FE2D89"/>
    <w:rsid w:val="00FE2F8C"/>
    <w:rsid w:val="00FE34B0"/>
    <w:rsid w:val="00FE3551"/>
    <w:rsid w:val="00FE35CC"/>
    <w:rsid w:val="00FE4CD0"/>
    <w:rsid w:val="00FE5144"/>
    <w:rsid w:val="00FE5E8B"/>
    <w:rsid w:val="00FE6070"/>
    <w:rsid w:val="00FE67F4"/>
    <w:rsid w:val="00FE687C"/>
    <w:rsid w:val="00FE7148"/>
    <w:rsid w:val="00FE761D"/>
    <w:rsid w:val="00FE7D1D"/>
    <w:rsid w:val="00FE7EEA"/>
    <w:rsid w:val="00FE7FE6"/>
    <w:rsid w:val="00FF011F"/>
    <w:rsid w:val="00FF0AAC"/>
    <w:rsid w:val="00FF0E06"/>
    <w:rsid w:val="00FF1116"/>
    <w:rsid w:val="00FF189F"/>
    <w:rsid w:val="00FF1A27"/>
    <w:rsid w:val="00FF1F4A"/>
    <w:rsid w:val="00FF2207"/>
    <w:rsid w:val="00FF23D0"/>
    <w:rsid w:val="00FF27C2"/>
    <w:rsid w:val="00FF3D8D"/>
    <w:rsid w:val="00FF49F5"/>
    <w:rsid w:val="00FF5046"/>
    <w:rsid w:val="00FF5C31"/>
    <w:rsid w:val="00FF5ECF"/>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542944"/>
  <w15:chartTrackingRefBased/>
  <w15:docId w15:val="{F127E802-F056-4A8F-AB8A-99CD7A4B5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55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007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075FA"/>
    <w:pPr>
      <w:pBdr>
        <w:top w:val="none" w:sz="0" w:space="0" w:color="auto"/>
      </w:pBdr>
      <w:spacing w:before="180"/>
      <w:outlineLvl w:val="1"/>
    </w:pPr>
    <w:rPr>
      <w:sz w:val="32"/>
    </w:rPr>
  </w:style>
  <w:style w:type="paragraph" w:styleId="Heading3">
    <w:name w:val="heading 3"/>
    <w:basedOn w:val="Heading2"/>
    <w:next w:val="Normal"/>
    <w:qFormat/>
    <w:rsid w:val="000075FA"/>
    <w:pPr>
      <w:spacing w:before="120"/>
      <w:outlineLvl w:val="2"/>
    </w:pPr>
    <w:rPr>
      <w:sz w:val="28"/>
    </w:rPr>
  </w:style>
  <w:style w:type="paragraph" w:styleId="Heading4">
    <w:name w:val="heading 4"/>
    <w:basedOn w:val="Heading3"/>
    <w:next w:val="Normal"/>
    <w:qFormat/>
    <w:rsid w:val="000075FA"/>
    <w:pPr>
      <w:ind w:left="1418" w:hanging="1418"/>
      <w:outlineLvl w:val="3"/>
    </w:pPr>
    <w:rPr>
      <w:sz w:val="24"/>
    </w:rPr>
  </w:style>
  <w:style w:type="paragraph" w:styleId="Heading5">
    <w:name w:val="heading 5"/>
    <w:basedOn w:val="Heading4"/>
    <w:next w:val="Normal"/>
    <w:qFormat/>
    <w:rsid w:val="000075FA"/>
    <w:pPr>
      <w:ind w:left="1701" w:hanging="1701"/>
      <w:outlineLvl w:val="4"/>
    </w:pPr>
    <w:rPr>
      <w:sz w:val="22"/>
    </w:rPr>
  </w:style>
  <w:style w:type="paragraph" w:styleId="Heading6">
    <w:name w:val="heading 6"/>
    <w:basedOn w:val="H6"/>
    <w:next w:val="Normal"/>
    <w:qFormat/>
    <w:rsid w:val="000075FA"/>
    <w:pPr>
      <w:outlineLvl w:val="5"/>
    </w:pPr>
  </w:style>
  <w:style w:type="paragraph" w:styleId="Heading7">
    <w:name w:val="heading 7"/>
    <w:basedOn w:val="H6"/>
    <w:next w:val="Normal"/>
    <w:qFormat/>
    <w:rsid w:val="000075FA"/>
    <w:pPr>
      <w:outlineLvl w:val="6"/>
    </w:pPr>
  </w:style>
  <w:style w:type="paragraph" w:styleId="Heading8">
    <w:name w:val="heading 8"/>
    <w:basedOn w:val="Heading1"/>
    <w:next w:val="Normal"/>
    <w:qFormat/>
    <w:rsid w:val="000075FA"/>
    <w:pPr>
      <w:ind w:left="0" w:firstLine="0"/>
      <w:outlineLvl w:val="7"/>
    </w:pPr>
  </w:style>
  <w:style w:type="paragraph" w:styleId="Heading9">
    <w:name w:val="heading 9"/>
    <w:basedOn w:val="Heading8"/>
    <w:next w:val="Normal"/>
    <w:qFormat/>
    <w:rsid w:val="000075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0075FA"/>
  </w:style>
  <w:style w:type="paragraph" w:styleId="List">
    <w:name w:val="List"/>
    <w:basedOn w:val="Normal"/>
    <w:rsid w:val="000075FA"/>
    <w:pPr>
      <w:ind w:left="568" w:hanging="284"/>
    </w:pPr>
  </w:style>
  <w:style w:type="paragraph" w:customStyle="1" w:styleId="TAL">
    <w:name w:val="TAL"/>
    <w:basedOn w:val="Normal"/>
    <w:rsid w:val="000075FA"/>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0075FA"/>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0075FA"/>
    <w:pPr>
      <w:jc w:val="center"/>
    </w:pPr>
    <w:rPr>
      <w:i/>
    </w:rPr>
  </w:style>
  <w:style w:type="paragraph" w:styleId="TOC8">
    <w:name w:val="toc 8"/>
    <w:basedOn w:val="TOC1"/>
    <w:semiHidden/>
    <w:rsid w:val="000075FA"/>
    <w:pPr>
      <w:spacing w:before="180"/>
      <w:ind w:left="2693" w:hanging="2693"/>
    </w:pPr>
    <w:rPr>
      <w:b/>
    </w:rPr>
  </w:style>
  <w:style w:type="paragraph" w:styleId="TOC1">
    <w:name w:val="toc 1"/>
    <w:semiHidden/>
    <w:rsid w:val="000075F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075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075FA"/>
    <w:pPr>
      <w:ind w:left="1701" w:hanging="1701"/>
    </w:pPr>
  </w:style>
  <w:style w:type="paragraph" w:styleId="TOC4">
    <w:name w:val="toc 4"/>
    <w:basedOn w:val="TOC3"/>
    <w:semiHidden/>
    <w:rsid w:val="000075FA"/>
    <w:pPr>
      <w:ind w:left="1418" w:hanging="1418"/>
    </w:pPr>
  </w:style>
  <w:style w:type="paragraph" w:styleId="TOC3">
    <w:name w:val="toc 3"/>
    <w:basedOn w:val="TOC2"/>
    <w:semiHidden/>
    <w:rsid w:val="000075FA"/>
    <w:pPr>
      <w:ind w:left="1134" w:hanging="1134"/>
    </w:pPr>
  </w:style>
  <w:style w:type="paragraph" w:styleId="TOC2">
    <w:name w:val="toc 2"/>
    <w:basedOn w:val="TOC1"/>
    <w:semiHidden/>
    <w:rsid w:val="000075FA"/>
    <w:pPr>
      <w:keepNext w:val="0"/>
      <w:spacing w:before="0"/>
      <w:ind w:left="851" w:hanging="851"/>
    </w:pPr>
    <w:rPr>
      <w:sz w:val="20"/>
    </w:rPr>
  </w:style>
  <w:style w:type="paragraph" w:styleId="Index2">
    <w:name w:val="index 2"/>
    <w:basedOn w:val="Index1"/>
    <w:semiHidden/>
    <w:rsid w:val="000075FA"/>
    <w:pPr>
      <w:ind w:left="284"/>
    </w:pPr>
  </w:style>
  <w:style w:type="paragraph" w:styleId="Index1">
    <w:name w:val="index 1"/>
    <w:basedOn w:val="Normal"/>
    <w:semiHidden/>
    <w:rsid w:val="000075FA"/>
    <w:pPr>
      <w:keepLines/>
      <w:spacing w:after="0"/>
    </w:pPr>
  </w:style>
  <w:style w:type="paragraph" w:customStyle="1" w:styleId="ZH">
    <w:name w:val="ZH"/>
    <w:rsid w:val="000075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075FA"/>
    <w:pPr>
      <w:outlineLvl w:val="9"/>
    </w:pPr>
  </w:style>
  <w:style w:type="paragraph" w:styleId="ListNumber2">
    <w:name w:val="List Number 2"/>
    <w:basedOn w:val="ListNumber"/>
    <w:rsid w:val="000075FA"/>
    <w:pPr>
      <w:ind w:left="851"/>
    </w:pPr>
  </w:style>
  <w:style w:type="character" w:styleId="FootnoteReference">
    <w:name w:val="footnote reference"/>
    <w:semiHidden/>
    <w:rsid w:val="000075FA"/>
    <w:rPr>
      <w:b/>
      <w:position w:val="6"/>
      <w:sz w:val="16"/>
    </w:rPr>
  </w:style>
  <w:style w:type="paragraph" w:styleId="FootnoteText">
    <w:name w:val="footnote text"/>
    <w:basedOn w:val="Normal"/>
    <w:semiHidden/>
    <w:rsid w:val="000075FA"/>
    <w:pPr>
      <w:keepLines/>
      <w:spacing w:after="0"/>
      <w:ind w:left="454" w:hanging="454"/>
    </w:pPr>
    <w:rPr>
      <w:sz w:val="16"/>
    </w:rPr>
  </w:style>
  <w:style w:type="paragraph" w:customStyle="1" w:styleId="TAH">
    <w:name w:val="TAH"/>
    <w:basedOn w:val="TAC"/>
    <w:rsid w:val="000075FA"/>
    <w:rPr>
      <w:b/>
    </w:rPr>
  </w:style>
  <w:style w:type="paragraph" w:customStyle="1" w:styleId="TAC">
    <w:name w:val="TAC"/>
    <w:basedOn w:val="TAL"/>
    <w:rsid w:val="000075FA"/>
    <w:pPr>
      <w:jc w:val="center"/>
    </w:pPr>
  </w:style>
  <w:style w:type="paragraph" w:customStyle="1" w:styleId="TF">
    <w:name w:val="TF"/>
    <w:basedOn w:val="TH"/>
    <w:rsid w:val="000075FA"/>
    <w:pPr>
      <w:keepNext w:val="0"/>
      <w:spacing w:before="0" w:after="240"/>
    </w:pPr>
  </w:style>
  <w:style w:type="paragraph" w:customStyle="1" w:styleId="NO">
    <w:name w:val="NO"/>
    <w:basedOn w:val="Normal"/>
    <w:rsid w:val="000075FA"/>
    <w:pPr>
      <w:keepLines/>
      <w:ind w:left="1135" w:hanging="851"/>
    </w:pPr>
  </w:style>
  <w:style w:type="paragraph" w:styleId="TOC9">
    <w:name w:val="toc 9"/>
    <w:basedOn w:val="TOC8"/>
    <w:semiHidden/>
    <w:rsid w:val="000075FA"/>
    <w:pPr>
      <w:ind w:left="1418" w:hanging="1418"/>
    </w:pPr>
  </w:style>
  <w:style w:type="paragraph" w:customStyle="1" w:styleId="EX">
    <w:name w:val="EX"/>
    <w:basedOn w:val="Normal"/>
    <w:rsid w:val="000075FA"/>
    <w:pPr>
      <w:keepLines/>
      <w:ind w:left="1702" w:hanging="1418"/>
    </w:pPr>
  </w:style>
  <w:style w:type="paragraph" w:customStyle="1" w:styleId="FP">
    <w:name w:val="FP"/>
    <w:basedOn w:val="Normal"/>
    <w:rsid w:val="000075FA"/>
    <w:pPr>
      <w:spacing w:after="0"/>
    </w:pPr>
  </w:style>
  <w:style w:type="paragraph" w:customStyle="1" w:styleId="LD">
    <w:name w:val="LD"/>
    <w:rsid w:val="000075F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075FA"/>
    <w:pPr>
      <w:spacing w:after="0"/>
    </w:pPr>
  </w:style>
  <w:style w:type="paragraph" w:customStyle="1" w:styleId="EW">
    <w:name w:val="EW"/>
    <w:basedOn w:val="EX"/>
    <w:rsid w:val="000075FA"/>
    <w:pPr>
      <w:spacing w:after="0"/>
    </w:pPr>
  </w:style>
  <w:style w:type="paragraph" w:styleId="TOC6">
    <w:name w:val="toc 6"/>
    <w:basedOn w:val="TOC5"/>
    <w:next w:val="Normal"/>
    <w:semiHidden/>
    <w:rsid w:val="000075FA"/>
    <w:pPr>
      <w:ind w:left="1985" w:hanging="1985"/>
    </w:pPr>
  </w:style>
  <w:style w:type="paragraph" w:styleId="TOC7">
    <w:name w:val="toc 7"/>
    <w:basedOn w:val="TOC6"/>
    <w:next w:val="Normal"/>
    <w:semiHidden/>
    <w:rsid w:val="000075FA"/>
    <w:pPr>
      <w:ind w:left="2268" w:hanging="2268"/>
    </w:pPr>
  </w:style>
  <w:style w:type="paragraph" w:styleId="ListBullet2">
    <w:name w:val="List Bullet 2"/>
    <w:basedOn w:val="ListBullet"/>
    <w:rsid w:val="000075FA"/>
    <w:pPr>
      <w:ind w:left="851"/>
    </w:pPr>
  </w:style>
  <w:style w:type="paragraph" w:styleId="ListBullet3">
    <w:name w:val="List Bullet 3"/>
    <w:basedOn w:val="ListBullet2"/>
    <w:rsid w:val="000075FA"/>
    <w:pPr>
      <w:ind w:left="1135"/>
    </w:pPr>
  </w:style>
  <w:style w:type="paragraph" w:styleId="ListNumber">
    <w:name w:val="List Number"/>
    <w:basedOn w:val="List"/>
    <w:rsid w:val="000075FA"/>
  </w:style>
  <w:style w:type="paragraph" w:customStyle="1" w:styleId="EQ">
    <w:name w:val="EQ"/>
    <w:basedOn w:val="Normal"/>
    <w:next w:val="Normal"/>
    <w:rsid w:val="000075FA"/>
    <w:pPr>
      <w:keepLines/>
      <w:tabs>
        <w:tab w:val="center" w:pos="4536"/>
        <w:tab w:val="right" w:pos="9072"/>
      </w:tabs>
    </w:pPr>
    <w:rPr>
      <w:noProof/>
    </w:rPr>
  </w:style>
  <w:style w:type="paragraph" w:customStyle="1" w:styleId="TH">
    <w:name w:val="TH"/>
    <w:basedOn w:val="Normal"/>
    <w:rsid w:val="000075FA"/>
    <w:pPr>
      <w:keepNext/>
      <w:keepLines/>
      <w:spacing w:before="60"/>
      <w:jc w:val="center"/>
    </w:pPr>
    <w:rPr>
      <w:rFonts w:ascii="Arial" w:hAnsi="Arial"/>
      <w:b/>
    </w:rPr>
  </w:style>
  <w:style w:type="paragraph" w:customStyle="1" w:styleId="NF">
    <w:name w:val="NF"/>
    <w:basedOn w:val="NO"/>
    <w:rsid w:val="000075FA"/>
    <w:pPr>
      <w:keepNext/>
      <w:spacing w:after="0"/>
    </w:pPr>
    <w:rPr>
      <w:rFonts w:ascii="Arial" w:hAnsi="Arial"/>
      <w:sz w:val="18"/>
    </w:rPr>
  </w:style>
  <w:style w:type="paragraph" w:customStyle="1" w:styleId="PL">
    <w:name w:val="PL"/>
    <w:rsid w:val="00007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75FA"/>
    <w:pPr>
      <w:jc w:val="right"/>
    </w:pPr>
  </w:style>
  <w:style w:type="paragraph" w:customStyle="1" w:styleId="H6">
    <w:name w:val="H6"/>
    <w:basedOn w:val="Heading5"/>
    <w:next w:val="Normal"/>
    <w:rsid w:val="000075FA"/>
    <w:pPr>
      <w:ind w:left="1985" w:hanging="1985"/>
      <w:outlineLvl w:val="9"/>
    </w:pPr>
    <w:rPr>
      <w:sz w:val="20"/>
    </w:rPr>
  </w:style>
  <w:style w:type="paragraph" w:customStyle="1" w:styleId="TAN">
    <w:name w:val="TAN"/>
    <w:basedOn w:val="TAL"/>
    <w:rsid w:val="000075FA"/>
    <w:pPr>
      <w:ind w:left="851" w:hanging="851"/>
    </w:pPr>
  </w:style>
  <w:style w:type="paragraph" w:customStyle="1" w:styleId="ZA">
    <w:name w:val="ZA"/>
    <w:rsid w:val="00007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7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075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07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075FA"/>
    <w:pPr>
      <w:framePr w:wrap="notBeside" w:y="16161"/>
    </w:pPr>
  </w:style>
  <w:style w:type="character" w:customStyle="1" w:styleId="ZGSM">
    <w:name w:val="ZGSM"/>
    <w:rsid w:val="000075FA"/>
  </w:style>
  <w:style w:type="paragraph" w:styleId="List2">
    <w:name w:val="List 2"/>
    <w:basedOn w:val="List"/>
    <w:rsid w:val="000075FA"/>
    <w:pPr>
      <w:ind w:left="851"/>
    </w:pPr>
  </w:style>
  <w:style w:type="paragraph" w:customStyle="1" w:styleId="ZG">
    <w:name w:val="ZG"/>
    <w:rsid w:val="000075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075FA"/>
    <w:pPr>
      <w:ind w:left="1135"/>
    </w:pPr>
  </w:style>
  <w:style w:type="paragraph" w:styleId="List4">
    <w:name w:val="List 4"/>
    <w:basedOn w:val="List3"/>
    <w:rsid w:val="000075FA"/>
    <w:pPr>
      <w:ind w:left="1418"/>
    </w:pPr>
  </w:style>
  <w:style w:type="paragraph" w:styleId="List5">
    <w:name w:val="List 5"/>
    <w:basedOn w:val="List4"/>
    <w:rsid w:val="000075FA"/>
    <w:pPr>
      <w:ind w:left="1702"/>
    </w:pPr>
  </w:style>
  <w:style w:type="paragraph" w:customStyle="1" w:styleId="EditorsNote">
    <w:name w:val="Editor's Note"/>
    <w:basedOn w:val="NO"/>
    <w:rsid w:val="000075FA"/>
    <w:rPr>
      <w:color w:val="FF0000"/>
    </w:rPr>
  </w:style>
  <w:style w:type="paragraph" w:styleId="ListBullet">
    <w:name w:val="List Bullet"/>
    <w:basedOn w:val="List"/>
    <w:rsid w:val="000075FA"/>
  </w:style>
  <w:style w:type="paragraph" w:styleId="ListBullet4">
    <w:name w:val="List Bullet 4"/>
    <w:basedOn w:val="ListBullet3"/>
    <w:rsid w:val="000075FA"/>
    <w:pPr>
      <w:ind w:left="1418"/>
    </w:pPr>
  </w:style>
  <w:style w:type="paragraph" w:styleId="ListBullet5">
    <w:name w:val="List Bullet 5"/>
    <w:basedOn w:val="ListBullet4"/>
    <w:rsid w:val="000075FA"/>
    <w:pPr>
      <w:ind w:left="1702"/>
    </w:pPr>
  </w:style>
  <w:style w:type="paragraph" w:customStyle="1" w:styleId="B2">
    <w:name w:val="B2"/>
    <w:basedOn w:val="List2"/>
    <w:rsid w:val="000075FA"/>
  </w:style>
  <w:style w:type="paragraph" w:customStyle="1" w:styleId="B3">
    <w:name w:val="B3"/>
    <w:basedOn w:val="List3"/>
    <w:rsid w:val="000075FA"/>
  </w:style>
  <w:style w:type="paragraph" w:customStyle="1" w:styleId="B4">
    <w:name w:val="B4"/>
    <w:basedOn w:val="List4"/>
    <w:rsid w:val="000075FA"/>
  </w:style>
  <w:style w:type="paragraph" w:customStyle="1" w:styleId="B5">
    <w:name w:val="B5"/>
    <w:basedOn w:val="List5"/>
    <w:rsid w:val="000075FA"/>
  </w:style>
  <w:style w:type="paragraph" w:customStyle="1" w:styleId="ZTD">
    <w:name w:val="ZTD"/>
    <w:basedOn w:val="ZB"/>
    <w:rsid w:val="000075FA"/>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character" w:customStyle="1" w:styleId="Heading2Char">
    <w:name w:val="Heading 2 Char"/>
    <w:link w:val="Heading2"/>
    <w:rsid w:val="000B2BEE"/>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9375471">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4945981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2.xml><?xml version="1.0" encoding="utf-8"?>
<ds:datastoreItem xmlns:ds="http://schemas.openxmlformats.org/officeDocument/2006/customXml" ds:itemID="{8F7F8767-DF3F-4BEC-98D6-FBB30DE26F0D}">
  <ds:schemaRefs>
    <ds:schemaRef ds:uri="http://schemas.openxmlformats.org/package/2006/metadata/core-propertie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9b7a7441-741d-4a5f-afd2-6824b9756eb3"/>
    <ds:schemaRef ds:uri="47787118-fbe4-41a3-8399-a0f96f6d786d"/>
    <ds:schemaRef ds:uri="http://www.w3.org/XML/1998/namespace"/>
  </ds:schemaRefs>
</ds:datastoreItem>
</file>

<file path=customXml/itemProps3.xml><?xml version="1.0" encoding="utf-8"?>
<ds:datastoreItem xmlns:ds="http://schemas.openxmlformats.org/officeDocument/2006/customXml" ds:itemID="{8E121325-7F59-40FD-AB8B-D15CDE40B6F2}">
  <ds:schemaRefs>
    <ds:schemaRef ds:uri="http://schemas.microsoft.com/sharepoint/v3/contenttype/forms"/>
  </ds:schemaRefs>
</ds:datastoreItem>
</file>

<file path=customXml/itemProps4.xml><?xml version="1.0" encoding="utf-8"?>
<ds:datastoreItem xmlns:ds="http://schemas.openxmlformats.org/officeDocument/2006/customXml" ds:itemID="{3F19F1D9-B133-4E60-8261-F4EC3A16E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3730</Words>
  <Characters>21266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Motorola</Company>
  <LinksUpToDate>false</LinksUpToDate>
  <CharactersWithSpaces>24947</CharactersWithSpaces>
  <SharedDoc>false</SharedDoc>
  <HLinks>
    <vt:vector size="54" baseType="variant">
      <vt:variant>
        <vt:i4>6357090</vt:i4>
      </vt:variant>
      <vt:variant>
        <vt:i4>24</vt:i4>
      </vt:variant>
      <vt:variant>
        <vt:i4>0</vt:i4>
      </vt:variant>
      <vt:variant>
        <vt:i4>5</vt:i4>
      </vt:variant>
      <vt:variant>
        <vt:lpwstr>https://www.etsi.org/deliver/etsi_ts/103800_103899/103807/01.01.01_60/ts_103807v010101p.pdf</vt:lpwstr>
      </vt:variant>
      <vt:variant>
        <vt:lpwstr/>
      </vt:variant>
      <vt:variant>
        <vt:i4>1048631</vt:i4>
      </vt:variant>
      <vt:variant>
        <vt:i4>21</vt:i4>
      </vt:variant>
      <vt:variant>
        <vt:i4>0</vt:i4>
      </vt:variant>
      <vt:variant>
        <vt:i4>5</vt:i4>
      </vt:variant>
      <vt:variant>
        <vt:lpwstr>https://www.3gpp.org/ftp/tsg_ran/TSG_RAN/TSGR_96/Docs/RP-221878.zip</vt:lpwstr>
      </vt:variant>
      <vt:variant>
        <vt:lpwstr/>
      </vt:variant>
      <vt:variant>
        <vt:i4>6684762</vt:i4>
      </vt:variant>
      <vt:variant>
        <vt:i4>18</vt:i4>
      </vt:variant>
      <vt:variant>
        <vt:i4>0</vt:i4>
      </vt:variant>
      <vt:variant>
        <vt:i4>5</vt:i4>
      </vt:variant>
      <vt:variant>
        <vt:lpwstr>https://www.3gpp.org/ftp/tsg_ran/TSG_RAN/TSGR_95e/Docs/RP-220913.zip</vt:lpwstr>
      </vt:variant>
      <vt:variant>
        <vt:lpwstr/>
      </vt:variant>
      <vt:variant>
        <vt:i4>7274588</vt:i4>
      </vt:variant>
      <vt:variant>
        <vt:i4>15</vt:i4>
      </vt:variant>
      <vt:variant>
        <vt:i4>0</vt:i4>
      </vt:variant>
      <vt:variant>
        <vt:i4>5</vt:i4>
      </vt:variant>
      <vt:variant>
        <vt:lpwstr>https://www.3gpp.org/ftp/tsg_ran/TSG_RAN/TSGR_94e/Docs/RP-212859.zip</vt:lpwstr>
      </vt:variant>
      <vt:variant>
        <vt:lpwstr/>
      </vt:variant>
      <vt:variant>
        <vt:i4>7012434</vt:i4>
      </vt:variant>
      <vt:variant>
        <vt:i4>12</vt:i4>
      </vt:variant>
      <vt:variant>
        <vt:i4>0</vt:i4>
      </vt:variant>
      <vt:variant>
        <vt:i4>5</vt:i4>
      </vt:variant>
      <vt:variant>
        <vt:lpwstr>https://www.3gpp.org/ftp/tsg_ran/TSG_RAN/TSGR_93e/Docs/RP-211684.zip</vt:lpwstr>
      </vt:variant>
      <vt:variant>
        <vt:lpwstr/>
      </vt:variant>
      <vt:variant>
        <vt:i4>6881374</vt:i4>
      </vt:variant>
      <vt:variant>
        <vt:i4>9</vt:i4>
      </vt:variant>
      <vt:variant>
        <vt:i4>0</vt:i4>
      </vt:variant>
      <vt:variant>
        <vt:i4>5</vt:i4>
      </vt:variant>
      <vt:variant>
        <vt:lpwstr>https://www.3gpp.org/ftp/tsg_ran/TSG_RAN/TSGR_92e/Docs/RP-211544.zip</vt:lpwstr>
      </vt:variant>
      <vt:variant>
        <vt:lpwstr/>
      </vt:variant>
      <vt:variant>
        <vt:i4>7274590</vt:i4>
      </vt:variant>
      <vt:variant>
        <vt:i4>6</vt:i4>
      </vt:variant>
      <vt:variant>
        <vt:i4>0</vt:i4>
      </vt:variant>
      <vt:variant>
        <vt:i4>5</vt:i4>
      </vt:variant>
      <vt:variant>
        <vt:lpwstr>https://www.3gpp.org/ftp/tsg_ran/TSG_RAN/TSGR_92e/Docs/RP-211542.zip</vt:lpwstr>
      </vt:variant>
      <vt:variant>
        <vt:lpwstr/>
      </vt:variant>
      <vt:variant>
        <vt:i4>6946908</vt:i4>
      </vt:variant>
      <vt:variant>
        <vt:i4>3</vt:i4>
      </vt:variant>
      <vt:variant>
        <vt:i4>0</vt:i4>
      </vt:variant>
      <vt:variant>
        <vt:i4>5</vt:i4>
      </vt:variant>
      <vt:variant>
        <vt:lpwstr>https://www.3gpp.org/ftp/tsg_ran/TSG_RAN/TSGR_91e/Docs/RP-210879.zip</vt:lpwstr>
      </vt:variant>
      <vt:variant>
        <vt:lpwstr/>
      </vt:variant>
      <vt:variant>
        <vt:i4>7012444</vt:i4>
      </vt:variant>
      <vt:variant>
        <vt:i4>0</vt:i4>
      </vt:variant>
      <vt:variant>
        <vt:i4>0</vt:i4>
      </vt:variant>
      <vt:variant>
        <vt:i4>5</vt:i4>
      </vt:variant>
      <vt:variant>
        <vt:lpwstr>https://www.3gpp.org/ftp/tsg_ran/TSG_RAN/TSGR_91e/Docs/RP-210878.zip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Martens, Dick</dc:creator>
  <cp:keywords/>
  <cp:lastModifiedBy>Martens, Dick</cp:lastModifiedBy>
  <cp:revision>2</cp:revision>
  <cp:lastPrinted>2017-08-01T09:36:00Z</cp:lastPrinted>
  <dcterms:created xsi:type="dcterms:W3CDTF">2024-02-19T15:06:00Z</dcterms:created>
  <dcterms:modified xsi:type="dcterms:W3CDTF">2024-02-19T15:06:00Z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17da11e7-ad83-4459-98c6-12a88e2eac78_Enabled">
    <vt:lpwstr>true</vt:lpwstr>
  </property>
  <property fmtid="{D5CDD505-2E9C-101B-9397-08002B2CF9AE}" pid="10" name="MSIP_Label_17da11e7-ad83-4459-98c6-12a88e2eac78_SetDate">
    <vt:lpwstr>2023-11-27T16:38:35Z</vt:lpwstr>
  </property>
  <property fmtid="{D5CDD505-2E9C-101B-9397-08002B2CF9AE}" pid="11" name="MSIP_Label_17da11e7-ad83-4459-98c6-12a88e2eac78_Method">
    <vt:lpwstr>Privileged</vt:lpwstr>
  </property>
  <property fmtid="{D5CDD505-2E9C-101B-9397-08002B2CF9AE}" pid="12" name="MSIP_Label_17da11e7-ad83-4459-98c6-12a88e2eac78_Name">
    <vt:lpwstr>17da11e7-ad83-4459-98c6-12a88e2eac78</vt:lpwstr>
  </property>
  <property fmtid="{D5CDD505-2E9C-101B-9397-08002B2CF9AE}" pid="13" name="MSIP_Label_17da11e7-ad83-4459-98c6-12a88e2eac78_SiteId">
    <vt:lpwstr>68283f3b-8487-4c86-adb3-a5228f18b893</vt:lpwstr>
  </property>
  <property fmtid="{D5CDD505-2E9C-101B-9397-08002B2CF9AE}" pid="14" name="MSIP_Label_17da11e7-ad83-4459-98c6-12a88e2eac78_ActionId">
    <vt:lpwstr>fee13b02-5278-4703-90db-30283e2d3211</vt:lpwstr>
  </property>
  <property fmtid="{D5CDD505-2E9C-101B-9397-08002B2CF9AE}" pid="15" name="MSIP_Label_17da11e7-ad83-4459-98c6-12a88e2eac78_ContentBits">
    <vt:lpwstr>0</vt:lpwstr>
  </property>
  <property fmtid="{D5CDD505-2E9C-101B-9397-08002B2CF9AE}" pid="16" name="ContentTypeId">
    <vt:lpwstr>0x0101006844494091599A4BB99A0541BE9C94B3</vt:lpwstr>
  </property>
</Properties>
</file>