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4ABFD" w14:textId="213142F0" w:rsidR="00047979" w:rsidRPr="00EF698B" w:rsidRDefault="00047979" w:rsidP="641BB79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eastAsia="zh-CN"/>
        </w:rPr>
      </w:pPr>
      <w:bookmarkStart w:id="0" w:name="OLE_LINK5"/>
      <w:bookmarkStart w:id="1" w:name="OLE_LINK6"/>
      <w:r w:rsidRPr="641BB799">
        <w:rPr>
          <w:rFonts w:ascii="Arial" w:eastAsia="SimSun" w:hAnsi="Arial" w:cs="Times New Roman"/>
          <w:b/>
          <w:bCs/>
          <w:sz w:val="24"/>
          <w:szCs w:val="24"/>
        </w:rPr>
        <w:t>3GPP T</w:t>
      </w:r>
      <w:bookmarkStart w:id="2" w:name="_Ref452454252"/>
      <w:bookmarkEnd w:id="2"/>
      <w:r w:rsidRPr="641BB799">
        <w:rPr>
          <w:rFonts w:ascii="Arial" w:eastAsia="SimSun" w:hAnsi="Arial" w:cs="Times New Roman"/>
          <w:b/>
          <w:bCs/>
          <w:sz w:val="24"/>
          <w:szCs w:val="24"/>
        </w:rPr>
        <w:t>SG-RAN WG4 Meeting #10</w:t>
      </w:r>
      <w:r w:rsidR="004803C9">
        <w:rPr>
          <w:rFonts w:ascii="Arial" w:eastAsia="SimSun" w:hAnsi="Arial" w:cs="Times New Roman"/>
          <w:b/>
          <w:bCs/>
          <w:sz w:val="24"/>
          <w:szCs w:val="24"/>
        </w:rPr>
        <w:t>9</w:t>
      </w:r>
      <w:r>
        <w:tab/>
      </w:r>
      <w:r w:rsidR="00B76B63" w:rsidRPr="00B76B63">
        <w:rPr>
          <w:rFonts w:ascii="Arial" w:eastAsia="SimSun" w:hAnsi="Arial" w:cs="Times New Roman"/>
          <w:b/>
          <w:bCs/>
          <w:sz w:val="24"/>
          <w:szCs w:val="24"/>
          <w:lang w:eastAsia="ja-JP"/>
        </w:rPr>
        <w:t>R4-2320858</w:t>
      </w:r>
    </w:p>
    <w:bookmarkEnd w:id="0"/>
    <w:bookmarkEnd w:id="1"/>
    <w:p w14:paraId="6BB6FACC" w14:textId="462F8AEA" w:rsidR="00047979" w:rsidRPr="00DD51CA" w:rsidRDefault="004803C9" w:rsidP="00047979">
      <w:pPr>
        <w:pStyle w:val="CRCoverPage"/>
        <w:outlineLvl w:val="0"/>
        <w:rPr>
          <w:b/>
          <w:noProof/>
          <w:sz w:val="24"/>
          <w:lang w:eastAsia="zh-CN"/>
        </w:rPr>
      </w:pPr>
      <w:r w:rsidRPr="005A29C8">
        <w:rPr>
          <w:b/>
          <w:noProof/>
          <w:sz w:val="24"/>
          <w:lang w:eastAsia="zh-CN"/>
        </w:rPr>
        <w:t>Chicago, USA, November 13 – 17, 2023</w:t>
      </w:r>
    </w:p>
    <w:p w14:paraId="301DE9F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6A634E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14838EB" w14:textId="5F20C6B7" w:rsidR="00841BCD" w:rsidRPr="008C39F7" w:rsidRDefault="00841BCD" w:rsidP="3A935BFD">
      <w:pPr>
        <w:ind w:left="1985" w:hanging="1985"/>
        <w:rPr>
          <w:rFonts w:ascii="Arial" w:eastAsia="Calibri" w:hAnsi="Arial" w:cs="Arial"/>
          <w:b/>
          <w:bCs/>
          <w:sz w:val="24"/>
          <w:szCs w:val="24"/>
        </w:rPr>
      </w:pPr>
      <w:r w:rsidRPr="3A935BFD">
        <w:rPr>
          <w:rFonts w:ascii="Arial" w:eastAsia="Calibri" w:hAnsi="Arial" w:cs="Arial"/>
          <w:b/>
          <w:bCs/>
          <w:sz w:val="24"/>
          <w:szCs w:val="24"/>
        </w:rPr>
        <w:t>Title:</w:t>
      </w:r>
      <w:r>
        <w:tab/>
      </w:r>
      <w:r w:rsidR="00F04C1B" w:rsidRPr="3A935BFD">
        <w:rPr>
          <w:rFonts w:ascii="Arial" w:eastAsia="Calibri" w:hAnsi="Arial" w:cs="Arial"/>
          <w:b/>
          <w:bCs/>
          <w:sz w:val="24"/>
          <w:szCs w:val="24"/>
        </w:rPr>
        <w:t>RRM Core Requirements for Enhanced RedCap</w:t>
      </w:r>
    </w:p>
    <w:p w14:paraId="3ABC4F49" w14:textId="3829C978"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803C9">
        <w:rPr>
          <w:rFonts w:ascii="Arial" w:eastAsia="MS Mincho" w:hAnsi="Arial" w:cs="Arial"/>
          <w:b/>
          <w:bCs/>
          <w:sz w:val="24"/>
          <w:szCs w:val="20"/>
        </w:rPr>
        <w:t>8</w:t>
      </w:r>
      <w:r w:rsidR="00047979">
        <w:rPr>
          <w:rFonts w:ascii="Arial" w:eastAsia="MS Mincho" w:hAnsi="Arial" w:cs="Arial"/>
          <w:b/>
          <w:bCs/>
          <w:sz w:val="24"/>
          <w:szCs w:val="20"/>
        </w:rPr>
        <w:t>.31.2</w:t>
      </w:r>
    </w:p>
    <w:p w14:paraId="0F8EE81B" w14:textId="29FAE4E3"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86B137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1D1E803" w14:textId="73AFBBAA" w:rsidR="00F04C1B" w:rsidRDefault="00F04C1B" w:rsidP="00F04C1B">
      <w:r>
        <w:t xml:space="preserve">The revised Rel-18 WID [1] for </w:t>
      </w:r>
      <w:r w:rsidR="00D51157">
        <w:t>e</w:t>
      </w:r>
      <w:r>
        <w:t>nhanced RedCap contains several enhancements for core requirements:</w:t>
      </w:r>
    </w:p>
    <w:tbl>
      <w:tblPr>
        <w:tblStyle w:val="TableGrid"/>
        <w:tblW w:w="0" w:type="auto"/>
        <w:tblLook w:val="04A0" w:firstRow="1" w:lastRow="0" w:firstColumn="1" w:lastColumn="0" w:noHBand="0" w:noVBand="1"/>
      </w:tblPr>
      <w:tblGrid>
        <w:gridCol w:w="9617"/>
      </w:tblGrid>
      <w:tr w:rsidR="00F04C1B" w:rsidRPr="00CD498C" w14:paraId="5536B2CC" w14:textId="77777777">
        <w:tc>
          <w:tcPr>
            <w:tcW w:w="9617" w:type="dxa"/>
          </w:tcPr>
          <w:p w14:paraId="6CBE7D2D" w14:textId="77777777" w:rsidR="00F04C1B" w:rsidRPr="00CD498C" w:rsidRDefault="00F04C1B" w:rsidP="00CD498C">
            <w:pPr>
              <w:spacing w:before="240"/>
              <w:ind w:right="-96"/>
              <w:rPr>
                <w:rFonts w:cs="Times New Roman"/>
                <w:b/>
                <w:bCs/>
                <w:sz w:val="16"/>
                <w:szCs w:val="16"/>
                <w:lang w:eastAsia="ja-JP"/>
              </w:rPr>
            </w:pPr>
            <w:r w:rsidRPr="00CD498C">
              <w:rPr>
                <w:rFonts w:cs="Times New Roman"/>
                <w:b/>
                <w:bCs/>
                <w:sz w:val="16"/>
                <w:szCs w:val="16"/>
                <w:lang w:eastAsia="ja-JP"/>
              </w:rPr>
              <w:t>Power saving/energy efficiency enhancements</w:t>
            </w:r>
          </w:p>
          <w:p w14:paraId="62D50921" w14:textId="77777777" w:rsidR="00F04C1B" w:rsidRPr="00CD498C" w:rsidRDefault="00F04C1B" w:rsidP="00CD498C">
            <w:pPr>
              <w:numPr>
                <w:ilvl w:val="0"/>
                <w:numId w:val="27"/>
              </w:numPr>
              <w:spacing w:line="256" w:lineRule="auto"/>
              <w:ind w:right="-99"/>
              <w:rPr>
                <w:rFonts w:cs="Times New Roman"/>
                <w:sz w:val="16"/>
                <w:szCs w:val="16"/>
                <w:lang w:eastAsia="ja-JP"/>
              </w:rPr>
            </w:pPr>
            <w:r w:rsidRPr="00CD498C">
              <w:rPr>
                <w:rFonts w:cs="Times New Roman"/>
                <w:sz w:val="16"/>
                <w:szCs w:val="16"/>
                <w:lang w:eastAsia="ja-JP"/>
              </w:rPr>
              <w:t xml:space="preserve">Enhanced eDRX in RRC_INACTIVE (&gt;10.24s) [RAN2, RAN3, </w:t>
            </w:r>
            <w:r w:rsidRPr="00CD498C">
              <w:rPr>
                <w:rFonts w:cs="Times New Roman"/>
                <w:b/>
                <w:bCs/>
                <w:sz w:val="16"/>
                <w:szCs w:val="16"/>
                <w:lang w:eastAsia="ja-JP"/>
              </w:rPr>
              <w:t>RAN4</w:t>
            </w:r>
            <w:r w:rsidRPr="00CD498C">
              <w:rPr>
                <w:rFonts w:cs="Times New Roman"/>
                <w:sz w:val="16"/>
                <w:szCs w:val="16"/>
                <w:lang w:eastAsia="ja-JP"/>
              </w:rPr>
              <w:t>]</w:t>
            </w:r>
          </w:p>
          <w:p w14:paraId="21CC2968" w14:textId="77777777" w:rsidR="00F04C1B" w:rsidRPr="00CD498C" w:rsidRDefault="00F04C1B" w:rsidP="00CD498C">
            <w:pPr>
              <w:numPr>
                <w:ilvl w:val="1"/>
                <w:numId w:val="27"/>
              </w:numPr>
              <w:spacing w:line="257" w:lineRule="auto"/>
              <w:ind w:left="1434" w:right="-96" w:hanging="357"/>
              <w:rPr>
                <w:rFonts w:cs="Times New Roman"/>
                <w:sz w:val="16"/>
                <w:szCs w:val="16"/>
                <w:lang w:eastAsia="ja-JP"/>
              </w:rPr>
            </w:pPr>
            <w:r w:rsidRPr="00CD498C">
              <w:rPr>
                <w:rFonts w:cs="Times New Roman"/>
                <w:sz w:val="16"/>
                <w:szCs w:val="16"/>
                <w:lang w:eastAsia="ja-JP"/>
              </w:rPr>
              <w:t xml:space="preserve">Note that this objective requires SA2, CT1 and CT4 </w:t>
            </w:r>
            <w:proofErr w:type="gramStart"/>
            <w:r w:rsidRPr="00CD498C">
              <w:rPr>
                <w:rFonts w:cs="Times New Roman"/>
                <w:sz w:val="16"/>
                <w:szCs w:val="16"/>
                <w:lang w:eastAsia="ja-JP"/>
              </w:rPr>
              <w:t>involvement</w:t>
            </w:r>
            <w:proofErr w:type="gramEnd"/>
          </w:p>
          <w:p w14:paraId="305D3C45" w14:textId="77777777" w:rsidR="00F04C1B" w:rsidRPr="00CD498C" w:rsidRDefault="00F04C1B" w:rsidP="00CD498C">
            <w:pPr>
              <w:ind w:right="-96"/>
              <w:rPr>
                <w:rFonts w:cs="Times New Roman"/>
                <w:b/>
                <w:bCs/>
                <w:sz w:val="16"/>
                <w:szCs w:val="16"/>
                <w:lang w:eastAsia="ja-JP"/>
              </w:rPr>
            </w:pPr>
            <w:r w:rsidRPr="00CD498C">
              <w:rPr>
                <w:rFonts w:cs="Times New Roman"/>
                <w:b/>
                <w:bCs/>
                <w:sz w:val="16"/>
                <w:szCs w:val="16"/>
                <w:lang w:eastAsia="ja-JP"/>
              </w:rPr>
              <w:t>Complexity/cost reduction</w:t>
            </w:r>
          </w:p>
          <w:p w14:paraId="03DDF378" w14:textId="77777777" w:rsidR="00F04C1B" w:rsidRPr="00CD498C" w:rsidRDefault="00F04C1B" w:rsidP="00CD498C">
            <w:pPr>
              <w:numPr>
                <w:ilvl w:val="0"/>
                <w:numId w:val="28"/>
              </w:numPr>
              <w:spacing w:line="256" w:lineRule="auto"/>
              <w:ind w:right="-99"/>
              <w:rPr>
                <w:rFonts w:cs="Times New Roman"/>
                <w:sz w:val="16"/>
                <w:szCs w:val="16"/>
                <w:lang w:eastAsia="ja-JP"/>
              </w:rPr>
            </w:pPr>
            <w:r w:rsidRPr="00CD498C">
              <w:rPr>
                <w:rFonts w:cs="Times New Roman"/>
                <w:sz w:val="16"/>
                <w:szCs w:val="16"/>
                <w:lang w:eastAsia="ja-JP"/>
              </w:rPr>
              <w:t xml:space="preserve">Further reduced UE complexity in FR1 [RAN1, RAN2, </w:t>
            </w:r>
            <w:r w:rsidRPr="00CD498C">
              <w:rPr>
                <w:rFonts w:cs="Times New Roman"/>
                <w:b/>
                <w:bCs/>
                <w:sz w:val="16"/>
                <w:szCs w:val="16"/>
                <w:lang w:eastAsia="ja-JP"/>
              </w:rPr>
              <w:t>RAN4</w:t>
            </w:r>
            <w:r w:rsidRPr="00CD498C">
              <w:rPr>
                <w:rFonts w:cs="Times New Roman"/>
                <w:sz w:val="16"/>
                <w:szCs w:val="16"/>
                <w:lang w:eastAsia="ja-JP"/>
              </w:rPr>
              <w:t>]</w:t>
            </w:r>
          </w:p>
          <w:p w14:paraId="74D1F23F" w14:textId="77777777" w:rsidR="00F04C1B" w:rsidRPr="00CD498C" w:rsidRDefault="00F04C1B" w:rsidP="00CD498C">
            <w:pPr>
              <w:pStyle w:val="B2"/>
              <w:numPr>
                <w:ilvl w:val="1"/>
                <w:numId w:val="27"/>
              </w:numPr>
              <w:rPr>
                <w:rFonts w:ascii="Times New Roman" w:hAnsi="Times New Roman" w:cs="Times New Roman"/>
                <w:sz w:val="16"/>
                <w:szCs w:val="16"/>
                <w:lang w:val="en-US"/>
              </w:rPr>
            </w:pPr>
            <w:r w:rsidRPr="00CD498C">
              <w:rPr>
                <w:rFonts w:ascii="Times New Roman" w:hAnsi="Times New Roman" w:cs="Times New Roman"/>
                <w:sz w:val="16"/>
                <w:szCs w:val="16"/>
                <w:lang w:val="en-US"/>
              </w:rPr>
              <w:t>UE BB bandwidth reduction</w:t>
            </w:r>
          </w:p>
          <w:p w14:paraId="354748CF" w14:textId="77777777" w:rsidR="00F04C1B" w:rsidRPr="00CD498C" w:rsidRDefault="00F04C1B" w:rsidP="00CD498C">
            <w:pPr>
              <w:pStyle w:val="B2"/>
              <w:numPr>
                <w:ilvl w:val="2"/>
                <w:numId w:val="27"/>
              </w:numPr>
              <w:rPr>
                <w:rFonts w:ascii="Times New Roman" w:hAnsi="Times New Roman" w:cs="Times New Roman"/>
                <w:sz w:val="16"/>
                <w:szCs w:val="16"/>
                <w:lang w:val="en-US"/>
              </w:rPr>
            </w:pPr>
            <w:r w:rsidRPr="00CD498C">
              <w:rPr>
                <w:rFonts w:ascii="Times New Roman" w:hAnsi="Times New Roman" w:cs="Times New Roman"/>
                <w:sz w:val="16"/>
                <w:szCs w:val="16"/>
                <w:lang w:val="en-US"/>
              </w:rPr>
              <w:t>5 MHz BB bandwidth only for PDSCH (for both unicast and broadcast) and PUSCH, with 20 MHz RF bandwidth for UL and DL</w:t>
            </w:r>
          </w:p>
          <w:p w14:paraId="0AC0F2A9" w14:textId="77777777" w:rsidR="00F04C1B" w:rsidRPr="00CD498C" w:rsidRDefault="00F04C1B" w:rsidP="00CD498C">
            <w:pPr>
              <w:pStyle w:val="B2"/>
              <w:numPr>
                <w:ilvl w:val="2"/>
                <w:numId w:val="27"/>
              </w:numPr>
              <w:rPr>
                <w:rFonts w:ascii="Times New Roman" w:hAnsi="Times New Roman" w:cs="Times New Roman"/>
                <w:sz w:val="16"/>
                <w:szCs w:val="16"/>
                <w:lang w:val="en-US"/>
              </w:rPr>
            </w:pPr>
            <w:r w:rsidRPr="00CD498C">
              <w:rPr>
                <w:rFonts w:ascii="Times New Roman" w:hAnsi="Times New Roman" w:cs="Times New Roman"/>
                <w:sz w:val="16"/>
                <w:szCs w:val="16"/>
                <w:lang w:val="en-US"/>
              </w:rPr>
              <w:t>The other physical channels and signals are still allowed to use a BWP up to the 20 MHz maximum UE RF+BB bandwidth.</w:t>
            </w:r>
          </w:p>
          <w:p w14:paraId="2729FF7C" w14:textId="77777777" w:rsidR="00F04C1B" w:rsidRPr="00CD498C" w:rsidRDefault="00F04C1B" w:rsidP="00CD498C">
            <w:pPr>
              <w:numPr>
                <w:ilvl w:val="2"/>
                <w:numId w:val="27"/>
              </w:numPr>
              <w:spacing w:line="257" w:lineRule="auto"/>
              <w:ind w:left="2154" w:right="-96" w:hanging="357"/>
              <w:rPr>
                <w:rFonts w:cs="Times New Roman"/>
                <w:sz w:val="16"/>
                <w:szCs w:val="16"/>
                <w:lang w:val="en-GB" w:eastAsia="ja-JP"/>
              </w:rPr>
            </w:pPr>
            <w:r w:rsidRPr="00CD498C">
              <w:rPr>
                <w:rFonts w:cs="Times New Roman"/>
                <w:sz w:val="16"/>
                <w:szCs w:val="16"/>
                <w:lang w:eastAsia="ja-JP"/>
              </w:rPr>
              <w:t>Support additional separate early indication(s) [RAN1, RAN2]</w:t>
            </w:r>
          </w:p>
          <w:p w14:paraId="113AF378" w14:textId="77777777" w:rsidR="00F04C1B" w:rsidRPr="00CD498C" w:rsidRDefault="00F04C1B" w:rsidP="00CD498C">
            <w:pPr>
              <w:numPr>
                <w:ilvl w:val="1"/>
                <w:numId w:val="27"/>
              </w:numPr>
              <w:spacing w:line="256" w:lineRule="auto"/>
              <w:ind w:right="-99"/>
              <w:rPr>
                <w:rFonts w:cs="Times New Roman"/>
                <w:sz w:val="16"/>
                <w:szCs w:val="16"/>
                <w:lang w:eastAsia="ja-JP"/>
              </w:rPr>
            </w:pPr>
            <w:r w:rsidRPr="00CD498C">
              <w:rPr>
                <w:rFonts w:cs="Times New Roman"/>
                <w:sz w:val="16"/>
                <w:szCs w:val="16"/>
                <w:lang w:eastAsia="ja-JP"/>
              </w:rPr>
              <w:t>UE peak data rate reduction</w:t>
            </w:r>
          </w:p>
          <w:p w14:paraId="1D9AF7A5" w14:textId="77777777" w:rsidR="00F04C1B" w:rsidRPr="00CD498C" w:rsidRDefault="00F04C1B" w:rsidP="00CD498C">
            <w:pPr>
              <w:pStyle w:val="B2"/>
              <w:numPr>
                <w:ilvl w:val="2"/>
                <w:numId w:val="27"/>
              </w:numPr>
              <w:rPr>
                <w:rFonts w:ascii="Times New Roman" w:hAnsi="Times New Roman" w:cs="Times New Roman"/>
                <w:sz w:val="16"/>
                <w:szCs w:val="16"/>
                <w:lang w:val="en-US"/>
              </w:rPr>
            </w:pPr>
            <w:r w:rsidRPr="00CD498C">
              <w:rPr>
                <w:rFonts w:ascii="Times New Roman" w:hAnsi="Times New Roman" w:cs="Times New Roman"/>
                <w:sz w:val="16"/>
                <w:szCs w:val="16"/>
                <w:lang w:val="en-US"/>
              </w:rPr>
              <w:t>Relaxation of the constraint (</w:t>
            </w:r>
            <w:proofErr w:type="spellStart"/>
            <w:r w:rsidRPr="00CD498C">
              <w:rPr>
                <w:rFonts w:ascii="Times New Roman" w:hAnsi="Times New Roman" w:cs="Times New Roman"/>
                <w:i/>
                <w:iCs/>
                <w:sz w:val="16"/>
                <w:szCs w:val="16"/>
                <w:lang w:val="en-US"/>
              </w:rPr>
              <w:t>v</w:t>
            </w:r>
            <w:r w:rsidRPr="00CD498C">
              <w:rPr>
                <w:rFonts w:ascii="Times New Roman" w:hAnsi="Times New Roman" w:cs="Times New Roman"/>
                <w:i/>
                <w:iCs/>
                <w:sz w:val="16"/>
                <w:szCs w:val="16"/>
                <w:vertAlign w:val="subscript"/>
                <w:lang w:val="en-US"/>
              </w:rPr>
              <w:t>Layers</w:t>
            </w:r>
            <w:r w:rsidRPr="00CD498C">
              <w:rPr>
                <w:rFonts w:ascii="Times New Roman" w:hAnsi="Times New Roman" w:cs="Times New Roman"/>
                <w:sz w:val="16"/>
                <w:szCs w:val="16"/>
                <w:lang w:val="en-US"/>
              </w:rPr>
              <w:t>·</w:t>
            </w:r>
            <w:r w:rsidRPr="00CD498C">
              <w:rPr>
                <w:rFonts w:ascii="Times New Roman" w:hAnsi="Times New Roman" w:cs="Times New Roman"/>
                <w:i/>
                <w:iCs/>
                <w:sz w:val="16"/>
                <w:szCs w:val="16"/>
                <w:lang w:val="en-US"/>
              </w:rPr>
              <w:t>Q</w:t>
            </w:r>
            <w:r w:rsidRPr="00CD498C">
              <w:rPr>
                <w:rFonts w:ascii="Times New Roman" w:hAnsi="Times New Roman" w:cs="Times New Roman"/>
                <w:i/>
                <w:iCs/>
                <w:sz w:val="16"/>
                <w:szCs w:val="16"/>
                <w:vertAlign w:val="subscript"/>
                <w:lang w:val="en-US"/>
              </w:rPr>
              <w:t>m</w:t>
            </w:r>
            <w:r w:rsidRPr="00CD498C">
              <w:rPr>
                <w:rFonts w:ascii="Times New Roman" w:hAnsi="Times New Roman" w:cs="Times New Roman"/>
                <w:sz w:val="16"/>
                <w:szCs w:val="16"/>
                <w:lang w:val="en-US"/>
              </w:rPr>
              <w:t>·</w:t>
            </w:r>
            <w:r w:rsidRPr="00CD498C">
              <w:rPr>
                <w:rFonts w:ascii="Times New Roman" w:hAnsi="Times New Roman" w:cs="Times New Roman"/>
                <w:i/>
                <w:iCs/>
                <w:sz w:val="16"/>
                <w:szCs w:val="16"/>
                <w:lang w:val="en-US"/>
              </w:rPr>
              <w:t>f</w:t>
            </w:r>
            <w:proofErr w:type="spellEnd"/>
            <w:r w:rsidRPr="00CD498C">
              <w:rPr>
                <w:rFonts w:ascii="Times New Roman" w:hAnsi="Times New Roman" w:cs="Times New Roman"/>
                <w:sz w:val="16"/>
                <w:szCs w:val="16"/>
                <w:lang w:val="en-US"/>
              </w:rPr>
              <w:t xml:space="preserve"> ≥ 4) for peak data rate reduction</w:t>
            </w:r>
          </w:p>
          <w:p w14:paraId="5D1B3F7E" w14:textId="77777777" w:rsidR="00F04C1B" w:rsidRPr="00CD498C" w:rsidRDefault="00F04C1B" w:rsidP="00CD498C">
            <w:pPr>
              <w:pStyle w:val="B2"/>
              <w:numPr>
                <w:ilvl w:val="2"/>
                <w:numId w:val="27"/>
              </w:numPr>
              <w:rPr>
                <w:rFonts w:ascii="Times New Roman" w:hAnsi="Times New Roman" w:cs="Times New Roman"/>
                <w:sz w:val="16"/>
                <w:szCs w:val="16"/>
                <w:lang w:val="en-US"/>
              </w:rPr>
            </w:pPr>
            <w:r w:rsidRPr="00CD498C">
              <w:rPr>
                <w:rFonts w:ascii="Times New Roman" w:hAnsi="Times New Roman" w:cs="Times New Roman"/>
                <w:sz w:val="16"/>
                <w:szCs w:val="16"/>
                <w:lang w:val="en-US"/>
              </w:rPr>
              <w:t>The relaxed constraint is, e.g., 1 (instead of 4).</w:t>
            </w:r>
          </w:p>
          <w:p w14:paraId="795FBAB5" w14:textId="77777777" w:rsidR="00F04C1B" w:rsidRPr="00CD498C" w:rsidRDefault="00F04C1B" w:rsidP="00CD498C">
            <w:pPr>
              <w:pStyle w:val="B2"/>
              <w:numPr>
                <w:ilvl w:val="2"/>
                <w:numId w:val="27"/>
              </w:numPr>
              <w:spacing w:line="257" w:lineRule="auto"/>
              <w:ind w:left="2154" w:hanging="357"/>
              <w:rPr>
                <w:rFonts w:ascii="Times New Roman" w:hAnsi="Times New Roman" w:cs="Times New Roman"/>
                <w:sz w:val="16"/>
                <w:szCs w:val="16"/>
                <w:lang w:val="en-US"/>
              </w:rPr>
            </w:pPr>
            <w:r w:rsidRPr="00CD498C">
              <w:rPr>
                <w:rFonts w:ascii="Times New Roman" w:hAnsi="Times New Roman" w:cs="Times New Roman"/>
                <w:sz w:val="16"/>
                <w:szCs w:val="16"/>
                <w:lang w:val="en-US"/>
              </w:rPr>
              <w:t>The parameters (</w:t>
            </w:r>
            <w:proofErr w:type="spellStart"/>
            <w:r w:rsidRPr="00CD498C">
              <w:rPr>
                <w:rFonts w:ascii="Times New Roman" w:hAnsi="Times New Roman" w:cs="Times New Roman"/>
                <w:i/>
                <w:iCs/>
                <w:sz w:val="16"/>
                <w:szCs w:val="16"/>
                <w:lang w:val="en-US"/>
              </w:rPr>
              <w:t>v</w:t>
            </w:r>
            <w:r w:rsidRPr="00CD498C">
              <w:rPr>
                <w:rFonts w:ascii="Times New Roman" w:hAnsi="Times New Roman" w:cs="Times New Roman"/>
                <w:i/>
                <w:iCs/>
                <w:sz w:val="16"/>
                <w:szCs w:val="16"/>
                <w:vertAlign w:val="subscript"/>
                <w:lang w:val="en-US"/>
              </w:rPr>
              <w:t>Layers</w:t>
            </w:r>
            <w:proofErr w:type="spellEnd"/>
            <w:r w:rsidRPr="00CD498C">
              <w:rPr>
                <w:rFonts w:ascii="Times New Roman" w:hAnsi="Times New Roman" w:cs="Times New Roman"/>
                <w:sz w:val="16"/>
                <w:szCs w:val="16"/>
                <w:lang w:val="en-US"/>
              </w:rPr>
              <w:t xml:space="preserve">, </w:t>
            </w:r>
            <w:proofErr w:type="spellStart"/>
            <w:r w:rsidRPr="00CD498C">
              <w:rPr>
                <w:rFonts w:ascii="Times New Roman" w:hAnsi="Times New Roman" w:cs="Times New Roman"/>
                <w:i/>
                <w:iCs/>
                <w:sz w:val="16"/>
                <w:szCs w:val="16"/>
                <w:lang w:val="en-US"/>
              </w:rPr>
              <w:t>Q</w:t>
            </w:r>
            <w:r w:rsidRPr="00CD498C">
              <w:rPr>
                <w:rFonts w:ascii="Times New Roman" w:hAnsi="Times New Roman" w:cs="Times New Roman"/>
                <w:i/>
                <w:iCs/>
                <w:sz w:val="16"/>
                <w:szCs w:val="16"/>
                <w:vertAlign w:val="subscript"/>
                <w:lang w:val="en-US"/>
              </w:rPr>
              <w:t>m</w:t>
            </w:r>
            <w:proofErr w:type="spellEnd"/>
            <w:r w:rsidRPr="00CD498C">
              <w:rPr>
                <w:rFonts w:ascii="Times New Roman" w:hAnsi="Times New Roman" w:cs="Times New Roman"/>
                <w:sz w:val="16"/>
                <w:szCs w:val="16"/>
                <w:lang w:val="en-US"/>
              </w:rPr>
              <w:t xml:space="preserve">, </w:t>
            </w:r>
            <w:r w:rsidRPr="00CD498C">
              <w:rPr>
                <w:rFonts w:ascii="Times New Roman" w:hAnsi="Times New Roman" w:cs="Times New Roman"/>
                <w:i/>
                <w:iCs/>
                <w:sz w:val="16"/>
                <w:szCs w:val="16"/>
                <w:lang w:val="en-US"/>
              </w:rPr>
              <w:t>f</w:t>
            </w:r>
            <w:r w:rsidRPr="00CD498C">
              <w:rPr>
                <w:rFonts w:ascii="Times New Roman" w:hAnsi="Times New Roman" w:cs="Times New Roman"/>
                <w:sz w:val="16"/>
                <w:szCs w:val="16"/>
                <w:lang w:val="en-US"/>
              </w:rPr>
              <w:t>) can be as in Rel-17 RedCap.</w:t>
            </w:r>
          </w:p>
          <w:p w14:paraId="688AAE35" w14:textId="77777777" w:rsidR="00F04C1B" w:rsidRPr="00CD498C" w:rsidRDefault="00F04C1B" w:rsidP="00CD498C">
            <w:pPr>
              <w:pStyle w:val="B1"/>
              <w:numPr>
                <w:ilvl w:val="1"/>
                <w:numId w:val="27"/>
              </w:numPr>
              <w:spacing w:after="0" w:line="256" w:lineRule="auto"/>
              <w:rPr>
                <w:sz w:val="16"/>
                <w:szCs w:val="16"/>
                <w:lang w:val="en-US" w:eastAsia="ja-JP"/>
              </w:rPr>
            </w:pPr>
            <w:r w:rsidRPr="00CD498C">
              <w:rPr>
                <w:sz w:val="16"/>
                <w:szCs w:val="16"/>
                <w:lang w:val="en-US" w:eastAsia="ja-JP"/>
              </w:rPr>
              <w:t>Both 15 kHz SCS and 30 kHz SCS are supported.</w:t>
            </w:r>
          </w:p>
          <w:p w14:paraId="2B4A1C38" w14:textId="77777777" w:rsidR="00F04C1B" w:rsidRPr="00CD498C" w:rsidRDefault="00F04C1B" w:rsidP="00CD498C">
            <w:pPr>
              <w:pStyle w:val="B1"/>
              <w:numPr>
                <w:ilvl w:val="1"/>
                <w:numId w:val="27"/>
              </w:numPr>
              <w:spacing w:after="0" w:line="257" w:lineRule="auto"/>
              <w:ind w:left="1434" w:hanging="357"/>
              <w:rPr>
                <w:sz w:val="16"/>
                <w:szCs w:val="16"/>
                <w:lang w:val="en-US" w:eastAsia="ja-JP"/>
              </w:rPr>
            </w:pPr>
            <w:r w:rsidRPr="00CD498C">
              <w:rPr>
                <w:sz w:val="16"/>
                <w:szCs w:val="16"/>
                <w:lang w:val="en-US" w:eastAsia="ja-JP"/>
              </w:rPr>
              <w:t>Aim to define at most one Rel-18 RedCap UE type for further UE complexity reduction.</w:t>
            </w:r>
          </w:p>
          <w:p w14:paraId="55295893" w14:textId="77777777" w:rsidR="00F04C1B" w:rsidRPr="00CD498C" w:rsidRDefault="00F04C1B" w:rsidP="00CD498C">
            <w:pPr>
              <w:numPr>
                <w:ilvl w:val="1"/>
                <w:numId w:val="27"/>
              </w:numPr>
              <w:spacing w:line="256" w:lineRule="auto"/>
              <w:ind w:right="-99"/>
              <w:rPr>
                <w:rFonts w:cs="Times New Roman"/>
                <w:sz w:val="16"/>
                <w:szCs w:val="16"/>
                <w:lang w:val="en-GB" w:eastAsia="ja-JP"/>
              </w:rPr>
            </w:pPr>
            <w:r w:rsidRPr="00CD498C">
              <w:rPr>
                <w:rFonts w:cs="Times New Roman"/>
                <w:sz w:val="16"/>
                <w:szCs w:val="16"/>
                <w:lang w:eastAsia="ja-JP"/>
              </w:rPr>
              <w:t xml:space="preserve">The existing UE capability framework is used, and changes to capability </w:t>
            </w:r>
            <w:proofErr w:type="spellStart"/>
            <w:r w:rsidRPr="00CD498C">
              <w:rPr>
                <w:rFonts w:cs="Times New Roman"/>
                <w:sz w:val="16"/>
                <w:szCs w:val="16"/>
                <w:lang w:eastAsia="ja-JP"/>
              </w:rPr>
              <w:t>signalling</w:t>
            </w:r>
            <w:proofErr w:type="spellEnd"/>
            <w:r w:rsidRPr="00CD498C">
              <w:rPr>
                <w:rFonts w:cs="Times New Roman"/>
                <w:sz w:val="16"/>
                <w:szCs w:val="16"/>
                <w:lang w:eastAsia="ja-JP"/>
              </w:rPr>
              <w:t xml:space="preserve"> are specified only if necessary. By default, all UE capabilities applicable to a Rel-17 RedCap UE are applicable unless otherwise specified.</w:t>
            </w:r>
          </w:p>
          <w:p w14:paraId="2E37DD24" w14:textId="77777777" w:rsidR="00F04C1B" w:rsidRPr="00CD498C" w:rsidRDefault="00F04C1B" w:rsidP="00CD498C">
            <w:pPr>
              <w:pStyle w:val="B2"/>
              <w:ind w:left="0" w:firstLine="0"/>
              <w:rPr>
                <w:rFonts w:ascii="Times New Roman" w:hAnsi="Times New Roman" w:cs="Times New Roman"/>
                <w:sz w:val="16"/>
                <w:szCs w:val="16"/>
                <w:lang w:val="en-US" w:eastAsia="ja-JP"/>
              </w:rPr>
            </w:pPr>
            <w:r w:rsidRPr="00CD498C">
              <w:rPr>
                <w:rFonts w:ascii="Times New Roman" w:hAnsi="Times New Roman" w:cs="Times New Roman"/>
                <w:sz w:val="16"/>
                <w:szCs w:val="16"/>
                <w:lang w:val="en-US" w:eastAsia="ja-JP"/>
              </w:rPr>
              <w:t>Notes:</w:t>
            </w:r>
          </w:p>
          <w:p w14:paraId="302B6A79" w14:textId="77777777" w:rsidR="00F04C1B" w:rsidRPr="00CD498C" w:rsidRDefault="00F04C1B" w:rsidP="00CD498C">
            <w:pPr>
              <w:pStyle w:val="B1"/>
              <w:numPr>
                <w:ilvl w:val="0"/>
                <w:numId w:val="29"/>
              </w:numPr>
              <w:spacing w:after="0" w:line="256" w:lineRule="auto"/>
              <w:rPr>
                <w:sz w:val="16"/>
                <w:szCs w:val="16"/>
                <w:lang w:val="en-US" w:eastAsia="ja-JP"/>
              </w:rPr>
            </w:pPr>
            <w:r w:rsidRPr="00CD498C">
              <w:rPr>
                <w:sz w:val="16"/>
                <w:szCs w:val="16"/>
                <w:lang w:val="en-US" w:eastAsia="ja-JP"/>
              </w:rPr>
              <w:t>The work defined as part of this WI is not to overlap with LPWA use cases.</w:t>
            </w:r>
          </w:p>
          <w:p w14:paraId="0CA066DF" w14:textId="77777777" w:rsidR="00F04C1B" w:rsidRPr="00CD498C" w:rsidRDefault="00F04C1B" w:rsidP="00CD498C">
            <w:pPr>
              <w:pStyle w:val="B1"/>
              <w:numPr>
                <w:ilvl w:val="0"/>
                <w:numId w:val="29"/>
              </w:numPr>
              <w:spacing w:after="0" w:line="256" w:lineRule="auto"/>
              <w:rPr>
                <w:sz w:val="16"/>
                <w:szCs w:val="16"/>
                <w:lang w:val="en-US" w:eastAsia="ja-JP"/>
              </w:rPr>
            </w:pPr>
            <w:r w:rsidRPr="00CD498C">
              <w:rPr>
                <w:sz w:val="16"/>
                <w:szCs w:val="16"/>
                <w:lang w:val="en-US" w:eastAsia="ja-JP"/>
              </w:rPr>
              <w:t xml:space="preserve">Coexistence with non-RedCap UEs and Rel-17 RedCap UEs </w:t>
            </w:r>
            <w:r w:rsidRPr="00CD498C">
              <w:rPr>
                <w:sz w:val="16"/>
                <w:szCs w:val="16"/>
                <w:lang w:eastAsia="ja-JP"/>
              </w:rPr>
              <w:t xml:space="preserve">should </w:t>
            </w:r>
            <w:r w:rsidRPr="00CD498C">
              <w:rPr>
                <w:sz w:val="16"/>
                <w:szCs w:val="16"/>
                <w:lang w:val="en-US" w:eastAsia="ja-JP"/>
              </w:rPr>
              <w:t>be ensured.</w:t>
            </w:r>
          </w:p>
          <w:p w14:paraId="0097345C" w14:textId="77777777" w:rsidR="00F04C1B" w:rsidRPr="00CD498C" w:rsidRDefault="00F04C1B" w:rsidP="00CD498C">
            <w:pPr>
              <w:pStyle w:val="B1"/>
              <w:numPr>
                <w:ilvl w:val="0"/>
                <w:numId w:val="29"/>
              </w:numPr>
              <w:spacing w:after="0" w:line="256" w:lineRule="auto"/>
              <w:rPr>
                <w:sz w:val="16"/>
                <w:szCs w:val="16"/>
                <w:lang w:val="en-US" w:eastAsia="ja-JP"/>
              </w:rPr>
            </w:pPr>
            <w:r w:rsidRPr="00CD498C">
              <w:rPr>
                <w:sz w:val="16"/>
                <w:szCs w:val="16"/>
                <w:lang w:val="en-US" w:eastAsia="ja-JP"/>
              </w:rPr>
              <w:t>This WI considers all applicable duplex modes unless otherwise specified.</w:t>
            </w:r>
          </w:p>
          <w:p w14:paraId="43C05B81" w14:textId="77777777" w:rsidR="00F04C1B" w:rsidRPr="00CD498C" w:rsidRDefault="00F04C1B" w:rsidP="00CD498C">
            <w:pPr>
              <w:pStyle w:val="B1"/>
              <w:spacing w:after="0"/>
              <w:ind w:left="0" w:firstLine="0"/>
              <w:rPr>
                <w:sz w:val="16"/>
                <w:szCs w:val="16"/>
                <w:lang w:val="en-US" w:eastAsia="ja-JP"/>
              </w:rPr>
            </w:pPr>
            <w:r w:rsidRPr="00CD498C">
              <w:rPr>
                <w:sz w:val="16"/>
                <w:szCs w:val="16"/>
                <w:lang w:val="en-US" w:eastAsia="ja-JP"/>
              </w:rPr>
              <w:t>Check in RAN#99 regarding:</w:t>
            </w:r>
          </w:p>
          <w:p w14:paraId="4583328A" w14:textId="77777777" w:rsidR="00F04C1B" w:rsidRPr="00CD498C" w:rsidRDefault="00F04C1B" w:rsidP="00CD498C">
            <w:pPr>
              <w:pStyle w:val="B1"/>
              <w:numPr>
                <w:ilvl w:val="0"/>
                <w:numId w:val="28"/>
              </w:numPr>
              <w:spacing w:after="0" w:line="256" w:lineRule="auto"/>
              <w:rPr>
                <w:sz w:val="16"/>
                <w:szCs w:val="16"/>
                <w:lang w:val="en-US" w:eastAsia="ja-JP"/>
              </w:rPr>
            </w:pPr>
            <w:r w:rsidRPr="00CD498C">
              <w:rPr>
                <w:sz w:val="16"/>
                <w:szCs w:val="16"/>
                <w:lang w:val="en-US" w:eastAsia="ja-JP"/>
              </w:rPr>
              <w:t>Whether UE peak data rate reduction for UE is limited only with UE BB bandwidth reduction or standalone</w:t>
            </w:r>
          </w:p>
        </w:tc>
      </w:tr>
    </w:tbl>
    <w:p w14:paraId="2E760DB5" w14:textId="77777777" w:rsidR="00F04C1B" w:rsidRDefault="00F04C1B" w:rsidP="00F04C1B">
      <w:pPr>
        <w:spacing w:after="0"/>
      </w:pPr>
    </w:p>
    <w:p w14:paraId="01F8AB2E" w14:textId="2D7D9E0F" w:rsidR="00F04C1B" w:rsidRDefault="00F04C1B" w:rsidP="00F04C1B">
      <w:pPr>
        <w:spacing w:after="0"/>
      </w:pPr>
      <w:r>
        <w:t>In RAN4#10</w:t>
      </w:r>
      <w:r w:rsidR="00AA708D">
        <w:t>8</w:t>
      </w:r>
      <w:r w:rsidR="00C91671">
        <w:t>bis</w:t>
      </w:r>
      <w:r>
        <w:t xml:space="preserve"> [</w:t>
      </w:r>
      <w:r w:rsidR="00AD1416">
        <w:t>2</w:t>
      </w:r>
      <w:r>
        <w:t xml:space="preserve">], it is discussed how to define the </w:t>
      </w:r>
      <w:r w:rsidRPr="00AF6289">
        <w:t>requirements for eDRX cycle &gt; 10.24 sec in FR1 and FR2</w:t>
      </w:r>
      <w:r>
        <w:t xml:space="preserve">. </w:t>
      </w:r>
    </w:p>
    <w:p w14:paraId="3BCBAFB2" w14:textId="77777777" w:rsidR="00F04C1B" w:rsidRDefault="00F04C1B" w:rsidP="00F04C1B">
      <w:pPr>
        <w:spacing w:after="0"/>
      </w:pPr>
    </w:p>
    <w:tbl>
      <w:tblPr>
        <w:tblStyle w:val="TableGrid"/>
        <w:tblW w:w="0" w:type="auto"/>
        <w:tblLook w:val="04A0" w:firstRow="1" w:lastRow="0" w:firstColumn="1" w:lastColumn="0" w:noHBand="0" w:noVBand="1"/>
      </w:tblPr>
      <w:tblGrid>
        <w:gridCol w:w="9617"/>
      </w:tblGrid>
      <w:tr w:rsidR="00F04C1B" w:rsidRPr="00CD498C" w14:paraId="704C1AE3" w14:textId="77777777">
        <w:tc>
          <w:tcPr>
            <w:tcW w:w="9617" w:type="dxa"/>
          </w:tcPr>
          <w:p w14:paraId="27FA64AB" w14:textId="77777777" w:rsidR="00C91671" w:rsidRPr="001107ED" w:rsidRDefault="00C91671" w:rsidP="00C91671">
            <w:pPr>
              <w:rPr>
                <w:b/>
                <w:u w:val="single"/>
                <w:lang w:eastAsia="ko-KR"/>
              </w:rPr>
            </w:pPr>
            <w:r w:rsidRPr="001107ED">
              <w:rPr>
                <w:b/>
                <w:u w:val="single"/>
                <w:lang w:eastAsia="ko-KR"/>
              </w:rPr>
              <w:t xml:space="preserve">Transition requirements: transition between short INACTIVE eDRX (≤10.24s) and long INACTIVE eDRX (20.48s) </w:t>
            </w:r>
          </w:p>
          <w:p w14:paraId="4BF4B0BD" w14:textId="77777777" w:rsidR="00C91671" w:rsidRPr="001107ED" w:rsidRDefault="00C91671" w:rsidP="00C91671">
            <w:pPr>
              <w:pStyle w:val="ListParagraph"/>
              <w:numPr>
                <w:ilvl w:val="1"/>
                <w:numId w:val="31"/>
              </w:numPr>
              <w:spacing w:after="120"/>
              <w:contextualSpacing w:val="0"/>
              <w:rPr>
                <w:rFonts w:eastAsia="SimSun"/>
                <w:szCs w:val="24"/>
                <w:lang w:eastAsia="zh-CN"/>
              </w:rPr>
            </w:pPr>
            <w:r w:rsidRPr="001107ED">
              <w:rPr>
                <w:i/>
                <w:iCs/>
                <w:szCs w:val="24"/>
                <w:lang w:eastAsia="zh-CN"/>
              </w:rPr>
              <w:t xml:space="preserve">When the UE transitions between any two states when changing </w:t>
            </w:r>
            <w:proofErr w:type="spellStart"/>
            <w:r w:rsidRPr="001107ED">
              <w:rPr>
                <w:i/>
                <w:iCs/>
                <w:szCs w:val="24"/>
                <w:lang w:eastAsia="zh-CN"/>
              </w:rPr>
              <w:t>eDRX_IDLE</w:t>
            </w:r>
            <w:proofErr w:type="spellEnd"/>
            <w:r w:rsidRPr="001107ED">
              <w:rPr>
                <w:i/>
                <w:iCs/>
                <w:szCs w:val="24"/>
                <w:lang w:eastAsia="zh-CN"/>
              </w:rPr>
              <w:t xml:space="preserve"> cycle length, </w:t>
            </w:r>
            <w:proofErr w:type="spellStart"/>
            <w:r w:rsidRPr="001107ED">
              <w:rPr>
                <w:i/>
                <w:iCs/>
                <w:szCs w:val="24"/>
                <w:lang w:eastAsia="zh-CN"/>
              </w:rPr>
              <w:t>eDRX_INACTIVE</w:t>
            </w:r>
            <w:proofErr w:type="spellEnd"/>
            <w:r w:rsidRPr="001107ED">
              <w:rPr>
                <w:i/>
                <w:iCs/>
                <w:szCs w:val="24"/>
                <w:lang w:eastAsia="zh-CN"/>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52D1A7B" w14:textId="77777777" w:rsidR="00C91671" w:rsidRPr="001107ED" w:rsidRDefault="00C91671" w:rsidP="00C91671">
            <w:pPr>
              <w:rPr>
                <w:lang w:eastAsia="zh-CN"/>
              </w:rPr>
            </w:pPr>
          </w:p>
          <w:p w14:paraId="2E5D8FAA" w14:textId="77777777" w:rsidR="00C91671" w:rsidRPr="001107ED" w:rsidRDefault="00C91671" w:rsidP="00C91671">
            <w:pPr>
              <w:rPr>
                <w:lang w:eastAsia="zh-CN"/>
              </w:rPr>
            </w:pPr>
          </w:p>
          <w:p w14:paraId="565D4253" w14:textId="77777777" w:rsidR="00C91671" w:rsidRPr="001107ED" w:rsidRDefault="00C91671" w:rsidP="00C91671">
            <w:pPr>
              <w:rPr>
                <w:b/>
                <w:u w:val="single"/>
                <w:lang w:eastAsia="ko-KR"/>
              </w:rPr>
            </w:pPr>
            <w:r w:rsidRPr="001107ED">
              <w:rPr>
                <w:b/>
                <w:u w:val="single"/>
                <w:lang w:eastAsia="ko-KR"/>
              </w:rPr>
              <w:t xml:space="preserve">Transition requirements: </w:t>
            </w:r>
            <w:r w:rsidRPr="001107ED">
              <w:rPr>
                <w:iCs/>
              </w:rPr>
              <w:t>UE moves from a cell that supports and configures Rel-18 INACTIVE eDRX to a cell that supports only Rel-17 INACTIVE eDRX and vice versa.</w:t>
            </w:r>
          </w:p>
          <w:p w14:paraId="52C654A0" w14:textId="77777777" w:rsidR="00C91671" w:rsidRPr="001107ED" w:rsidRDefault="00C91671" w:rsidP="00C91671">
            <w:pPr>
              <w:pStyle w:val="ListParagraph"/>
              <w:numPr>
                <w:ilvl w:val="1"/>
                <w:numId w:val="31"/>
              </w:numPr>
              <w:spacing w:after="120"/>
              <w:contextualSpacing w:val="0"/>
              <w:rPr>
                <w:rFonts w:eastAsia="SimSun"/>
                <w:szCs w:val="24"/>
                <w:lang w:eastAsia="zh-CN"/>
              </w:rPr>
            </w:pPr>
            <w:r w:rsidRPr="001107ED">
              <w:rPr>
                <w:rFonts w:eastAsia="SimSun"/>
                <w:szCs w:val="24"/>
                <w:lang w:eastAsia="zh-CN"/>
              </w:rPr>
              <w:t xml:space="preserve">Do not define requirements for the scenario when </w:t>
            </w:r>
            <w:r w:rsidRPr="001107ED">
              <w:rPr>
                <w:iCs/>
              </w:rPr>
              <w:t xml:space="preserve">UE moves from a cell that supports and configures Rel-18 INACTIVE eDRX to a cell that supports only Rel-17 INACTIVE eDRX and </w:t>
            </w:r>
            <w:proofErr w:type="gramStart"/>
            <w:r w:rsidRPr="001107ED">
              <w:rPr>
                <w:iCs/>
              </w:rPr>
              <w:t>vice versa</w:t>
            </w:r>
            <w:proofErr w:type="gramEnd"/>
          </w:p>
          <w:p w14:paraId="69E77A4F" w14:textId="6965A59F" w:rsidR="00F04C1B" w:rsidRPr="00C91671" w:rsidRDefault="00F04C1B" w:rsidP="00C91671">
            <w:pPr>
              <w:ind w:left="720"/>
              <w:rPr>
                <w:color w:val="000000" w:themeColor="text1"/>
                <w:sz w:val="16"/>
                <w:szCs w:val="16"/>
              </w:rPr>
            </w:pPr>
          </w:p>
        </w:tc>
      </w:tr>
    </w:tbl>
    <w:p w14:paraId="378D80CC" w14:textId="77777777" w:rsidR="00F04C1B" w:rsidRDefault="00F04C1B" w:rsidP="00F04C1B">
      <w:pPr>
        <w:spacing w:after="0"/>
      </w:pPr>
    </w:p>
    <w:p w14:paraId="4A92DC96" w14:textId="77777777" w:rsidR="00F04C1B" w:rsidRDefault="00F04C1B" w:rsidP="00F04C1B">
      <w:r>
        <w:t xml:space="preserve">For above depicted enhancements, RRM core requirements are discussed in this contribution and a proposal on the further proceeding is made. </w:t>
      </w:r>
    </w:p>
    <w:p w14:paraId="7F255575" w14:textId="77777777" w:rsidR="00F04C1B" w:rsidRPr="00EF698B" w:rsidRDefault="00F04C1B" w:rsidP="00F04C1B">
      <w:pPr>
        <w:pStyle w:val="RAN4H1"/>
      </w:pPr>
      <w:r w:rsidRPr="00EF698B">
        <w:lastRenderedPageBreak/>
        <w:t>Discussion</w:t>
      </w:r>
    </w:p>
    <w:p w14:paraId="564C6A14" w14:textId="77777777" w:rsidR="00F04C1B" w:rsidRDefault="00F04C1B" w:rsidP="00F04C1B">
      <w:r>
        <w:t>Impacts to RRM core requirements for the above enhancements in the WID objective are discussed in this section.</w:t>
      </w:r>
    </w:p>
    <w:p w14:paraId="4C8E75C7" w14:textId="77777777" w:rsidR="00F04C1B" w:rsidRPr="00CD498C" w:rsidRDefault="00F04C1B" w:rsidP="00F04C1B">
      <w:pPr>
        <w:pStyle w:val="RAN4H2"/>
      </w:pPr>
      <w:r w:rsidRPr="00CD498C">
        <w:t>Defining of requirements for eDRX cycle &gt; 10.24 sec in FR1 and FR2</w:t>
      </w:r>
    </w:p>
    <w:p w14:paraId="049EA542" w14:textId="3638ED43" w:rsidR="003A0B7E" w:rsidRPr="00E92B3E" w:rsidRDefault="0096599B" w:rsidP="00FA12DA">
      <w:pPr>
        <w:rPr>
          <w:u w:val="single"/>
        </w:rPr>
      </w:pPr>
      <w:r>
        <w:rPr>
          <w:u w:val="single"/>
        </w:rPr>
        <w:t>D</w:t>
      </w:r>
      <w:r w:rsidR="00803C88" w:rsidRPr="00803C88">
        <w:rPr>
          <w:u w:val="single"/>
        </w:rPr>
        <w:t xml:space="preserve">rafting </w:t>
      </w:r>
      <w:r w:rsidR="00803C88" w:rsidRPr="00E92B3E">
        <w:rPr>
          <w:u w:val="single"/>
        </w:rPr>
        <w:t>CR</w:t>
      </w:r>
    </w:p>
    <w:p w14:paraId="4FF61031" w14:textId="77A035E3" w:rsidR="00963087" w:rsidRDefault="003A0B7E" w:rsidP="0082643D">
      <w:pPr>
        <w:rPr>
          <w:lang w:val="en-GB"/>
        </w:rPr>
      </w:pPr>
      <w:r w:rsidRPr="00E92B3E">
        <w:t>In</w:t>
      </w:r>
      <w:r w:rsidR="00E92B3E">
        <w:t xml:space="preserve"> the four</w:t>
      </w:r>
      <w:r w:rsidRPr="00E92B3E">
        <w:t xml:space="preserve"> draft CRs in RAN4#108bis, </w:t>
      </w:r>
      <w:r w:rsidR="00963087">
        <w:rPr>
          <w:lang w:val="en-GB"/>
        </w:rPr>
        <w:t xml:space="preserve">a new table format has been used </w:t>
      </w:r>
      <w:r w:rsidRPr="00E92B3E">
        <w:t>for</w:t>
      </w:r>
      <w:r w:rsidR="00963087">
        <w:t xml:space="preserve"> the table </w:t>
      </w:r>
      <w:r w:rsidR="0082643D">
        <w:t xml:space="preserve">where </w:t>
      </w:r>
      <w:proofErr w:type="spellStart"/>
      <w:r w:rsidR="0082643D" w:rsidRPr="0082643D">
        <w:t>eDRX_IDLE</w:t>
      </w:r>
      <w:proofErr w:type="spellEnd"/>
      <w:r w:rsidR="0082643D" w:rsidRPr="0082643D">
        <w:t xml:space="preserve"> cycle and eDRX INACTIVE cycle </w:t>
      </w:r>
      <w:r w:rsidR="0082643D">
        <w:t xml:space="preserve">have the same range of </w:t>
      </w:r>
      <w:r w:rsidR="0082643D" w:rsidRPr="0082643D">
        <w:t xml:space="preserve">length </w:t>
      </w:r>
      <w:r w:rsidR="0082643D">
        <w:t xml:space="preserve">values. </w:t>
      </w:r>
      <w:r w:rsidR="0082643D">
        <w:rPr>
          <w:lang w:val="en-GB"/>
        </w:rPr>
        <w:t xml:space="preserve">Those tables with the new format from </w:t>
      </w:r>
      <w:r w:rsidR="00E92B3E">
        <w:rPr>
          <w:lang w:val="en-GB"/>
        </w:rPr>
        <w:t>the draft CRs</w:t>
      </w:r>
      <w:r w:rsidR="0082643D">
        <w:rPr>
          <w:lang w:val="en-GB"/>
        </w:rPr>
        <w:t xml:space="preserve"> are collected in </w:t>
      </w:r>
      <w:r w:rsidR="0082643D" w:rsidRPr="0082643D">
        <w:rPr>
          <w:lang w:val="en-GB"/>
        </w:rPr>
        <w:t>R4-2317438</w:t>
      </w:r>
      <w:r w:rsidR="0082643D">
        <w:rPr>
          <w:lang w:val="en-GB"/>
        </w:rPr>
        <w:t xml:space="preserve">. </w:t>
      </w:r>
    </w:p>
    <w:p w14:paraId="35221E6B" w14:textId="15D95267" w:rsidR="0082643D" w:rsidRDefault="0082643D" w:rsidP="0082643D">
      <w:pPr>
        <w:rPr>
          <w:lang w:val="en-GB"/>
        </w:rPr>
      </w:pPr>
      <w:r>
        <w:rPr>
          <w:lang w:val="en-GB"/>
        </w:rPr>
        <w:t xml:space="preserve">There is a discrepancy among the new tables when showing the </w:t>
      </w:r>
      <w:r w:rsidRPr="0082643D">
        <w:rPr>
          <w:rFonts w:cs="Arial"/>
        </w:rPr>
        <w:t xml:space="preserve">range of </w:t>
      </w:r>
      <w:proofErr w:type="spellStart"/>
      <w:r w:rsidRPr="0082643D">
        <w:rPr>
          <w:lang w:val="en-GB"/>
        </w:rPr>
        <w:t>eDRX_IDLE</w:t>
      </w:r>
      <w:proofErr w:type="spellEnd"/>
      <w:r w:rsidRPr="0082643D">
        <w:rPr>
          <w:lang w:val="en-GB"/>
        </w:rPr>
        <w:t xml:space="preserve"> cycle length and </w:t>
      </w:r>
      <w:proofErr w:type="spellStart"/>
      <w:r w:rsidRPr="0082643D">
        <w:rPr>
          <w:lang w:val="en-GB"/>
        </w:rPr>
        <w:t>eDRX_INACTIVE</w:t>
      </w:r>
      <w:proofErr w:type="spellEnd"/>
      <w:r w:rsidRPr="0082643D">
        <w:rPr>
          <w:lang w:val="en-GB"/>
        </w:rPr>
        <w:t xml:space="preserve"> cycle lengt</w:t>
      </w:r>
      <w:r>
        <w:rPr>
          <w:lang w:val="en-GB"/>
        </w:rPr>
        <w:t>h. For example, the column ‘</w:t>
      </w:r>
      <w:proofErr w:type="spellStart"/>
      <w:r w:rsidRPr="0082643D">
        <w:rPr>
          <w:lang w:val="en-GB"/>
        </w:rPr>
        <w:t>eDRX_IDLE</w:t>
      </w:r>
      <w:proofErr w:type="spellEnd"/>
      <w:r w:rsidRPr="0082643D">
        <w:rPr>
          <w:lang w:val="en-GB"/>
        </w:rPr>
        <w:t xml:space="preserve"> cycle and eDRX INACTIVE cycle length [s]</w:t>
      </w:r>
      <w:r>
        <w:rPr>
          <w:lang w:val="en-GB"/>
        </w:rPr>
        <w:t>’ has the values:</w:t>
      </w:r>
    </w:p>
    <w:p w14:paraId="228B1DC1" w14:textId="30391806" w:rsidR="0082643D" w:rsidRPr="0082643D" w:rsidRDefault="00967790" w:rsidP="00C755C4">
      <w:pPr>
        <w:pStyle w:val="ListParagraph"/>
        <w:numPr>
          <w:ilvl w:val="0"/>
          <w:numId w:val="40"/>
        </w:numPr>
        <w:rPr>
          <w:lang w:val="en-GB"/>
        </w:rPr>
      </w:pPr>
      <w:r>
        <w:rPr>
          <w:lang w:val="en-GB"/>
        </w:rPr>
        <w:t xml:space="preserve">[Case 1] </w:t>
      </w:r>
      <w:r w:rsidR="0082643D">
        <w:rPr>
          <w:lang w:val="en-GB"/>
        </w:rPr>
        <w:t>“</w:t>
      </w:r>
      <w:r w:rsidR="0082643D" w:rsidRPr="0082643D">
        <w:rPr>
          <w:lang w:val="en-GB"/>
        </w:rPr>
        <w:t xml:space="preserve">20.48 ≤ </w:t>
      </w:r>
      <w:proofErr w:type="spellStart"/>
      <w:r w:rsidR="0082643D" w:rsidRPr="0082643D">
        <w:rPr>
          <w:lang w:val="en-GB"/>
        </w:rPr>
        <w:t>eDRX_IDLE</w:t>
      </w:r>
      <w:proofErr w:type="spellEnd"/>
      <w:r w:rsidR="0082643D" w:rsidRPr="0082643D">
        <w:rPr>
          <w:lang w:val="en-GB"/>
        </w:rPr>
        <w:t xml:space="preserve"> cycle length ≤10485.76</w:t>
      </w:r>
      <w:r w:rsidR="0082643D">
        <w:rPr>
          <w:lang w:val="en-GB"/>
        </w:rPr>
        <w:t xml:space="preserve">” in </w:t>
      </w:r>
    </w:p>
    <w:p w14:paraId="4E01321B" w14:textId="4981803B" w:rsidR="0082643D" w:rsidRPr="0082643D" w:rsidRDefault="0082643D" w:rsidP="0082643D">
      <w:pPr>
        <w:pStyle w:val="ListParagraph"/>
        <w:numPr>
          <w:ilvl w:val="1"/>
          <w:numId w:val="40"/>
        </w:numPr>
        <w:rPr>
          <w:lang w:val="en-GB"/>
        </w:rPr>
      </w:pPr>
      <w:r w:rsidRPr="0082643D">
        <w:rPr>
          <w:lang w:val="en-GB"/>
        </w:rPr>
        <w:t>Table 5.1B.2.2-3</w:t>
      </w:r>
      <w:r>
        <w:rPr>
          <w:lang w:val="en-GB"/>
        </w:rPr>
        <w:t xml:space="preserve">, </w:t>
      </w:r>
      <w:r w:rsidRPr="0082643D">
        <w:rPr>
          <w:lang w:val="en-GB"/>
        </w:rPr>
        <w:t>Table 5.1B.2.2-4</w:t>
      </w:r>
      <w:r>
        <w:rPr>
          <w:lang w:val="en-GB"/>
        </w:rPr>
        <w:t xml:space="preserve">, </w:t>
      </w:r>
      <w:r w:rsidRPr="0082643D">
        <w:rPr>
          <w:lang w:val="en-GB"/>
        </w:rPr>
        <w:t>Table 5.1B.2.3-3</w:t>
      </w:r>
      <w:r>
        <w:rPr>
          <w:lang w:val="en-GB"/>
        </w:rPr>
        <w:t xml:space="preserve">, </w:t>
      </w:r>
      <w:r w:rsidRPr="0082643D">
        <w:rPr>
          <w:lang w:val="en-GB"/>
        </w:rPr>
        <w:t>Table 5.1B.2.3-4</w:t>
      </w:r>
      <w:r>
        <w:rPr>
          <w:lang w:val="en-GB"/>
        </w:rPr>
        <w:t xml:space="preserve">, and </w:t>
      </w:r>
    </w:p>
    <w:p w14:paraId="73C450C6" w14:textId="21A13687" w:rsidR="0082643D" w:rsidRPr="0082643D" w:rsidRDefault="00967790" w:rsidP="00623145">
      <w:pPr>
        <w:pStyle w:val="ListParagraph"/>
        <w:numPr>
          <w:ilvl w:val="0"/>
          <w:numId w:val="40"/>
        </w:numPr>
        <w:rPr>
          <w:lang w:val="en-GB"/>
        </w:rPr>
      </w:pPr>
      <w:r>
        <w:rPr>
          <w:lang w:val="en-GB"/>
        </w:rPr>
        <w:t xml:space="preserve">[Case 2] </w:t>
      </w:r>
      <w:r w:rsidR="0082643D" w:rsidRPr="0082643D">
        <w:rPr>
          <w:lang w:val="en-GB"/>
        </w:rPr>
        <w:t>“20.48≤eDRX_IDLE cycle length ≤ 10485.76</w:t>
      </w:r>
      <w:r w:rsidR="0082643D">
        <w:rPr>
          <w:lang w:val="en-GB"/>
        </w:rPr>
        <w:t xml:space="preserve">, </w:t>
      </w:r>
      <w:r w:rsidR="0082643D" w:rsidRPr="0082643D">
        <w:rPr>
          <w:lang w:val="en-GB"/>
        </w:rPr>
        <w:t>20.48 ≤</w:t>
      </w:r>
      <w:proofErr w:type="spellStart"/>
      <w:r w:rsidR="0082643D" w:rsidRPr="0082643D">
        <w:rPr>
          <w:lang w:val="en-GB"/>
        </w:rPr>
        <w:t>eDRX_INACTIVE</w:t>
      </w:r>
      <w:proofErr w:type="spellEnd"/>
      <w:r w:rsidR="0082643D" w:rsidRPr="0082643D">
        <w:rPr>
          <w:lang w:val="en-GB"/>
        </w:rPr>
        <w:t xml:space="preserve"> cycle length ≤ 10485.76</w:t>
      </w:r>
      <w:r w:rsidR="0082643D">
        <w:rPr>
          <w:lang w:val="en-GB"/>
        </w:rPr>
        <w:t>” in</w:t>
      </w:r>
    </w:p>
    <w:p w14:paraId="4D5BC439" w14:textId="1D13A623" w:rsidR="0082643D" w:rsidRPr="0082643D" w:rsidRDefault="0082643D" w:rsidP="0082643D">
      <w:pPr>
        <w:pStyle w:val="ListParagraph"/>
        <w:numPr>
          <w:ilvl w:val="1"/>
          <w:numId w:val="40"/>
        </w:numPr>
        <w:rPr>
          <w:lang w:val="en-GB"/>
        </w:rPr>
      </w:pPr>
      <w:r w:rsidRPr="0082643D">
        <w:rPr>
          <w:lang w:val="en-GB"/>
        </w:rPr>
        <w:t>Table 5.1B.2.4-3</w:t>
      </w:r>
      <w:r>
        <w:rPr>
          <w:lang w:val="en-GB"/>
        </w:rPr>
        <w:t xml:space="preserve">, </w:t>
      </w:r>
      <w:r w:rsidRPr="0082643D">
        <w:rPr>
          <w:lang w:val="en-GB"/>
        </w:rPr>
        <w:t>Table 5.1B.2.4-4</w:t>
      </w:r>
      <w:r>
        <w:rPr>
          <w:lang w:val="en-GB"/>
        </w:rPr>
        <w:t>,</w:t>
      </w:r>
      <w:r w:rsidRPr="0082643D">
        <w:t xml:space="preserve"> </w:t>
      </w:r>
      <w:r w:rsidRPr="0082643D">
        <w:rPr>
          <w:lang w:val="en-GB"/>
        </w:rPr>
        <w:t>Table 5.1B.2.5-2</w:t>
      </w:r>
      <w:r>
        <w:rPr>
          <w:lang w:val="en-GB"/>
        </w:rPr>
        <w:t>.</w:t>
      </w:r>
    </w:p>
    <w:p w14:paraId="26CD566F" w14:textId="33EBED0E" w:rsidR="003A0B7E" w:rsidRPr="003A0B7E" w:rsidRDefault="00963087" w:rsidP="00967790">
      <w:r w:rsidRPr="003A0B7E">
        <w:t xml:space="preserve">Those tables </w:t>
      </w:r>
      <w:r w:rsidR="00967790">
        <w:t xml:space="preserve">using Case 1 </w:t>
      </w:r>
      <w:r w:rsidRPr="003A0B7E">
        <w:t>can</w:t>
      </w:r>
      <w:r>
        <w:t xml:space="preserve"> be modified to </w:t>
      </w:r>
      <w:r w:rsidR="0082643D">
        <w:t xml:space="preserve">align the table format by showing </w:t>
      </w:r>
      <w:r w:rsidRPr="003A0B7E">
        <w:t xml:space="preserve">both </w:t>
      </w:r>
      <w:r>
        <w:t>‘</w:t>
      </w:r>
      <w:r w:rsidRPr="003A0B7E">
        <w:t>eDRX IDLE cycle length</w:t>
      </w:r>
      <w:r>
        <w:t>’</w:t>
      </w:r>
      <w:r w:rsidRPr="003A0B7E">
        <w:t xml:space="preserve"> and </w:t>
      </w:r>
      <w:r>
        <w:t>‘</w:t>
      </w:r>
      <w:r w:rsidRPr="003A0B7E">
        <w:t>eDRX INACTIVE cycle length</w:t>
      </w:r>
      <w:r>
        <w:t>’</w:t>
      </w:r>
      <w:r w:rsidR="00967790">
        <w:t xml:space="preserve"> as done in the tables in Case 2. </w:t>
      </w:r>
      <w:r w:rsidRPr="003A0B7E">
        <w:t xml:space="preserve"> </w:t>
      </w:r>
    </w:p>
    <w:p w14:paraId="19D5A00B" w14:textId="62668C11" w:rsidR="003A0B7E" w:rsidRDefault="003A0B7E" w:rsidP="0032102B">
      <w:pPr>
        <w:pStyle w:val="RAN4proposal"/>
        <w:rPr>
          <w:lang w:val="en-GB"/>
        </w:rPr>
      </w:pPr>
      <w:r w:rsidRPr="0082643D">
        <w:rPr>
          <w:rFonts w:cs="Arial"/>
        </w:rPr>
        <w:t xml:space="preserve">RAN4 to align a new table format </w:t>
      </w:r>
      <w:r w:rsidR="0082643D" w:rsidRPr="0082643D">
        <w:rPr>
          <w:rFonts w:cs="Arial"/>
        </w:rPr>
        <w:t xml:space="preserve">by explicitly showing the range of </w:t>
      </w:r>
      <w:proofErr w:type="spellStart"/>
      <w:r w:rsidR="0082643D" w:rsidRPr="0082643D">
        <w:rPr>
          <w:lang w:val="en-GB"/>
        </w:rPr>
        <w:t>eDRX_IDLE</w:t>
      </w:r>
      <w:proofErr w:type="spellEnd"/>
      <w:r w:rsidR="0082643D" w:rsidRPr="0082643D">
        <w:rPr>
          <w:lang w:val="en-GB"/>
        </w:rPr>
        <w:t xml:space="preserve"> cycle length and </w:t>
      </w:r>
      <w:proofErr w:type="spellStart"/>
      <w:r w:rsidR="0082643D" w:rsidRPr="0082643D">
        <w:rPr>
          <w:lang w:val="en-GB"/>
        </w:rPr>
        <w:t>eDRX_INACTIVE</w:t>
      </w:r>
      <w:proofErr w:type="spellEnd"/>
      <w:r w:rsidR="0082643D" w:rsidRPr="0082643D">
        <w:rPr>
          <w:lang w:val="en-GB"/>
        </w:rPr>
        <w:t xml:space="preserve"> cycle length, respectively. </w:t>
      </w:r>
    </w:p>
    <w:p w14:paraId="29CB0A06" w14:textId="77777777" w:rsidR="0082643D" w:rsidRPr="0082643D" w:rsidRDefault="0082643D" w:rsidP="0082643D">
      <w:pPr>
        <w:rPr>
          <w:lang w:val="en-GB"/>
        </w:rPr>
      </w:pPr>
    </w:p>
    <w:p w14:paraId="63B32AD0" w14:textId="613CF742" w:rsidR="00C72D03" w:rsidRPr="00C72D03" w:rsidRDefault="003A0B7E" w:rsidP="00C72D03">
      <w:r>
        <w:t>In draft CRs, the RAN DR</w:t>
      </w:r>
      <w:r w:rsidR="00967790">
        <w:t>X length</w:t>
      </w:r>
      <w:r>
        <w:t xml:space="preserve"> and eDRX </w:t>
      </w:r>
      <w:r w:rsidR="00967790">
        <w:t>IDLE/INACTIVE</w:t>
      </w:r>
      <w:r>
        <w:t xml:space="preserve"> cycle</w:t>
      </w:r>
      <w:r w:rsidR="00967790">
        <w:t xml:space="preserve"> length</w:t>
      </w:r>
      <w:r>
        <w:t xml:space="preserve"> are frequently mentioned in equations. </w:t>
      </w:r>
      <w:r w:rsidR="00967790">
        <w:t xml:space="preserve">For example, in some equations, the different variable naming, e.g., </w:t>
      </w:r>
      <w:proofErr w:type="spellStart"/>
      <w:r w:rsidR="00967790">
        <w:t>DRX_cycle</w:t>
      </w:r>
      <w:proofErr w:type="spellEnd"/>
      <w:r w:rsidR="00967790">
        <w:t xml:space="preserve">, </w:t>
      </w:r>
      <w:proofErr w:type="spellStart"/>
      <w:r w:rsidR="00967790">
        <w:t>DRX_cycle_length</w:t>
      </w:r>
      <w:proofErr w:type="spellEnd"/>
      <w:r w:rsidR="00967790">
        <w:t xml:space="preserve">, DRX, has been interchangeably used. </w:t>
      </w:r>
      <w:r>
        <w:t xml:space="preserve">The variable naming can be aligned to improve readability. </w:t>
      </w:r>
    </w:p>
    <w:p w14:paraId="3A4FC31F" w14:textId="32A0CCA5" w:rsidR="00123C54" w:rsidRDefault="00123C54" w:rsidP="00C72D03">
      <w:pPr>
        <w:pStyle w:val="RAN4proposal"/>
      </w:pPr>
      <w:r>
        <w:t>RAN4 to align the variable naming</w:t>
      </w:r>
      <w:r w:rsidR="00C72D03">
        <w:t xml:space="preserve"> by using the following convention</w:t>
      </w:r>
      <w:r w:rsidR="00967790">
        <w:t>; for example, ‘</w:t>
      </w:r>
      <w:proofErr w:type="spellStart"/>
      <w:r>
        <w:t>DRX_cycle_length</w:t>
      </w:r>
      <w:proofErr w:type="spellEnd"/>
      <w:r w:rsidR="00967790">
        <w:t>’</w:t>
      </w:r>
      <w:r>
        <w:t xml:space="preserve"> is RAN DRX length</w:t>
      </w:r>
      <w:r w:rsidR="00C72D03">
        <w:t>,</w:t>
      </w:r>
      <w:r>
        <w:t xml:space="preserve"> and </w:t>
      </w:r>
      <w:r w:rsidR="00967790">
        <w:t>‘</w:t>
      </w:r>
      <w:r>
        <w:t>eDRX_</w:t>
      </w:r>
      <w:r w:rsidR="00C72D03">
        <w:t>(</w:t>
      </w:r>
      <w:r>
        <w:t>idle/</w:t>
      </w:r>
      <w:proofErr w:type="gramStart"/>
      <w:r>
        <w:t>inactive</w:t>
      </w:r>
      <w:r w:rsidR="00C72D03">
        <w:t>)</w:t>
      </w:r>
      <w:r>
        <w:t>_</w:t>
      </w:r>
      <w:proofErr w:type="spellStart"/>
      <w:proofErr w:type="gramEnd"/>
      <w:r>
        <w:t>cycle_length</w:t>
      </w:r>
      <w:proofErr w:type="spellEnd"/>
      <w:r w:rsidR="00967790">
        <w:t>’</w:t>
      </w:r>
      <w:r>
        <w:t xml:space="preserve"> is eDRX </w:t>
      </w:r>
      <w:r w:rsidR="00C72D03">
        <w:t>(</w:t>
      </w:r>
      <w:r>
        <w:t>IDLE/INACTIVE</w:t>
      </w:r>
      <w:r w:rsidR="00C72D03">
        <w:t>)</w:t>
      </w:r>
      <w:r>
        <w:t xml:space="preserve"> cycle length. </w:t>
      </w:r>
    </w:p>
    <w:p w14:paraId="6219B5E8" w14:textId="77777777" w:rsidR="003A0B7E" w:rsidRDefault="003A0B7E" w:rsidP="00FA12DA">
      <w:pPr>
        <w:rPr>
          <w:rFonts w:cs="Arial"/>
          <w:iCs/>
        </w:rPr>
      </w:pPr>
    </w:p>
    <w:p w14:paraId="6E4D694B" w14:textId="77777777" w:rsidR="00F04C1B" w:rsidRPr="00EF698B" w:rsidRDefault="00F04C1B" w:rsidP="00F04C1B">
      <w:pPr>
        <w:pStyle w:val="RAN4H1"/>
      </w:pPr>
      <w:r w:rsidRPr="00EF698B">
        <w:t>Conclusion</w:t>
      </w:r>
    </w:p>
    <w:p w14:paraId="2ACD6632" w14:textId="504B2F7C" w:rsidR="00F04C1B" w:rsidRPr="001D6383" w:rsidRDefault="00F04C1B" w:rsidP="00F04C1B">
      <w:pPr>
        <w:rPr>
          <w:color w:val="000000" w:themeColor="text1"/>
          <w:lang w:val="en-GB"/>
        </w:rPr>
      </w:pPr>
      <w:r w:rsidRPr="001D6383">
        <w:rPr>
          <w:color w:val="000000" w:themeColor="text1"/>
        </w:rPr>
        <w:t xml:space="preserve">This contribution has investigated the impact </w:t>
      </w:r>
      <w:r w:rsidR="001B06AB">
        <w:rPr>
          <w:color w:val="000000" w:themeColor="text1"/>
        </w:rPr>
        <w:t>on</w:t>
      </w:r>
      <w:r w:rsidRPr="001D6383">
        <w:rPr>
          <w:color w:val="000000" w:themeColor="text1"/>
        </w:rPr>
        <w:t xml:space="preserve"> RRM core requirements from the </w:t>
      </w:r>
      <w:r>
        <w:rPr>
          <w:color w:val="000000" w:themeColor="text1"/>
        </w:rPr>
        <w:t xml:space="preserve">objectives in the </w:t>
      </w:r>
      <w:r w:rsidRPr="001D6383">
        <w:rPr>
          <w:color w:val="000000" w:themeColor="text1"/>
        </w:rPr>
        <w:t xml:space="preserve">Rel-18 </w:t>
      </w:r>
      <w:r w:rsidR="001B06AB">
        <w:rPr>
          <w:color w:val="000000" w:themeColor="text1"/>
        </w:rPr>
        <w:t>e</w:t>
      </w:r>
      <w:r w:rsidRPr="001D6383">
        <w:rPr>
          <w:color w:val="000000" w:themeColor="text1"/>
        </w:rPr>
        <w:t xml:space="preserve">nhanced RedCap WID [1]. </w:t>
      </w:r>
      <w:r>
        <w:rPr>
          <w:color w:val="000000" w:themeColor="text1"/>
          <w:lang w:val="en-GB"/>
        </w:rPr>
        <w:t>The following proposals are made.</w:t>
      </w:r>
    </w:p>
    <w:p w14:paraId="03BF2B3E" w14:textId="77777777" w:rsidR="008270A6" w:rsidRPr="008270A6" w:rsidRDefault="008270A6" w:rsidP="00B76B63">
      <w:pPr>
        <w:pStyle w:val="RAN4proposal"/>
        <w:numPr>
          <w:ilvl w:val="0"/>
          <w:numId w:val="41"/>
        </w:numPr>
        <w:ind w:left="0" w:firstLine="0"/>
        <w:rPr>
          <w:lang w:val="en-GB"/>
        </w:rPr>
      </w:pPr>
      <w:r w:rsidRPr="008270A6">
        <w:rPr>
          <w:rFonts w:cs="Arial"/>
        </w:rPr>
        <w:t xml:space="preserve">RAN4 to align a new table format by explicitly showing the range of </w:t>
      </w:r>
      <w:proofErr w:type="spellStart"/>
      <w:r w:rsidRPr="008270A6">
        <w:rPr>
          <w:lang w:val="en-GB"/>
        </w:rPr>
        <w:t>eDRX_IDLE</w:t>
      </w:r>
      <w:proofErr w:type="spellEnd"/>
      <w:r w:rsidRPr="008270A6">
        <w:rPr>
          <w:lang w:val="en-GB"/>
        </w:rPr>
        <w:t xml:space="preserve"> cycle length and </w:t>
      </w:r>
      <w:proofErr w:type="spellStart"/>
      <w:r w:rsidRPr="008270A6">
        <w:rPr>
          <w:lang w:val="en-GB"/>
        </w:rPr>
        <w:t>eDRX_INACTIVE</w:t>
      </w:r>
      <w:proofErr w:type="spellEnd"/>
      <w:r w:rsidRPr="008270A6">
        <w:rPr>
          <w:lang w:val="en-GB"/>
        </w:rPr>
        <w:t xml:space="preserve"> cycle length, respectively. </w:t>
      </w:r>
    </w:p>
    <w:p w14:paraId="73289C11" w14:textId="77777777" w:rsidR="008270A6" w:rsidRDefault="008270A6" w:rsidP="008270A6">
      <w:pPr>
        <w:pStyle w:val="RAN4proposal"/>
      </w:pPr>
      <w:r>
        <w:t>RAN4 to align the variable naming by using the following convention; for example, ‘</w:t>
      </w:r>
      <w:proofErr w:type="spellStart"/>
      <w:r>
        <w:t>DRX_cycle_length</w:t>
      </w:r>
      <w:proofErr w:type="spellEnd"/>
      <w:r>
        <w:t>’ is RAN DRX length, and ‘eDRX_(idle/</w:t>
      </w:r>
      <w:proofErr w:type="gramStart"/>
      <w:r>
        <w:t>inactive)_</w:t>
      </w:r>
      <w:proofErr w:type="spellStart"/>
      <w:proofErr w:type="gramEnd"/>
      <w:r>
        <w:t>cycle_length</w:t>
      </w:r>
      <w:proofErr w:type="spellEnd"/>
      <w:r>
        <w:t xml:space="preserve">’ is eDRX (IDLE/INACTIVE) cycle length. </w:t>
      </w:r>
    </w:p>
    <w:p w14:paraId="1BC1C17D" w14:textId="77777777" w:rsidR="008270A6" w:rsidRPr="008270A6" w:rsidRDefault="008270A6" w:rsidP="008270A6">
      <w:pPr>
        <w:rPr>
          <w:lang w:val="en-GB"/>
        </w:rPr>
      </w:pPr>
    </w:p>
    <w:p w14:paraId="547F03C9" w14:textId="77777777" w:rsidR="00F04C1B" w:rsidRPr="00EF698B" w:rsidRDefault="00F04C1B" w:rsidP="00F04C1B">
      <w:pPr>
        <w:pStyle w:val="RAN4H1"/>
        <w:numPr>
          <w:ilvl w:val="0"/>
          <w:numId w:val="0"/>
        </w:numPr>
        <w:ind w:left="360" w:hanging="360"/>
      </w:pPr>
      <w:r w:rsidRPr="00EF698B">
        <w:t>References</w:t>
      </w:r>
    </w:p>
    <w:p w14:paraId="27C121D8" w14:textId="77777777" w:rsidR="00F04C1B" w:rsidRDefault="00F04C1B" w:rsidP="00F04C1B">
      <w:pPr>
        <w:pStyle w:val="ListParagraph"/>
        <w:numPr>
          <w:ilvl w:val="0"/>
          <w:numId w:val="21"/>
        </w:numPr>
        <w:ind w:left="714" w:right="-23" w:hanging="357"/>
        <w:contextualSpacing w:val="0"/>
      </w:pPr>
      <w:bookmarkStart w:id="4" w:name="_Ref114500673"/>
      <w:bookmarkEnd w:id="4"/>
      <w:r w:rsidRPr="00083BED">
        <w:t>RP-223544</w:t>
      </w:r>
      <w:r w:rsidRPr="00025687">
        <w:t xml:space="preserve">, </w:t>
      </w:r>
      <w:r>
        <w:t>“</w:t>
      </w:r>
      <w:r w:rsidRPr="00083BED">
        <w:t>Revised WID on Enhanced support of reduced capability NR devices</w:t>
      </w:r>
      <w:r>
        <w:t>”</w:t>
      </w:r>
      <w:r w:rsidRPr="00025687">
        <w:t xml:space="preserve">, </w:t>
      </w:r>
      <w:r>
        <w:t xml:space="preserve">Ericsson, </w:t>
      </w:r>
      <w:r w:rsidRPr="00025687">
        <w:t>RAN#9</w:t>
      </w:r>
      <w:r>
        <w:t>8</w:t>
      </w:r>
      <w:r w:rsidRPr="00025687">
        <w:t>-e</w:t>
      </w:r>
      <w:r>
        <w:t>.</w:t>
      </w:r>
    </w:p>
    <w:p w14:paraId="144E1DFB" w14:textId="1845132A" w:rsidR="00AA708D" w:rsidRDefault="00AA708D" w:rsidP="00770C74">
      <w:pPr>
        <w:pStyle w:val="ListParagraph"/>
        <w:numPr>
          <w:ilvl w:val="0"/>
          <w:numId w:val="21"/>
        </w:numPr>
        <w:ind w:left="714" w:right="-23" w:hanging="357"/>
        <w:contextualSpacing w:val="0"/>
      </w:pPr>
      <w:r>
        <w:lastRenderedPageBreak/>
        <w:t>R4-231</w:t>
      </w:r>
      <w:r w:rsidR="003657F5">
        <w:t>7365</w:t>
      </w:r>
      <w:r>
        <w:t>, “WF on R18 NR RedCap RRM Requirements,” Moderator (Ericsson)</w:t>
      </w:r>
      <w:r w:rsidR="00681007">
        <w:t>, RAN4#108</w:t>
      </w:r>
      <w:r w:rsidR="003657F5">
        <w:t>bis</w:t>
      </w:r>
      <w:r w:rsidR="001D08F6">
        <w:t>Op</w:t>
      </w:r>
      <w:r>
        <w:t>.</w:t>
      </w:r>
    </w:p>
    <w:p w14:paraId="5D58139B" w14:textId="6F3E32C1" w:rsidR="000040DC" w:rsidRDefault="000040DC" w:rsidP="00F04C1B">
      <w:pPr>
        <w:ind w:right="-22"/>
      </w:pPr>
    </w:p>
    <w:p w14:paraId="7E843ABD" w14:textId="77777777" w:rsidR="00841FD1" w:rsidRPr="00847264" w:rsidRDefault="00841FD1" w:rsidP="00F04C1B">
      <w:pPr>
        <w:ind w:right="-22"/>
      </w:pPr>
    </w:p>
    <w:sectPr w:rsidR="00841FD1"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F4C2" w14:textId="77777777" w:rsidR="00714F67" w:rsidRDefault="00714F67" w:rsidP="00001C9B">
      <w:pPr>
        <w:spacing w:after="0" w:line="240" w:lineRule="auto"/>
      </w:pPr>
      <w:r>
        <w:separator/>
      </w:r>
    </w:p>
  </w:endnote>
  <w:endnote w:type="continuationSeparator" w:id="0">
    <w:p w14:paraId="4EA6AF0F" w14:textId="77777777" w:rsidR="00714F67" w:rsidRDefault="00714F67" w:rsidP="00001C9B">
      <w:pPr>
        <w:spacing w:after="0" w:line="240" w:lineRule="auto"/>
      </w:pPr>
      <w:r>
        <w:continuationSeparator/>
      </w:r>
    </w:p>
  </w:endnote>
  <w:endnote w:type="continuationNotice" w:id="1">
    <w:p w14:paraId="10536DED" w14:textId="77777777" w:rsidR="00714F67" w:rsidRDefault="00714F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CBF1D" w14:textId="77777777" w:rsidR="00714F67" w:rsidRDefault="00714F67" w:rsidP="00001C9B">
      <w:pPr>
        <w:spacing w:after="0" w:line="240" w:lineRule="auto"/>
      </w:pPr>
      <w:r>
        <w:separator/>
      </w:r>
    </w:p>
  </w:footnote>
  <w:footnote w:type="continuationSeparator" w:id="0">
    <w:p w14:paraId="37A071A7" w14:textId="77777777" w:rsidR="00714F67" w:rsidRDefault="00714F67" w:rsidP="00001C9B">
      <w:pPr>
        <w:spacing w:after="0" w:line="240" w:lineRule="auto"/>
      </w:pPr>
      <w:r>
        <w:continuationSeparator/>
      </w:r>
    </w:p>
  </w:footnote>
  <w:footnote w:type="continuationNotice" w:id="1">
    <w:p w14:paraId="042FA0EE" w14:textId="77777777" w:rsidR="00714F67" w:rsidRDefault="00714F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A1C75"/>
    <w:multiLevelType w:val="hybridMultilevel"/>
    <w:tmpl w:val="D876B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41555"/>
    <w:multiLevelType w:val="hybridMultilevel"/>
    <w:tmpl w:val="2B802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8"/>
  </w:num>
  <w:num w:numId="3" w16cid:durableId="1792749823">
    <w:abstractNumId w:val="14"/>
  </w:num>
  <w:num w:numId="4" w16cid:durableId="517735681">
    <w:abstractNumId w:val="7"/>
  </w:num>
  <w:num w:numId="5" w16cid:durableId="1142041724">
    <w:abstractNumId w:val="21"/>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4"/>
  </w:num>
  <w:num w:numId="16" w16cid:durableId="516113510">
    <w:abstractNumId w:val="6"/>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8"/>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779687842">
    <w:abstractNumId w:val="17"/>
  </w:num>
  <w:num w:numId="28" w16cid:durableId="1193302965">
    <w:abstractNumId w:val="23"/>
  </w:num>
  <w:num w:numId="29" w16cid:durableId="1747917485">
    <w:abstractNumId w:val="9"/>
  </w:num>
  <w:num w:numId="30" w16cid:durableId="86120398">
    <w:abstractNumId w:val="16"/>
  </w:num>
  <w:num w:numId="31" w16cid:durableId="1602642512">
    <w:abstractNumId w:val="20"/>
  </w:num>
  <w:num w:numId="32" w16cid:durableId="1379276625">
    <w:abstractNumId w:val="10"/>
  </w:num>
  <w:num w:numId="33" w16cid:durableId="1013263690">
    <w:abstractNumId w:val="15"/>
  </w:num>
  <w:num w:numId="34" w16cid:durableId="885794340">
    <w:abstractNumId w:val="22"/>
  </w:num>
  <w:num w:numId="35" w16cid:durableId="103959472">
    <w:abstractNumId w:val="12"/>
    <w:lvlOverride w:ilvl="0">
      <w:startOverride w:val="1"/>
    </w:lvlOverride>
  </w:num>
  <w:num w:numId="36" w16cid:durableId="1366715640">
    <w:abstractNumId w:val="13"/>
    <w:lvlOverride w:ilvl="0">
      <w:startOverride w:val="1"/>
    </w:lvlOverride>
  </w:num>
  <w:num w:numId="37" w16cid:durableId="1295260013">
    <w:abstractNumId w:val="0"/>
  </w:num>
  <w:num w:numId="38" w16cid:durableId="1505820685">
    <w:abstractNumId w:val="13"/>
    <w:lvlOverride w:ilvl="0">
      <w:startOverride w:val="1"/>
    </w:lvlOverride>
  </w:num>
  <w:num w:numId="39" w16cid:durableId="1462768981">
    <w:abstractNumId w:val="2"/>
  </w:num>
  <w:num w:numId="40" w16cid:durableId="1974406341">
    <w:abstractNumId w:val="5"/>
  </w:num>
  <w:num w:numId="41" w16cid:durableId="1443261024">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63991"/>
    <w:rsid w:val="00001C9B"/>
    <w:rsid w:val="000040DC"/>
    <w:rsid w:val="00011784"/>
    <w:rsid w:val="000151EF"/>
    <w:rsid w:val="000239F5"/>
    <w:rsid w:val="0002746E"/>
    <w:rsid w:val="00045FEF"/>
    <w:rsid w:val="000466D4"/>
    <w:rsid w:val="00047979"/>
    <w:rsid w:val="0006075E"/>
    <w:rsid w:val="00071D30"/>
    <w:rsid w:val="0008612A"/>
    <w:rsid w:val="00090E18"/>
    <w:rsid w:val="000A10BC"/>
    <w:rsid w:val="000A5976"/>
    <w:rsid w:val="000B0056"/>
    <w:rsid w:val="000C3C7B"/>
    <w:rsid w:val="000C6ED3"/>
    <w:rsid w:val="000D0F93"/>
    <w:rsid w:val="000E74A8"/>
    <w:rsid w:val="00106416"/>
    <w:rsid w:val="00110481"/>
    <w:rsid w:val="001127C9"/>
    <w:rsid w:val="00114498"/>
    <w:rsid w:val="00115B88"/>
    <w:rsid w:val="00123C54"/>
    <w:rsid w:val="00132F6A"/>
    <w:rsid w:val="00133913"/>
    <w:rsid w:val="00140221"/>
    <w:rsid w:val="001411E7"/>
    <w:rsid w:val="00163991"/>
    <w:rsid w:val="001642FC"/>
    <w:rsid w:val="0016496B"/>
    <w:rsid w:val="001743E2"/>
    <w:rsid w:val="001745F8"/>
    <w:rsid w:val="001838CF"/>
    <w:rsid w:val="001868EE"/>
    <w:rsid w:val="00194FDD"/>
    <w:rsid w:val="001A3BA4"/>
    <w:rsid w:val="001A6D1F"/>
    <w:rsid w:val="001B06AB"/>
    <w:rsid w:val="001B08DF"/>
    <w:rsid w:val="001C0D48"/>
    <w:rsid w:val="001D08F6"/>
    <w:rsid w:val="001E2D52"/>
    <w:rsid w:val="001E30F6"/>
    <w:rsid w:val="00212517"/>
    <w:rsid w:val="00217EE5"/>
    <w:rsid w:val="00235F5C"/>
    <w:rsid w:val="00257FA3"/>
    <w:rsid w:val="00277B56"/>
    <w:rsid w:val="002A19F5"/>
    <w:rsid w:val="002A3957"/>
    <w:rsid w:val="002B4922"/>
    <w:rsid w:val="002B59E9"/>
    <w:rsid w:val="002C22C3"/>
    <w:rsid w:val="002C2D19"/>
    <w:rsid w:val="002D10FA"/>
    <w:rsid w:val="002D4C55"/>
    <w:rsid w:val="002E6DED"/>
    <w:rsid w:val="002F3406"/>
    <w:rsid w:val="00300956"/>
    <w:rsid w:val="00301588"/>
    <w:rsid w:val="00304A79"/>
    <w:rsid w:val="00317187"/>
    <w:rsid w:val="0032499A"/>
    <w:rsid w:val="00330519"/>
    <w:rsid w:val="003341F7"/>
    <w:rsid w:val="003409DB"/>
    <w:rsid w:val="00347FEC"/>
    <w:rsid w:val="003509DF"/>
    <w:rsid w:val="00352295"/>
    <w:rsid w:val="00356F45"/>
    <w:rsid w:val="00357CD8"/>
    <w:rsid w:val="003657F5"/>
    <w:rsid w:val="00366B74"/>
    <w:rsid w:val="00392F2A"/>
    <w:rsid w:val="003A0B7E"/>
    <w:rsid w:val="003A710A"/>
    <w:rsid w:val="003B659E"/>
    <w:rsid w:val="003C275E"/>
    <w:rsid w:val="003C4FDE"/>
    <w:rsid w:val="003E58DF"/>
    <w:rsid w:val="003F39BC"/>
    <w:rsid w:val="003F7C07"/>
    <w:rsid w:val="00404C4C"/>
    <w:rsid w:val="0041423F"/>
    <w:rsid w:val="00414F81"/>
    <w:rsid w:val="00423FE9"/>
    <w:rsid w:val="00436A0F"/>
    <w:rsid w:val="00437150"/>
    <w:rsid w:val="0043750A"/>
    <w:rsid w:val="00447577"/>
    <w:rsid w:val="00451E9C"/>
    <w:rsid w:val="004561E0"/>
    <w:rsid w:val="004732E9"/>
    <w:rsid w:val="004803C9"/>
    <w:rsid w:val="004854BB"/>
    <w:rsid w:val="00494493"/>
    <w:rsid w:val="00496606"/>
    <w:rsid w:val="004E2B94"/>
    <w:rsid w:val="004E5E66"/>
    <w:rsid w:val="004E7ADB"/>
    <w:rsid w:val="00503B4D"/>
    <w:rsid w:val="00504EE9"/>
    <w:rsid w:val="00521576"/>
    <w:rsid w:val="005250E6"/>
    <w:rsid w:val="00542D23"/>
    <w:rsid w:val="0054442C"/>
    <w:rsid w:val="00550285"/>
    <w:rsid w:val="0055488D"/>
    <w:rsid w:val="00562492"/>
    <w:rsid w:val="00572A20"/>
    <w:rsid w:val="005836F8"/>
    <w:rsid w:val="005918FA"/>
    <w:rsid w:val="00592A86"/>
    <w:rsid w:val="005A768A"/>
    <w:rsid w:val="005B4801"/>
    <w:rsid w:val="005C23A4"/>
    <w:rsid w:val="005D1CDF"/>
    <w:rsid w:val="005D2BB7"/>
    <w:rsid w:val="005E61A8"/>
    <w:rsid w:val="005F6419"/>
    <w:rsid w:val="0060543D"/>
    <w:rsid w:val="006063D3"/>
    <w:rsid w:val="006104DD"/>
    <w:rsid w:val="006130B5"/>
    <w:rsid w:val="00617400"/>
    <w:rsid w:val="00632D29"/>
    <w:rsid w:val="00662830"/>
    <w:rsid w:val="00664950"/>
    <w:rsid w:val="00681007"/>
    <w:rsid w:val="00683220"/>
    <w:rsid w:val="00687FA0"/>
    <w:rsid w:val="00691AB6"/>
    <w:rsid w:val="006A3C11"/>
    <w:rsid w:val="006B7010"/>
    <w:rsid w:val="006C3095"/>
    <w:rsid w:val="006D509E"/>
    <w:rsid w:val="006E1151"/>
    <w:rsid w:val="006E6311"/>
    <w:rsid w:val="006F23B5"/>
    <w:rsid w:val="007145FF"/>
    <w:rsid w:val="00714F67"/>
    <w:rsid w:val="00715B2A"/>
    <w:rsid w:val="007450F1"/>
    <w:rsid w:val="00751515"/>
    <w:rsid w:val="0075174C"/>
    <w:rsid w:val="007626B7"/>
    <w:rsid w:val="00770C74"/>
    <w:rsid w:val="0078212B"/>
    <w:rsid w:val="00784DF6"/>
    <w:rsid w:val="00785232"/>
    <w:rsid w:val="0078750C"/>
    <w:rsid w:val="00791761"/>
    <w:rsid w:val="007B186C"/>
    <w:rsid w:val="007C1696"/>
    <w:rsid w:val="007C3ED0"/>
    <w:rsid w:val="007C5971"/>
    <w:rsid w:val="007D5B11"/>
    <w:rsid w:val="007E3566"/>
    <w:rsid w:val="007F54B9"/>
    <w:rsid w:val="00803C88"/>
    <w:rsid w:val="0080426D"/>
    <w:rsid w:val="00806A76"/>
    <w:rsid w:val="00811C9D"/>
    <w:rsid w:val="00816C80"/>
    <w:rsid w:val="00824C32"/>
    <w:rsid w:val="0082643D"/>
    <w:rsid w:val="008270A6"/>
    <w:rsid w:val="00841BCD"/>
    <w:rsid w:val="00841FD1"/>
    <w:rsid w:val="00847264"/>
    <w:rsid w:val="00851A8E"/>
    <w:rsid w:val="0085365B"/>
    <w:rsid w:val="008826C1"/>
    <w:rsid w:val="00883DFD"/>
    <w:rsid w:val="00892502"/>
    <w:rsid w:val="008A1BF7"/>
    <w:rsid w:val="008A5B0E"/>
    <w:rsid w:val="008B0961"/>
    <w:rsid w:val="008C2197"/>
    <w:rsid w:val="008C39F7"/>
    <w:rsid w:val="0090091A"/>
    <w:rsid w:val="00900FE3"/>
    <w:rsid w:val="009027DB"/>
    <w:rsid w:val="009042BD"/>
    <w:rsid w:val="00904FE4"/>
    <w:rsid w:val="00936159"/>
    <w:rsid w:val="00950C74"/>
    <w:rsid w:val="0095447F"/>
    <w:rsid w:val="00963087"/>
    <w:rsid w:val="0096599B"/>
    <w:rsid w:val="00967790"/>
    <w:rsid w:val="00977E1D"/>
    <w:rsid w:val="009A7A2A"/>
    <w:rsid w:val="009B0573"/>
    <w:rsid w:val="009B5E5A"/>
    <w:rsid w:val="009B7B4B"/>
    <w:rsid w:val="009B7C21"/>
    <w:rsid w:val="009D4D8C"/>
    <w:rsid w:val="00A04992"/>
    <w:rsid w:val="00A147AA"/>
    <w:rsid w:val="00A21D71"/>
    <w:rsid w:val="00A22B78"/>
    <w:rsid w:val="00A25AE5"/>
    <w:rsid w:val="00A37002"/>
    <w:rsid w:val="00A372CF"/>
    <w:rsid w:val="00A4355E"/>
    <w:rsid w:val="00A520D9"/>
    <w:rsid w:val="00A92BCD"/>
    <w:rsid w:val="00AA0B15"/>
    <w:rsid w:val="00AA1B0E"/>
    <w:rsid w:val="00AA47B6"/>
    <w:rsid w:val="00AA708D"/>
    <w:rsid w:val="00AB0877"/>
    <w:rsid w:val="00AC163B"/>
    <w:rsid w:val="00AC5CA7"/>
    <w:rsid w:val="00AC6058"/>
    <w:rsid w:val="00AD1416"/>
    <w:rsid w:val="00AE2BA5"/>
    <w:rsid w:val="00AE56B1"/>
    <w:rsid w:val="00AE6D09"/>
    <w:rsid w:val="00AF7A7C"/>
    <w:rsid w:val="00B02070"/>
    <w:rsid w:val="00B02873"/>
    <w:rsid w:val="00B06606"/>
    <w:rsid w:val="00B408B6"/>
    <w:rsid w:val="00B542DA"/>
    <w:rsid w:val="00B55E59"/>
    <w:rsid w:val="00B73862"/>
    <w:rsid w:val="00B73F43"/>
    <w:rsid w:val="00B75BBF"/>
    <w:rsid w:val="00B76B63"/>
    <w:rsid w:val="00B85D13"/>
    <w:rsid w:val="00BA2649"/>
    <w:rsid w:val="00BA6B66"/>
    <w:rsid w:val="00BA6E48"/>
    <w:rsid w:val="00BB36DC"/>
    <w:rsid w:val="00BE0AF6"/>
    <w:rsid w:val="00BE1F03"/>
    <w:rsid w:val="00BE58A7"/>
    <w:rsid w:val="00BE693A"/>
    <w:rsid w:val="00BF2218"/>
    <w:rsid w:val="00BF31C8"/>
    <w:rsid w:val="00C0426B"/>
    <w:rsid w:val="00C045DF"/>
    <w:rsid w:val="00C24FFF"/>
    <w:rsid w:val="00C26D43"/>
    <w:rsid w:val="00C46548"/>
    <w:rsid w:val="00C574D5"/>
    <w:rsid w:val="00C600FB"/>
    <w:rsid w:val="00C64C26"/>
    <w:rsid w:val="00C72D03"/>
    <w:rsid w:val="00C73F32"/>
    <w:rsid w:val="00C75CEB"/>
    <w:rsid w:val="00C87462"/>
    <w:rsid w:val="00C91671"/>
    <w:rsid w:val="00C93F06"/>
    <w:rsid w:val="00CA180C"/>
    <w:rsid w:val="00CA6C34"/>
    <w:rsid w:val="00CB22B2"/>
    <w:rsid w:val="00CC3EE2"/>
    <w:rsid w:val="00CD498C"/>
    <w:rsid w:val="00CD7492"/>
    <w:rsid w:val="00CE3A6B"/>
    <w:rsid w:val="00D00211"/>
    <w:rsid w:val="00D06309"/>
    <w:rsid w:val="00D351EA"/>
    <w:rsid w:val="00D40288"/>
    <w:rsid w:val="00D43403"/>
    <w:rsid w:val="00D4519B"/>
    <w:rsid w:val="00D51157"/>
    <w:rsid w:val="00D5270B"/>
    <w:rsid w:val="00D62E71"/>
    <w:rsid w:val="00D63835"/>
    <w:rsid w:val="00D6430D"/>
    <w:rsid w:val="00D66188"/>
    <w:rsid w:val="00D66490"/>
    <w:rsid w:val="00D731F6"/>
    <w:rsid w:val="00D740CA"/>
    <w:rsid w:val="00D85728"/>
    <w:rsid w:val="00D95481"/>
    <w:rsid w:val="00DC7A13"/>
    <w:rsid w:val="00DC7F65"/>
    <w:rsid w:val="00DE3E94"/>
    <w:rsid w:val="00DF2997"/>
    <w:rsid w:val="00E10BC4"/>
    <w:rsid w:val="00E1415D"/>
    <w:rsid w:val="00E20165"/>
    <w:rsid w:val="00E323E9"/>
    <w:rsid w:val="00E34018"/>
    <w:rsid w:val="00E437D2"/>
    <w:rsid w:val="00E55751"/>
    <w:rsid w:val="00E7073E"/>
    <w:rsid w:val="00E929AD"/>
    <w:rsid w:val="00E92B3E"/>
    <w:rsid w:val="00EA2311"/>
    <w:rsid w:val="00EC45D9"/>
    <w:rsid w:val="00EC7BC3"/>
    <w:rsid w:val="00ED7600"/>
    <w:rsid w:val="00EF6073"/>
    <w:rsid w:val="00EF698B"/>
    <w:rsid w:val="00F0139F"/>
    <w:rsid w:val="00F04C1B"/>
    <w:rsid w:val="00F1362C"/>
    <w:rsid w:val="00F414F1"/>
    <w:rsid w:val="00F508B8"/>
    <w:rsid w:val="00F72CB1"/>
    <w:rsid w:val="00F77704"/>
    <w:rsid w:val="00F8215E"/>
    <w:rsid w:val="00F824F5"/>
    <w:rsid w:val="00F90FAB"/>
    <w:rsid w:val="00F9374D"/>
    <w:rsid w:val="00F96828"/>
    <w:rsid w:val="00FA12DA"/>
    <w:rsid w:val="00FA5696"/>
    <w:rsid w:val="00FC29B9"/>
    <w:rsid w:val="00FC5D56"/>
    <w:rsid w:val="00FC6FD3"/>
    <w:rsid w:val="00FD3A21"/>
    <w:rsid w:val="00FE305C"/>
    <w:rsid w:val="00FE4036"/>
    <w:rsid w:val="00FE6E11"/>
    <w:rsid w:val="00FF0301"/>
    <w:rsid w:val="00FF6E84"/>
    <w:rsid w:val="09208AD3"/>
    <w:rsid w:val="2F6F8448"/>
    <w:rsid w:val="33D0127C"/>
    <w:rsid w:val="3A935BFD"/>
    <w:rsid w:val="641BB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669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Normal"/>
    <w:link w:val="B1Char"/>
    <w:qFormat/>
    <w:rsid w:val="00F04C1B"/>
    <w:pPr>
      <w:spacing w:after="180" w:line="240" w:lineRule="auto"/>
      <w:ind w:left="568" w:hanging="284"/>
    </w:pPr>
    <w:rPr>
      <w:rFonts w:eastAsia="SimSun" w:cs="Times New Roman"/>
      <w:szCs w:val="20"/>
      <w:lang w:val="en-GB"/>
    </w:rPr>
  </w:style>
  <w:style w:type="character" w:customStyle="1" w:styleId="B1Char">
    <w:name w:val="B1 Char"/>
    <w:link w:val="B1"/>
    <w:qFormat/>
    <w:rsid w:val="00F04C1B"/>
    <w:rPr>
      <w:rFonts w:ascii="Times New Roman" w:eastAsia="SimSun" w:hAnsi="Times New Roman" w:cs="Times New Roman"/>
      <w:sz w:val="20"/>
      <w:szCs w:val="20"/>
      <w:lang w:val="en-GB"/>
    </w:rPr>
  </w:style>
  <w:style w:type="character" w:customStyle="1" w:styleId="B2Char">
    <w:name w:val="B2 Char"/>
    <w:link w:val="B2"/>
    <w:qFormat/>
    <w:locked/>
    <w:rsid w:val="00F04C1B"/>
    <w:rPr>
      <w:lang w:val="en-GB"/>
    </w:rPr>
  </w:style>
  <w:style w:type="paragraph" w:customStyle="1" w:styleId="B2">
    <w:name w:val="B2"/>
    <w:basedOn w:val="List2"/>
    <w:link w:val="B2Char"/>
    <w:qFormat/>
    <w:rsid w:val="00F04C1B"/>
    <w:pPr>
      <w:spacing w:line="256" w:lineRule="auto"/>
      <w:ind w:left="851" w:hanging="284"/>
      <w:contextualSpacing w:val="0"/>
    </w:pPr>
    <w:rPr>
      <w:rFonts w:asciiTheme="minorHAnsi" w:hAnsiTheme="minorHAnsi"/>
      <w:sz w:val="22"/>
      <w:lang w:val="en-GB"/>
    </w:rPr>
  </w:style>
  <w:style w:type="paragraph" w:customStyle="1" w:styleId="Agreement">
    <w:name w:val="Agreement"/>
    <w:basedOn w:val="Normal"/>
    <w:next w:val="Normal"/>
    <w:uiPriority w:val="99"/>
    <w:qFormat/>
    <w:rsid w:val="00F04C1B"/>
    <w:pPr>
      <w:numPr>
        <w:numId w:val="34"/>
      </w:numPr>
      <w:spacing w:before="60" w:after="0" w:line="240" w:lineRule="auto"/>
    </w:pPr>
    <w:rPr>
      <w:rFonts w:ascii="Arial" w:eastAsia="MS Mincho" w:hAnsi="Arial" w:cs="Times New Roman"/>
      <w:b/>
      <w:szCs w:val="24"/>
      <w:lang w:val="en-GB" w:eastAsia="en-GB"/>
    </w:rPr>
  </w:style>
  <w:style w:type="paragraph" w:styleId="List2">
    <w:name w:val="List 2"/>
    <w:basedOn w:val="Normal"/>
    <w:uiPriority w:val="99"/>
    <w:semiHidden/>
    <w:unhideWhenUsed/>
    <w:rsid w:val="00F04C1B"/>
    <w:pPr>
      <w:ind w:left="720" w:hanging="360"/>
      <w:contextualSpacing/>
    </w:pPr>
  </w:style>
  <w:style w:type="paragraph" w:styleId="Revision">
    <w:name w:val="Revision"/>
    <w:hidden/>
    <w:uiPriority w:val="99"/>
    <w:semiHidden/>
    <w:rsid w:val="002F3406"/>
    <w:pPr>
      <w:spacing w:after="0" w:line="240" w:lineRule="auto"/>
    </w:pPr>
    <w:rPr>
      <w:rFonts w:ascii="Times New Roman" w:hAnsi="Times New Roman"/>
      <w:sz w:val="20"/>
    </w:rPr>
  </w:style>
  <w:style w:type="paragraph" w:styleId="Header">
    <w:name w:val="header"/>
    <w:basedOn w:val="Normal"/>
    <w:link w:val="HeaderChar"/>
    <w:uiPriority w:val="99"/>
    <w:unhideWhenUsed/>
    <w:rsid w:val="00DE3E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E3E94"/>
    <w:rPr>
      <w:rFonts w:ascii="Times New Roman" w:hAnsi="Times New Roman"/>
      <w:sz w:val="20"/>
    </w:rPr>
  </w:style>
  <w:style w:type="paragraph" w:styleId="Footer">
    <w:name w:val="footer"/>
    <w:basedOn w:val="Normal"/>
    <w:link w:val="FooterChar"/>
    <w:uiPriority w:val="99"/>
    <w:unhideWhenUsed/>
    <w:rsid w:val="00DE3E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E3E94"/>
    <w:rPr>
      <w:rFonts w:ascii="Times New Roman" w:hAnsi="Times New Roman"/>
      <w:sz w:val="20"/>
    </w:rPr>
  </w:style>
  <w:style w:type="paragraph" w:customStyle="1" w:styleId="CRCoverPage">
    <w:name w:val="CR Cover Page"/>
    <w:link w:val="CRCoverPageChar"/>
    <w:qFormat/>
    <w:rsid w:val="0004797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047979"/>
    <w:rPr>
      <w:rFonts w:ascii="Arial" w:eastAsia="Times New Roman" w:hAnsi="Arial" w:cs="Times New Roman"/>
      <w:sz w:val="20"/>
      <w:szCs w:val="20"/>
      <w:lang w:val="en-GB"/>
    </w:rPr>
  </w:style>
  <w:style w:type="paragraph" w:customStyle="1" w:styleId="TAN">
    <w:name w:val="TAN"/>
    <w:basedOn w:val="Normal"/>
    <w:link w:val="TANChar"/>
    <w:qFormat/>
    <w:rsid w:val="00123C54"/>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123C54"/>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00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4731</Characters>
  <Application>Microsoft Office Word</Application>
  <DocSecurity>0</DocSecurity>
  <Lines>39</Lines>
  <Paragraphs>11</Paragraphs>
  <ScaleCrop>false</ScaleCrop>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2023-11-03T21:30:00Z</dcterms:created>
  <dcterms:modified xsi:type="dcterms:W3CDTF">2023-11-03T21:30:00Z</dcterms:modified>
</cp:coreProperties>
</file>