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568C0" w14:textId="6A5CC80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3A3F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D3A3F">
        <w:rPr>
          <w:rFonts w:cs="Arial"/>
          <w:bCs/>
          <w:sz w:val="22"/>
          <w:szCs w:val="22"/>
        </w:rPr>
        <w:t xml:space="preserve">TSG </w:t>
      </w:r>
      <w:r w:rsidR="00AD3A3F" w:rsidRPr="00AD3A3F">
        <w:rPr>
          <w:rFonts w:cs="Arial"/>
          <w:noProof w:val="0"/>
          <w:sz w:val="22"/>
          <w:szCs w:val="22"/>
        </w:rPr>
        <w:t>RAN</w:t>
      </w:r>
      <w:r w:rsidRPr="00AD3A3F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D3A3F" w:rsidRPr="00AD3A3F">
        <w:rPr>
          <w:rFonts w:cs="Arial"/>
          <w:bCs/>
          <w:sz w:val="22"/>
          <w:szCs w:val="22"/>
        </w:rPr>
        <w:t>4</w:t>
      </w:r>
      <w:r w:rsidRPr="00AD3A3F">
        <w:rPr>
          <w:rFonts w:cs="Arial"/>
          <w:bCs/>
          <w:sz w:val="22"/>
          <w:szCs w:val="22"/>
        </w:rPr>
        <w:t xml:space="preserve"> Meeting </w:t>
      </w:r>
      <w:r w:rsidR="00AD3A3F" w:rsidRPr="00AD3A3F">
        <w:rPr>
          <w:rFonts w:cs="Arial"/>
          <w:noProof w:val="0"/>
          <w:sz w:val="22"/>
          <w:szCs w:val="22"/>
        </w:rPr>
        <w:t>#109</w:t>
      </w:r>
      <w:r w:rsidRPr="00AD3A3F">
        <w:rPr>
          <w:rFonts w:cs="Arial"/>
          <w:bCs/>
          <w:sz w:val="22"/>
          <w:szCs w:val="22"/>
        </w:rPr>
        <w:tab/>
      </w:r>
      <w:r w:rsidR="00AD3A3F" w:rsidRPr="00AD3A3F">
        <w:rPr>
          <w:rFonts w:cs="Arial"/>
          <w:bCs/>
          <w:sz w:val="22"/>
          <w:szCs w:val="22"/>
        </w:rPr>
        <w:tab/>
      </w:r>
      <w:r w:rsidRPr="00AD3A3F">
        <w:rPr>
          <w:rFonts w:cs="Arial"/>
          <w:bCs/>
          <w:sz w:val="22"/>
          <w:szCs w:val="22"/>
        </w:rPr>
        <w:t xml:space="preserve">TDoc </w:t>
      </w:r>
      <w:r w:rsidR="00AD3A3F" w:rsidRPr="00AD3A3F">
        <w:rPr>
          <w:rFonts w:cs="Arial"/>
          <w:noProof w:val="0"/>
          <w:sz w:val="22"/>
          <w:szCs w:val="22"/>
          <w:lang w:val="en-US"/>
        </w:rPr>
        <w:t>R4-23</w:t>
      </w:r>
      <w:r w:rsidR="00853CCB" w:rsidRPr="00853CCB">
        <w:rPr>
          <w:rFonts w:cs="Arial"/>
          <w:noProof w:val="0"/>
          <w:sz w:val="22"/>
          <w:szCs w:val="22"/>
          <w:lang w:val="fi-FI"/>
        </w:rPr>
        <w:t>20286</w:t>
      </w:r>
    </w:p>
    <w:p w14:paraId="18905409" w14:textId="78048A4D" w:rsidR="004E3939" w:rsidRPr="00AD3A3F" w:rsidRDefault="00AD3A3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November 13</w:t>
      </w:r>
      <w:r w:rsidRPr="00AD3A3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November 17</w:t>
      </w:r>
      <w:r w:rsidRPr="00AD3A3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2023</w:t>
      </w:r>
    </w:p>
    <w:p w14:paraId="73F49F47" w14:textId="77777777" w:rsidR="00B97703" w:rsidRDefault="00B97703">
      <w:pPr>
        <w:rPr>
          <w:rFonts w:ascii="Arial" w:hAnsi="Arial" w:cs="Arial"/>
        </w:rPr>
      </w:pPr>
    </w:p>
    <w:p w14:paraId="0A8F67F9" w14:textId="67F03B1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3A3F">
        <w:rPr>
          <w:rFonts w:ascii="Arial" w:hAnsi="Arial" w:cs="Arial"/>
          <w:b/>
          <w:sz w:val="22"/>
          <w:szCs w:val="22"/>
        </w:rPr>
        <w:t>Title:</w:t>
      </w:r>
      <w:r w:rsidRPr="00AD3A3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D3A3F">
        <w:rPr>
          <w:rFonts w:ascii="Arial" w:hAnsi="Arial" w:cs="Arial"/>
          <w:b/>
          <w:bCs/>
          <w:sz w:val="22"/>
          <w:szCs w:val="22"/>
        </w:rPr>
        <w:t>a</w:t>
      </w:r>
      <w:r w:rsidR="00AD3A3F" w:rsidRPr="00AD3A3F">
        <w:rPr>
          <w:rFonts w:ascii="Arial" w:hAnsi="Arial" w:cs="Arial"/>
          <w:b/>
          <w:bCs/>
          <w:sz w:val="22"/>
          <w:szCs w:val="22"/>
        </w:rPr>
        <w:t>lignment of RAN4 requirements with RAN2 procedures</w:t>
      </w:r>
    </w:p>
    <w:p w14:paraId="3A9474A1" w14:textId="061751E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C4B0EAA" w14:textId="52A1C9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3A3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67E8938" w14:textId="7D3DD0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3A3F" w:rsidRPr="003D56C5">
        <w:rPr>
          <w:rFonts w:ascii="Arial" w:eastAsia="Calibri" w:hAnsi="Arial" w:cs="Arial"/>
          <w:b/>
          <w:bCs/>
          <w:sz w:val="24"/>
        </w:rPr>
        <w:t>LTE_NR_DC_enh2-Core</w:t>
      </w:r>
    </w:p>
    <w:p w14:paraId="0F62EDC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147D8BB" w14:textId="7D90F4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3A3F">
        <w:rPr>
          <w:rFonts w:ascii="Arial" w:hAnsi="Arial" w:cs="Arial"/>
          <w:b/>
          <w:sz w:val="22"/>
          <w:szCs w:val="22"/>
        </w:rPr>
        <w:t>RAN4</w:t>
      </w:r>
    </w:p>
    <w:p w14:paraId="1C52730D" w14:textId="435D7C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3A3F">
        <w:rPr>
          <w:rFonts w:ascii="Arial" w:hAnsi="Arial" w:cs="Arial"/>
          <w:b/>
          <w:bCs/>
          <w:sz w:val="22"/>
          <w:szCs w:val="22"/>
        </w:rPr>
        <w:t>RAN2</w:t>
      </w:r>
    </w:p>
    <w:p w14:paraId="22146987" w14:textId="747BA5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42135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0FAC47" w14:textId="6DC2B5D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3A3F">
        <w:rPr>
          <w:rFonts w:ascii="Arial" w:hAnsi="Arial" w:cs="Arial"/>
          <w:b/>
          <w:bCs/>
          <w:sz w:val="22"/>
          <w:szCs w:val="22"/>
        </w:rPr>
        <w:t>Lars Dalsgaard</w:t>
      </w:r>
    </w:p>
    <w:p w14:paraId="3950DBA9" w14:textId="1ADDE4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3A3F">
        <w:rPr>
          <w:rFonts w:ascii="Arial" w:hAnsi="Arial" w:cs="Arial"/>
          <w:b/>
          <w:bCs/>
          <w:sz w:val="22"/>
          <w:szCs w:val="22"/>
        </w:rPr>
        <w:t>lars.dalsgaard@nokia.com</w:t>
      </w:r>
    </w:p>
    <w:p w14:paraId="6E07C140" w14:textId="61C698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9115AB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D2A63A" w14:textId="518A9C6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3A3F" w:rsidRPr="00AD3A3F">
        <w:rPr>
          <w:rFonts w:ascii="Arial" w:hAnsi="Arial" w:cs="Arial"/>
        </w:rPr>
        <w:t>None</w:t>
      </w:r>
    </w:p>
    <w:p w14:paraId="013FE74D" w14:textId="77777777" w:rsidR="00B97703" w:rsidRDefault="00B97703">
      <w:pPr>
        <w:rPr>
          <w:rFonts w:ascii="Arial" w:hAnsi="Arial" w:cs="Arial"/>
        </w:rPr>
      </w:pPr>
    </w:p>
    <w:p w14:paraId="0B991B7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FB77F" w14:textId="77777777" w:rsidR="00AD3A3F" w:rsidRDefault="00AD3A3F" w:rsidP="00AD3A3F">
      <w:r>
        <w:t xml:space="preserve">RAN4 has been discussing the requirements related to </w:t>
      </w:r>
      <w:proofErr w:type="spellStart"/>
      <w:r>
        <w:t>PSCell</w:t>
      </w:r>
      <w:proofErr w:type="spellEnd"/>
      <w:r>
        <w:t xml:space="preserve"> and SCell activation when the </w:t>
      </w:r>
      <w:proofErr w:type="spellStart"/>
      <w:r>
        <w:t>PSCell</w:t>
      </w:r>
      <w:proofErr w:type="spellEnd"/>
      <w:r>
        <w:t xml:space="preserve"> or SCell configuration includes </w:t>
      </w:r>
      <w:proofErr w:type="spellStart"/>
      <w:r>
        <w:t>tci-ActivatedConfig</w:t>
      </w:r>
      <w:proofErr w:type="spellEnd"/>
      <w:r>
        <w:t>.</w:t>
      </w:r>
    </w:p>
    <w:p w14:paraId="3B7F2F6C" w14:textId="77777777" w:rsidR="00AD3A3F" w:rsidRDefault="00AD3A3F" w:rsidP="00AD3A3F">
      <w:r>
        <w:t xml:space="preserve">RAN4 would like to ask RAN2 if the </w:t>
      </w:r>
      <w:proofErr w:type="spellStart"/>
      <w:r>
        <w:t>tci-ActivatedConfig</w:t>
      </w:r>
      <w:proofErr w:type="spellEnd"/>
      <w:r>
        <w:t xml:space="preserve"> can be configured for an SCell which is not activated upon configuration (hence, the SCell is configured in deactivated state)?</w:t>
      </w:r>
    </w:p>
    <w:p w14:paraId="6C0B8D1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2300B97" w14:textId="54E8CA0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3A3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2A27B696" w14:textId="1FABFD7D" w:rsidR="00B97703" w:rsidRPr="00017F23" w:rsidRDefault="00B97703" w:rsidP="00162B4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D3A3F" w:rsidRPr="00162B4A">
        <w:t>RAN4</w:t>
      </w:r>
      <w:r w:rsidRPr="00162B4A">
        <w:t xml:space="preserve"> asks </w:t>
      </w:r>
      <w:r w:rsidR="00AD3A3F" w:rsidRPr="00162B4A">
        <w:t>RAN2</w:t>
      </w:r>
      <w:r w:rsidRPr="00162B4A">
        <w:t xml:space="preserve"> to</w:t>
      </w:r>
      <w:r w:rsidR="00017F23" w:rsidRPr="00162B4A">
        <w:t xml:space="preserve"> </w:t>
      </w:r>
      <w:r w:rsidR="00162B4A" w:rsidRPr="00162B4A">
        <w:t xml:space="preserve">provide guidelines on whether the </w:t>
      </w:r>
      <w:proofErr w:type="spellStart"/>
      <w:r w:rsidR="00162B4A" w:rsidRPr="00162B4A">
        <w:t>tci-ActivatedConfig</w:t>
      </w:r>
      <w:proofErr w:type="spellEnd"/>
      <w:r w:rsidR="00162B4A">
        <w:t xml:space="preserve"> can be configured for an SCell which is not activated upon configuration</w:t>
      </w:r>
    </w:p>
    <w:p w14:paraId="50946C7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912C2A3" w14:textId="557B2FD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62B4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162B4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0FC1CF25" w14:textId="3F2D97C3" w:rsidR="002F1940" w:rsidRDefault="00162B4A" w:rsidP="002F1940">
      <w:bookmarkStart w:id="10" w:name="OLE_LINK55"/>
      <w:bookmarkStart w:id="11" w:name="OLE_LINK56"/>
      <w:bookmarkStart w:id="12" w:name="OLE_LINK53"/>
      <w:bookmarkStart w:id="13" w:name="OLE_LINK54"/>
      <w:r>
        <w:rPr>
          <w:rFonts w:ascii="Arial" w:hAnsi="Arial" w:cs="Arial"/>
        </w:rPr>
        <w:t>TSG-RAN4 Meeting #110</w:t>
      </w:r>
      <w:r w:rsidR="002F1940">
        <w:tab/>
      </w:r>
      <w:r>
        <w:t>26 February</w:t>
      </w:r>
      <w:r w:rsidR="002F1940">
        <w:t xml:space="preserve"> </w:t>
      </w:r>
      <w:r>
        <w:t>–</w:t>
      </w:r>
      <w:r w:rsidR="002F1940">
        <w:t xml:space="preserve"> </w:t>
      </w:r>
      <w:r>
        <w:t xml:space="preserve">1 </w:t>
      </w:r>
      <w:proofErr w:type="gramStart"/>
      <w:r>
        <w:t>March,</w:t>
      </w:r>
      <w:proofErr w:type="gramEnd"/>
      <w:r>
        <w:t xml:space="preserve"> 2024</w:t>
      </w:r>
      <w:r w:rsidR="002F1940">
        <w:tab/>
      </w:r>
      <w:r>
        <w:t>Athens</w:t>
      </w:r>
      <w:r w:rsidR="002F1940">
        <w:t xml:space="preserve">, </w:t>
      </w:r>
      <w:bookmarkEnd w:id="10"/>
      <w:bookmarkEnd w:id="11"/>
      <w:r>
        <w:t>Greece</w:t>
      </w:r>
    </w:p>
    <w:p w14:paraId="19346F72" w14:textId="1F14775E" w:rsidR="002F1940" w:rsidRPr="002F1940" w:rsidRDefault="00162B4A" w:rsidP="002F1940">
      <w:r>
        <w:rPr>
          <w:rFonts w:ascii="Arial" w:hAnsi="Arial" w:cs="Arial"/>
        </w:rPr>
        <w:t>TSG-RAN4 Meeting #110bis</w:t>
      </w:r>
      <w:r w:rsidR="002F1940">
        <w:tab/>
      </w:r>
      <w:r>
        <w:t>15</w:t>
      </w:r>
      <w:r w:rsidR="002F1940">
        <w:t xml:space="preserve"> </w:t>
      </w:r>
      <w:r>
        <w:t>April –</w:t>
      </w:r>
      <w:r w:rsidR="002F1940">
        <w:t xml:space="preserve"> </w:t>
      </w:r>
      <w:r>
        <w:t>19 April, 2024</w:t>
      </w:r>
      <w:r>
        <w:tab/>
      </w:r>
      <w:r w:rsidR="002F1940">
        <w:tab/>
      </w:r>
      <w:r>
        <w:t>TBD</w:t>
      </w:r>
      <w:r w:rsidR="002F1940">
        <w:t xml:space="preserve">, </w:t>
      </w:r>
      <w:r>
        <w:t>China</w:t>
      </w:r>
    </w:p>
    <w:bookmarkEnd w:id="12"/>
    <w:bookmarkEnd w:id="13"/>
    <w:p w14:paraId="0BA43A5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B5319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73DE11E3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DD6FF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2E1F1961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675670">
    <w:abstractNumId w:val="3"/>
  </w:num>
  <w:num w:numId="2" w16cid:durableId="330645440">
    <w:abstractNumId w:val="2"/>
  </w:num>
  <w:num w:numId="3" w16cid:durableId="1308050177">
    <w:abstractNumId w:val="1"/>
  </w:num>
  <w:num w:numId="4" w16cid:durableId="34976925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62B4A"/>
    <w:rsid w:val="002F1940"/>
    <w:rsid w:val="00383545"/>
    <w:rsid w:val="00433500"/>
    <w:rsid w:val="00433F71"/>
    <w:rsid w:val="00440D43"/>
    <w:rsid w:val="004E3939"/>
    <w:rsid w:val="007F4F92"/>
    <w:rsid w:val="00853CCB"/>
    <w:rsid w:val="008D772F"/>
    <w:rsid w:val="0099764C"/>
    <w:rsid w:val="00AD3A3F"/>
    <w:rsid w:val="00B97703"/>
    <w:rsid w:val="00CF6087"/>
    <w:rsid w:val="00DF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B9680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Networks</cp:lastModifiedBy>
  <cp:revision>2</cp:revision>
  <cp:lastPrinted>2002-04-23T07:10:00Z</cp:lastPrinted>
  <dcterms:created xsi:type="dcterms:W3CDTF">2023-11-03T18:26:00Z</dcterms:created>
  <dcterms:modified xsi:type="dcterms:W3CDTF">2023-11-03T18:26:00Z</dcterms:modified>
</cp:coreProperties>
</file>