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9450C0" w:rsidRPr="009450C0">
        <w:rPr>
          <w:rFonts w:ascii="Arial" w:hAnsi="Arial" w:cs="Arial"/>
          <w:b/>
          <w:sz w:val="24"/>
          <w:lang w:val="en-US" w:eastAsia="zh-CN"/>
        </w:rPr>
        <w:t>R4-2320003</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71AED" w:rsidRPr="00D71AED">
        <w:rPr>
          <w:rFonts w:ascii="Arial" w:eastAsia="宋体" w:hAnsi="Arial"/>
          <w:b/>
          <w:sz w:val="24"/>
          <w:lang w:val="en-US" w:eastAsia="zh-CN"/>
        </w:rPr>
        <w:t>Discussion on RRM impacts of DMRS bundling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0273">
        <w:rPr>
          <w:rFonts w:ascii="Arial" w:eastAsia="宋体" w:hAnsi="Arial"/>
          <w:b/>
          <w:sz w:val="24"/>
          <w:lang w:val="en-US" w:eastAsia="zh-CN"/>
        </w:rPr>
        <w:t>8.2</w:t>
      </w:r>
      <w:r w:rsidR="00D71AED">
        <w:rPr>
          <w:rFonts w:ascii="Arial" w:eastAsia="宋体" w:hAnsi="Arial"/>
          <w:b/>
          <w:sz w:val="24"/>
          <w:lang w:val="en-US" w:eastAsia="zh-CN"/>
        </w:rPr>
        <w:t>6.6</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71AED" w:rsidRDefault="00D71AED" w:rsidP="00D71AED">
      <w:pPr>
        <w:spacing w:before="120" w:after="120"/>
        <w:rPr>
          <w:rFonts w:eastAsiaTheme="minorEastAsia"/>
          <w:lang w:eastAsia="zh-CN"/>
        </w:rPr>
      </w:pPr>
      <w:r>
        <w:rPr>
          <w:rFonts w:eastAsiaTheme="minorEastAsia"/>
          <w:lang w:eastAsia="zh-CN"/>
        </w:rPr>
        <w:t>RAN4 received LS [1] from RAN1 related to coverage enhancement.</w:t>
      </w:r>
    </w:p>
    <w:tbl>
      <w:tblPr>
        <w:tblStyle w:val="afa"/>
        <w:tblW w:w="0" w:type="auto"/>
        <w:tblLook w:val="04A0" w:firstRow="1" w:lastRow="0" w:firstColumn="1" w:lastColumn="0" w:noHBand="0" w:noVBand="1"/>
      </w:tblPr>
      <w:tblGrid>
        <w:gridCol w:w="9621"/>
      </w:tblGrid>
      <w:tr w:rsidR="00D71AED" w:rsidTr="0069246F">
        <w:tc>
          <w:tcPr>
            <w:tcW w:w="9621" w:type="dxa"/>
          </w:tcPr>
          <w:p w:rsidR="00D71AED" w:rsidRPr="001D2E6E" w:rsidRDefault="00D71AED" w:rsidP="0069246F">
            <w:pPr>
              <w:tabs>
                <w:tab w:val="left" w:pos="1064"/>
              </w:tabs>
              <w:spacing w:beforeLines="0" w:before="0" w:afterLines="0" w:after="0"/>
              <w:rPr>
                <w:rFonts w:eastAsia="Batang"/>
                <w:b/>
                <w:sz w:val="20"/>
                <w:szCs w:val="24"/>
                <w:lang w:val="en-US" w:eastAsia="x-none"/>
              </w:rPr>
            </w:pPr>
            <w:r w:rsidRPr="001D2E6E">
              <w:rPr>
                <w:rFonts w:eastAsia="Batang"/>
                <w:b/>
                <w:sz w:val="20"/>
                <w:szCs w:val="24"/>
                <w:highlight w:val="darkYellow"/>
                <w:lang w:val="en-US" w:eastAsia="x-none"/>
              </w:rPr>
              <w:t>Working assumption</w:t>
            </w:r>
          </w:p>
          <w:p w:rsidR="00D71AED" w:rsidRPr="001D2E6E" w:rsidRDefault="00D71AED" w:rsidP="0069246F">
            <w:pPr>
              <w:tabs>
                <w:tab w:val="left" w:pos="1064"/>
              </w:tabs>
              <w:spacing w:beforeLines="0" w:before="0" w:afterLines="0" w:after="0"/>
              <w:rPr>
                <w:rFonts w:eastAsia="Batang"/>
                <w:sz w:val="20"/>
                <w:szCs w:val="24"/>
                <w:lang w:val="en-US" w:eastAsia="x-none"/>
              </w:rPr>
            </w:pPr>
            <w:r w:rsidRPr="001D2E6E">
              <w:rPr>
                <w:rFonts w:eastAsia="Batang"/>
                <w:sz w:val="20"/>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rsidR="00D71AED" w:rsidRPr="001D2E6E" w:rsidRDefault="00D71AED" w:rsidP="009159A7">
            <w:pPr>
              <w:numPr>
                <w:ilvl w:val="0"/>
                <w:numId w:val="12"/>
              </w:numPr>
              <w:snapToGrid w:val="0"/>
              <w:spacing w:beforeLines="0" w:before="0" w:afterLines="0" w:after="0"/>
              <w:ind w:left="720"/>
              <w:rPr>
                <w:rFonts w:eastAsia="Batang"/>
                <w:sz w:val="20"/>
                <w:szCs w:val="18"/>
                <w:lang w:val="en-US"/>
              </w:rPr>
            </w:pPr>
            <w:r w:rsidRPr="001D2E6E">
              <w:rPr>
                <w:rFonts w:eastAsia="Batang"/>
                <w:sz w:val="20"/>
                <w:szCs w:val="18"/>
                <w:highlight w:val="cyan"/>
                <w:lang w:val="en-US"/>
              </w:rPr>
              <w:t xml:space="preserve">UE shall not perform TA pre-compensation update </w:t>
            </w:r>
            <w:r w:rsidRPr="001D2E6E">
              <w:rPr>
                <w:rFonts w:eastAsia="宋体"/>
                <w:sz w:val="20"/>
                <w:szCs w:val="24"/>
                <w:highlight w:val="cyan"/>
                <w:lang w:val="en-US"/>
              </w:rPr>
              <w:t>within an actual TDW</w:t>
            </w:r>
            <w:r w:rsidRPr="001D2E6E">
              <w:rPr>
                <w:rFonts w:eastAsia="Batang"/>
                <w:sz w:val="20"/>
                <w:szCs w:val="18"/>
                <w:highlight w:val="cyan"/>
                <w:lang w:val="en-US"/>
              </w:rPr>
              <w:t xml:space="preserve"> if it causes phase discontinuity that may violate the p</w:t>
            </w:r>
            <w:r w:rsidRPr="001D2E6E">
              <w:rPr>
                <w:rFonts w:eastAsia="宋体"/>
                <w:sz w:val="20"/>
                <w:szCs w:val="24"/>
                <w:highlight w:val="cyan"/>
                <w:lang w:val="en-US"/>
              </w:rPr>
              <w:t>hase difference limit.</w:t>
            </w:r>
          </w:p>
          <w:p w:rsidR="00D71AED" w:rsidRPr="001D2E6E" w:rsidRDefault="00D71AED" w:rsidP="009159A7">
            <w:pPr>
              <w:numPr>
                <w:ilvl w:val="1"/>
                <w:numId w:val="12"/>
              </w:numPr>
              <w:snapToGrid w:val="0"/>
              <w:spacing w:beforeLines="0" w:before="0" w:afterLines="0" w:after="0"/>
              <w:rPr>
                <w:rFonts w:eastAsia="Batang"/>
                <w:sz w:val="20"/>
                <w:szCs w:val="18"/>
                <w:lang w:val="en-US"/>
              </w:rPr>
            </w:pPr>
            <w:r w:rsidRPr="001D2E6E">
              <w:rPr>
                <w:rFonts w:eastAsia="Batang"/>
                <w:sz w:val="20"/>
                <w:szCs w:val="18"/>
                <w:lang w:val="en-US"/>
              </w:rPr>
              <w:t>FFS: how to determine the actual TDW</w:t>
            </w:r>
          </w:p>
          <w:p w:rsidR="00D71AED" w:rsidRPr="001D2E6E" w:rsidRDefault="00D71AED" w:rsidP="009159A7">
            <w:pPr>
              <w:numPr>
                <w:ilvl w:val="0"/>
                <w:numId w:val="12"/>
              </w:numPr>
              <w:snapToGrid w:val="0"/>
              <w:spacing w:beforeLines="0" w:before="0" w:afterLines="0" w:after="0"/>
              <w:ind w:left="720"/>
              <w:rPr>
                <w:rFonts w:eastAsiaTheme="minorEastAsia"/>
                <w:lang w:eastAsia="zh-CN"/>
              </w:rPr>
            </w:pPr>
            <w:r w:rsidRPr="001D2E6E">
              <w:rPr>
                <w:rFonts w:eastAsia="Batang"/>
                <w:sz w:val="20"/>
                <w:szCs w:val="18"/>
                <w:lang w:val="en-US"/>
              </w:rPr>
              <w:t>FFS: specification impact</w:t>
            </w:r>
          </w:p>
          <w:p w:rsidR="00D71AED" w:rsidRDefault="00D71AED" w:rsidP="009159A7">
            <w:pPr>
              <w:numPr>
                <w:ilvl w:val="0"/>
                <w:numId w:val="12"/>
              </w:numPr>
              <w:snapToGrid w:val="0"/>
              <w:spacing w:beforeLines="0" w:before="0" w:afterLines="0" w:after="0"/>
              <w:ind w:left="720"/>
              <w:rPr>
                <w:rFonts w:eastAsiaTheme="minorEastAsia"/>
                <w:lang w:eastAsia="zh-CN"/>
              </w:rPr>
            </w:pPr>
            <w:r w:rsidRPr="001D2E6E">
              <w:rPr>
                <w:rFonts w:eastAsia="Batang"/>
                <w:sz w:val="20"/>
                <w:szCs w:val="18"/>
                <w:lang w:val="en-US"/>
              </w:rPr>
              <w:t xml:space="preserve">Send </w:t>
            </w:r>
            <w:proofErr w:type="gramStart"/>
            <w:r w:rsidRPr="001D2E6E">
              <w:rPr>
                <w:rFonts w:eastAsia="Batang"/>
                <w:sz w:val="20"/>
                <w:szCs w:val="18"/>
                <w:lang w:val="en-US"/>
              </w:rPr>
              <w:t>an</w:t>
            </w:r>
            <w:proofErr w:type="gramEnd"/>
            <w:r w:rsidRPr="001D2E6E">
              <w:rPr>
                <w:rFonts w:eastAsia="Batang"/>
                <w:sz w:val="20"/>
                <w:szCs w:val="18"/>
                <w:lang w:val="en-US"/>
              </w:rPr>
              <w:t xml:space="preserve"> LS to RAN4</w:t>
            </w:r>
          </w:p>
        </w:tc>
      </w:tr>
    </w:tbl>
    <w:p w:rsidR="00402EA9" w:rsidRDefault="00D71AED" w:rsidP="00402EA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issue is discussed in RAN4#108 in </w:t>
      </w:r>
      <w:proofErr w:type="spellStart"/>
      <w:r>
        <w:rPr>
          <w:rFonts w:eastAsia="宋体"/>
          <w:lang w:eastAsia="zh-CN"/>
        </w:rPr>
        <w:t>BDaT</w:t>
      </w:r>
      <w:proofErr w:type="spellEnd"/>
      <w:r>
        <w:rPr>
          <w:rFonts w:eastAsia="宋体"/>
          <w:lang w:eastAsia="zh-CN"/>
        </w:rPr>
        <w:t xml:space="preserve"> session with the following outcome. </w:t>
      </w:r>
    </w:p>
    <w:tbl>
      <w:tblPr>
        <w:tblStyle w:val="afa"/>
        <w:tblW w:w="0" w:type="auto"/>
        <w:tblLook w:val="04A0" w:firstRow="1" w:lastRow="0" w:firstColumn="1" w:lastColumn="0" w:noHBand="0" w:noVBand="1"/>
      </w:tblPr>
      <w:tblGrid>
        <w:gridCol w:w="9621"/>
      </w:tblGrid>
      <w:tr w:rsidR="00D71AED" w:rsidTr="00D71AED">
        <w:tc>
          <w:tcPr>
            <w:tcW w:w="9621" w:type="dxa"/>
          </w:tcPr>
          <w:p w:rsidR="00D71AED" w:rsidRPr="00D71AED" w:rsidRDefault="00D71AED" w:rsidP="009159A7">
            <w:pPr>
              <w:numPr>
                <w:ilvl w:val="0"/>
                <w:numId w:val="13"/>
              </w:numPr>
              <w:spacing w:beforeLines="0" w:before="120" w:afterLines="0" w:after="120"/>
              <w:ind w:left="720"/>
              <w:rPr>
                <w:b/>
                <w:sz w:val="20"/>
              </w:rPr>
            </w:pPr>
            <w:r w:rsidRPr="00D71AED">
              <w:rPr>
                <w:b/>
                <w:sz w:val="20"/>
                <w:lang w:eastAsia="zh-CN"/>
              </w:rPr>
              <w:t>Agreement:</w:t>
            </w:r>
          </w:p>
          <w:p w:rsidR="00D71AED" w:rsidRPr="00D71AED" w:rsidRDefault="00D71AED" w:rsidP="009159A7">
            <w:pPr>
              <w:numPr>
                <w:ilvl w:val="0"/>
                <w:numId w:val="13"/>
              </w:numPr>
              <w:spacing w:beforeLines="0" w:before="0" w:afterLines="0" w:after="120"/>
              <w:rPr>
                <w:sz w:val="20"/>
                <w:lang w:eastAsia="zh-CN"/>
              </w:rPr>
            </w:pPr>
            <w:r w:rsidRPr="00D71AED">
              <w:rPr>
                <w:sz w:val="20"/>
                <w:lang w:eastAsia="zh-CN"/>
              </w:rPr>
              <w:t>RAN4 investigate the feasibility of an NTN UE to meet the DMRS requirement in the new test condition where DL time would be changing for non-GEO satellite.</w:t>
            </w:r>
          </w:p>
          <w:p w:rsidR="00D71AED" w:rsidRPr="00D71AED" w:rsidRDefault="00D71AED" w:rsidP="009159A7">
            <w:pPr>
              <w:numPr>
                <w:ilvl w:val="1"/>
                <w:numId w:val="13"/>
              </w:numPr>
              <w:spacing w:beforeLines="0" w:before="0" w:afterLines="0" w:after="120"/>
              <w:ind w:left="1352"/>
              <w:rPr>
                <w:sz w:val="20"/>
                <w:lang w:eastAsia="zh-CN"/>
              </w:rPr>
            </w:pPr>
            <w:r w:rsidRPr="00D71AED">
              <w:rPr>
                <w:sz w:val="20"/>
                <w:u w:val="single"/>
                <w:lang w:eastAsia="zh-CN"/>
              </w:rPr>
              <w:t>Taking</w:t>
            </w:r>
            <w:r w:rsidRPr="00D71AED">
              <w:rPr>
                <w:sz w:val="20"/>
                <w:lang w:eastAsia="zh-CN"/>
              </w:rPr>
              <w:t xml:space="preserve"> existing requirements specified for the maximum allowable phase difference for DMRS bundling captured in Table 6.4.2.5-1 of TS38.101-1 as starting point </w:t>
            </w:r>
          </w:p>
          <w:p w:rsidR="00D71AED" w:rsidRPr="00D71AED" w:rsidRDefault="00D71AED" w:rsidP="009159A7">
            <w:pPr>
              <w:numPr>
                <w:ilvl w:val="2"/>
                <w:numId w:val="13"/>
              </w:numPr>
              <w:spacing w:beforeLines="0" w:before="0" w:afterLines="0" w:after="120"/>
              <w:rPr>
                <w:sz w:val="20"/>
                <w:lang w:eastAsia="zh-CN"/>
              </w:rPr>
            </w:pPr>
            <w:r w:rsidRPr="00D71AED">
              <w:rPr>
                <w:sz w:val="20"/>
                <w:u w:val="single"/>
                <w:lang w:eastAsia="zh-CN"/>
              </w:rPr>
              <w:t xml:space="preserve">FFS </w:t>
            </w:r>
            <w:r w:rsidRPr="00D71AED">
              <w:rPr>
                <w:sz w:val="20"/>
                <w:lang w:eastAsia="zh-CN"/>
              </w:rPr>
              <w:t xml:space="preserve">any update on the side conditions needed or not which also need to be compliant with RAN1 design </w:t>
            </w:r>
          </w:p>
          <w:p w:rsidR="00D71AED" w:rsidRPr="00D71AED" w:rsidRDefault="00D71AED" w:rsidP="009159A7">
            <w:pPr>
              <w:numPr>
                <w:ilvl w:val="0"/>
                <w:numId w:val="13"/>
              </w:numPr>
              <w:spacing w:beforeLines="0" w:before="0" w:afterLines="0" w:after="120"/>
              <w:rPr>
                <w:sz w:val="20"/>
                <w:lang w:eastAsia="zh-CN"/>
              </w:rPr>
            </w:pPr>
            <w:r w:rsidRPr="00D71AED">
              <w:rPr>
                <w:sz w:val="20"/>
                <w:lang w:eastAsia="zh-CN"/>
              </w:rPr>
              <w:t>From RRM requirements perspective to support NTN-specific PUSCH DMRS bundling:</w:t>
            </w:r>
          </w:p>
          <w:p w:rsidR="00D71AED" w:rsidRPr="00D71AED" w:rsidRDefault="00D71AED" w:rsidP="009159A7">
            <w:pPr>
              <w:numPr>
                <w:ilvl w:val="2"/>
                <w:numId w:val="14"/>
              </w:numPr>
              <w:spacing w:beforeLines="0" w:before="0" w:afterLines="0" w:after="120"/>
              <w:rPr>
                <w:sz w:val="20"/>
                <w:lang w:eastAsia="zh-CN"/>
              </w:rPr>
            </w:pPr>
            <w:r w:rsidRPr="00D71AED">
              <w:rPr>
                <w:rFonts w:eastAsia="Yu Mincho"/>
                <w:sz w:val="20"/>
                <w:lang w:eastAsia="zh-CN"/>
              </w:rPr>
              <w:t>Option 1: update the applicability of the timing requirements such that the requirements apply only for the first transmission in the TDW.</w:t>
            </w:r>
          </w:p>
          <w:p w:rsidR="00D71AED" w:rsidRPr="00D71AED" w:rsidRDefault="00D71AED" w:rsidP="009159A7">
            <w:pPr>
              <w:numPr>
                <w:ilvl w:val="2"/>
                <w:numId w:val="14"/>
              </w:numPr>
              <w:spacing w:beforeLines="0" w:before="120" w:afterLines="0" w:after="120"/>
              <w:rPr>
                <w:sz w:val="20"/>
                <w:lang w:eastAsia="zh-CN"/>
              </w:rPr>
            </w:pPr>
            <w:r w:rsidRPr="00D71AED">
              <w:rPr>
                <w:rFonts w:eastAsia="Yu Mincho"/>
                <w:sz w:val="20"/>
                <w:lang w:eastAsia="zh-CN"/>
              </w:rPr>
              <w:t>Other options not precluded.</w:t>
            </w:r>
          </w:p>
        </w:tc>
      </w:tr>
    </w:tbl>
    <w:p w:rsidR="007E7A02" w:rsidRPr="00D12E24" w:rsidRDefault="00402EA9" w:rsidP="00402EA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RRM </w:t>
      </w:r>
      <w:r w:rsidR="00D71AED">
        <w:rPr>
          <w:rFonts w:eastAsia="宋体"/>
          <w:lang w:eastAsia="zh-CN"/>
        </w:rPr>
        <w:t>impacts of DMRS bundling in NTN</w:t>
      </w:r>
      <w:r>
        <w:rPr>
          <w:rFonts w:eastAsia="宋体"/>
          <w:lang w:eastAsia="zh-CN"/>
        </w:rPr>
        <w:t>.</w:t>
      </w:r>
    </w:p>
    <w:p w:rsidR="00B719B0" w:rsidRDefault="00FA0C0C" w:rsidP="00E4186F">
      <w:pPr>
        <w:pStyle w:val="1"/>
        <w:jc w:val="both"/>
        <w:rPr>
          <w:lang w:val="en-US"/>
        </w:rPr>
      </w:pPr>
      <w:r>
        <w:rPr>
          <w:lang w:val="en-US"/>
        </w:rPr>
        <w:t>Discussion</w:t>
      </w:r>
    </w:p>
    <w:p w:rsidR="00D71AED" w:rsidRDefault="00D71AED" w:rsidP="00D71AED">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RAN1 WA, </w:t>
      </w:r>
      <w:r w:rsidRPr="005A1AAF">
        <w:rPr>
          <w:rFonts w:eastAsiaTheme="minorEastAsia"/>
          <w:lang w:eastAsia="zh-CN"/>
        </w:rPr>
        <w:t>UE shall not perform TA pre-compensation update within an actual TDW if it causes phase discontinuity that may violate the phase difference limit.</w:t>
      </w:r>
      <w:r>
        <w:rPr>
          <w:rFonts w:eastAsiaTheme="minorEastAsia"/>
          <w:lang w:eastAsia="zh-CN"/>
        </w:rPr>
        <w:t xml:space="preserve"> In our view, this has some impact on the UE timing requirements because in Rel-17 the UL timing requirements are defined based on the assumption that TA pre-compensation is performed in every UL transmission. If UE does not perform TA pre-compensation in a window, it may not meet the timing requirements for all slots in the window. The applicability of the timing requirements needs to be updated.</w:t>
      </w:r>
    </w:p>
    <w:p w:rsidR="00D71AED" w:rsidRDefault="00D71AED" w:rsidP="00D71AED">
      <w:pPr>
        <w:spacing w:before="120" w:after="120"/>
        <w:rPr>
          <w:rFonts w:eastAsiaTheme="minorEastAsia"/>
          <w:lang w:eastAsia="zh-CN"/>
        </w:rPr>
      </w:pPr>
      <w:r>
        <w:rPr>
          <w:rFonts w:eastAsiaTheme="minorEastAsia"/>
          <w:lang w:eastAsia="zh-CN"/>
        </w:rPr>
        <w:t xml:space="preserve">In our view, the situation is similar to segment-based UL transmission in IoT NTN. The related requirements are copied below from cl. </w:t>
      </w:r>
      <w:r w:rsidRPr="00261957">
        <w:rPr>
          <w:rFonts w:eastAsiaTheme="minorEastAsia"/>
          <w:lang w:eastAsia="zh-CN"/>
        </w:rPr>
        <w:t>7.20A.2</w:t>
      </w:r>
      <w:r>
        <w:rPr>
          <w:rFonts w:eastAsiaTheme="minorEastAsia"/>
          <w:lang w:eastAsia="zh-CN"/>
        </w:rPr>
        <w:t xml:space="preserve"> in 36.133.</w:t>
      </w:r>
    </w:p>
    <w:tbl>
      <w:tblPr>
        <w:tblStyle w:val="afa"/>
        <w:tblW w:w="0" w:type="auto"/>
        <w:tblLook w:val="04A0" w:firstRow="1" w:lastRow="0" w:firstColumn="1" w:lastColumn="0" w:noHBand="0" w:noVBand="1"/>
      </w:tblPr>
      <w:tblGrid>
        <w:gridCol w:w="9621"/>
      </w:tblGrid>
      <w:tr w:rsidR="00D71AED" w:rsidTr="0069246F">
        <w:tc>
          <w:tcPr>
            <w:tcW w:w="9621" w:type="dxa"/>
          </w:tcPr>
          <w:p w:rsidR="00D71AED" w:rsidRPr="00261957" w:rsidRDefault="00D71AED" w:rsidP="0069246F">
            <w:pPr>
              <w:spacing w:before="120" w:after="120"/>
            </w:pPr>
            <w:r w:rsidRPr="00445E8A">
              <w:lastRenderedPageBreak/>
              <w:t>when a repetition is configured on the uplink for which R&gt;1, the UE shall not adjust the uplink transmission timing autonomously during an ongoing repetition period other than at initial transmission or at the start of a transmission segment boundary, as defined above</w:t>
            </w:r>
            <w:r>
              <w:t>.</w:t>
            </w:r>
          </w:p>
        </w:tc>
      </w:tr>
    </w:tbl>
    <w:p w:rsidR="00D71AED" w:rsidRPr="00261957" w:rsidRDefault="00D71AED" w:rsidP="00D71AED">
      <w:pPr>
        <w:spacing w:before="120" w:after="120"/>
        <w:rPr>
          <w:rFonts w:eastAsiaTheme="minorEastAsia"/>
          <w:lang w:eastAsia="zh-CN"/>
        </w:rPr>
      </w:pPr>
      <w:r>
        <w:rPr>
          <w:rFonts w:eastAsiaTheme="minorEastAsia"/>
          <w:lang w:eastAsia="zh-CN"/>
        </w:rPr>
        <w:t xml:space="preserve">The difference is that in IoT NTN UE would always not perform TA pre-compensation during a segment, while in NR NTN UE may or may not perform timing pre-compensation depending on whether </w:t>
      </w:r>
      <w:r w:rsidRPr="00261957">
        <w:rPr>
          <w:rFonts w:eastAsiaTheme="minorEastAsia"/>
          <w:lang w:eastAsia="zh-CN"/>
        </w:rPr>
        <w:t xml:space="preserve">it causes phase discontinuity that may violate the phase difference limit. </w:t>
      </w:r>
      <w:r>
        <w:rPr>
          <w:rFonts w:eastAsiaTheme="minorEastAsia"/>
          <w:lang w:eastAsia="zh-CN"/>
        </w:rPr>
        <w:t>A simple way to address this difference is to update the applicability such that the timing requirements apply only for the first transmission in the TDW. This means UE is allowed not to perform TA pre-compensation in other UL transmissions during the TDW.</w:t>
      </w:r>
    </w:p>
    <w:p w:rsidR="001F774B" w:rsidRPr="00D71AED" w:rsidRDefault="00D71AED" w:rsidP="00106B40">
      <w:pPr>
        <w:spacing w:before="120" w:after="120"/>
        <w:rPr>
          <w:lang w:val="en-US"/>
        </w:rPr>
      </w:pPr>
      <w:r w:rsidRPr="00DA42FB">
        <w:rPr>
          <w:rFonts w:eastAsiaTheme="minorEastAsia"/>
          <w:b/>
          <w:lang w:eastAsia="zh-CN"/>
        </w:rPr>
        <w:t xml:space="preserve">Proposal 1: </w:t>
      </w:r>
      <w:r w:rsidRPr="00AE1B74">
        <w:rPr>
          <w:rFonts w:eastAsiaTheme="minorEastAsia"/>
          <w:b/>
          <w:lang w:eastAsia="zh-CN"/>
        </w:rPr>
        <w:t>For NTN-specific PUSCH DMRS bundling</w:t>
      </w:r>
      <w:r>
        <w:rPr>
          <w:rFonts w:eastAsiaTheme="minorEastAsia"/>
          <w:b/>
          <w:lang w:eastAsia="zh-CN"/>
        </w:rPr>
        <w:t>,</w:t>
      </w:r>
      <w:r w:rsidRPr="00AE1B74">
        <w:t xml:space="preserve"> </w:t>
      </w:r>
      <w:r w:rsidRPr="00AE1B74">
        <w:rPr>
          <w:rFonts w:eastAsiaTheme="minorEastAsia"/>
          <w:b/>
          <w:lang w:eastAsia="zh-CN"/>
        </w:rPr>
        <w:t xml:space="preserve">update the applicability </w:t>
      </w:r>
      <w:r>
        <w:rPr>
          <w:rFonts w:eastAsiaTheme="minorEastAsia"/>
          <w:b/>
          <w:lang w:eastAsia="zh-CN"/>
        </w:rPr>
        <w:t xml:space="preserve">of </w:t>
      </w:r>
      <w:r w:rsidRPr="00AE1B74">
        <w:rPr>
          <w:rFonts w:eastAsiaTheme="minorEastAsia"/>
          <w:b/>
          <w:lang w:eastAsia="zh-CN"/>
        </w:rPr>
        <w:t>the timing requirements such that the requirements apply only for the first transmission in the TDW</w:t>
      </w:r>
      <w:r>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D71AED">
        <w:rPr>
          <w:rFonts w:eastAsia="宋体"/>
          <w:lang w:eastAsia="zh-CN"/>
        </w:rPr>
        <w:t>RRM impacts of DMRS bundling in NTN</w:t>
      </w:r>
      <w:r>
        <w:rPr>
          <w:rFonts w:eastAsia="宋体"/>
          <w:lang w:eastAsia="zh-CN"/>
        </w:rPr>
        <w:t>.</w:t>
      </w:r>
    </w:p>
    <w:p w:rsidR="001F774B" w:rsidRPr="00D71AED" w:rsidRDefault="00D71AED" w:rsidP="00A96531">
      <w:pPr>
        <w:spacing w:before="120" w:after="120"/>
        <w:rPr>
          <w:lang w:val="en-US"/>
        </w:rPr>
      </w:pPr>
      <w:r w:rsidRPr="00DA42FB">
        <w:rPr>
          <w:rFonts w:eastAsiaTheme="minorEastAsia"/>
          <w:b/>
          <w:lang w:eastAsia="zh-CN"/>
        </w:rPr>
        <w:t xml:space="preserve">Proposal 1: </w:t>
      </w:r>
      <w:r w:rsidRPr="00AE1B74">
        <w:rPr>
          <w:rFonts w:eastAsiaTheme="minorEastAsia"/>
          <w:b/>
          <w:lang w:eastAsia="zh-CN"/>
        </w:rPr>
        <w:t>For NTN-specific PUSCH DMRS bundling</w:t>
      </w:r>
      <w:r>
        <w:rPr>
          <w:rFonts w:eastAsiaTheme="minorEastAsia"/>
          <w:b/>
          <w:lang w:eastAsia="zh-CN"/>
        </w:rPr>
        <w:t>,</w:t>
      </w:r>
      <w:r w:rsidRPr="00AE1B74">
        <w:t xml:space="preserve"> </w:t>
      </w:r>
      <w:r w:rsidRPr="00AE1B74">
        <w:rPr>
          <w:rFonts w:eastAsiaTheme="minorEastAsia"/>
          <w:b/>
          <w:lang w:eastAsia="zh-CN"/>
        </w:rPr>
        <w:t xml:space="preserve">update the applicability </w:t>
      </w:r>
      <w:r>
        <w:rPr>
          <w:rFonts w:eastAsiaTheme="minorEastAsia"/>
          <w:b/>
          <w:lang w:eastAsia="zh-CN"/>
        </w:rPr>
        <w:t xml:space="preserve">of </w:t>
      </w:r>
      <w:r w:rsidRPr="00AE1B74">
        <w:rPr>
          <w:rFonts w:eastAsiaTheme="minorEastAsia"/>
          <w:b/>
          <w:lang w:eastAsia="zh-CN"/>
        </w:rPr>
        <w:t>the timing requirements such that the requirements apply only for the first transmission in the TDW</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D71AED" w:rsidRDefault="00D71AED" w:rsidP="00D71AED">
      <w:pPr>
        <w:numPr>
          <w:ilvl w:val="0"/>
          <w:numId w:val="5"/>
        </w:numPr>
        <w:spacing w:before="120" w:after="120"/>
        <w:rPr>
          <w:rFonts w:eastAsia="宋体"/>
          <w:lang w:val="en-US" w:eastAsia="zh-CN"/>
        </w:rPr>
      </w:pPr>
      <w:r w:rsidRPr="001D2E6E">
        <w:rPr>
          <w:rFonts w:eastAsia="宋体"/>
          <w:lang w:val="en-US" w:eastAsia="zh-CN"/>
        </w:rPr>
        <w:t>R1-2304094</w:t>
      </w:r>
      <w:r>
        <w:rPr>
          <w:rFonts w:eastAsia="宋体"/>
          <w:lang w:val="en-US" w:eastAsia="zh-CN"/>
        </w:rPr>
        <w:t xml:space="preserve">, </w:t>
      </w:r>
      <w:r w:rsidRPr="001D2E6E">
        <w:rPr>
          <w:rFonts w:eastAsia="宋体"/>
          <w:lang w:val="en-US" w:eastAsia="zh-CN"/>
        </w:rPr>
        <w:t>LS on PUSCH DMRS bundling for NR NTN coverage enhancement</w:t>
      </w:r>
      <w:r>
        <w:rPr>
          <w:rFonts w:eastAsia="宋体"/>
          <w:lang w:val="en-US" w:eastAsia="zh-CN"/>
        </w:rPr>
        <w:t>, RAN1</w:t>
      </w:r>
    </w:p>
    <w:p w:rsidR="0099793C" w:rsidRPr="006005FE" w:rsidRDefault="00D71AED" w:rsidP="00D71AED">
      <w:pPr>
        <w:numPr>
          <w:ilvl w:val="0"/>
          <w:numId w:val="5"/>
        </w:numPr>
        <w:spacing w:before="120" w:after="120"/>
        <w:rPr>
          <w:rFonts w:eastAsia="宋体"/>
          <w:lang w:val="en-US" w:eastAsia="zh-CN"/>
        </w:rPr>
      </w:pPr>
      <w:r w:rsidRPr="00D71AED">
        <w:rPr>
          <w:rFonts w:eastAsia="宋体"/>
          <w:lang w:val="en-US" w:eastAsia="zh-CN"/>
        </w:rPr>
        <w:t>R4-2313864</w:t>
      </w:r>
      <w:r>
        <w:rPr>
          <w:rFonts w:eastAsia="宋体"/>
          <w:lang w:val="en-US" w:eastAsia="zh-CN"/>
        </w:rPr>
        <w:t xml:space="preserve">, </w:t>
      </w:r>
      <w:r w:rsidRPr="00D71AED">
        <w:rPr>
          <w:rFonts w:eastAsia="宋体"/>
          <w:lang w:val="en-US" w:eastAsia="zh-CN"/>
        </w:rPr>
        <w:t>WF for NTN general part</w:t>
      </w:r>
      <w:r>
        <w:rPr>
          <w:rFonts w:eastAsia="宋体"/>
          <w:lang w:val="en-US" w:eastAsia="zh-CN"/>
        </w:rPr>
        <w:t>, Thales</w:t>
      </w:r>
    </w:p>
    <w:sectPr w:rsidR="0099793C"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22DB" w:rsidRDefault="002322DB">
      <w:pPr>
        <w:spacing w:before="120" w:after="120"/>
      </w:pPr>
      <w:r>
        <w:separator/>
      </w:r>
    </w:p>
  </w:endnote>
  <w:endnote w:type="continuationSeparator" w:id="0">
    <w:p w:rsidR="002322DB" w:rsidRDefault="002322D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22DB" w:rsidRDefault="002322DB">
      <w:pPr>
        <w:spacing w:before="120" w:after="120"/>
      </w:pPr>
      <w:r>
        <w:separator/>
      </w:r>
    </w:p>
  </w:footnote>
  <w:footnote w:type="continuationSeparator" w:id="0">
    <w:p w:rsidR="002322DB" w:rsidRDefault="002322D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6FF42CCB"/>
    <w:multiLevelType w:val="hybridMultilevel"/>
    <w:tmpl w:val="506CB72E"/>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016" w:hanging="360"/>
      </w:pPr>
      <w:rPr>
        <w:rFonts w:ascii="Courier New" w:hAnsi="Courier New" w:cs="Courier New" w:hint="default"/>
      </w:rPr>
    </w:lvl>
    <w:lvl w:ilvl="2" w:tplc="04090005">
      <w:start w:val="1"/>
      <w:numFmt w:val="bullet"/>
      <w:lvlText w:val=""/>
      <w:lvlJc w:val="left"/>
      <w:pPr>
        <w:ind w:left="1736" w:hanging="360"/>
      </w:pPr>
      <w:rPr>
        <w:rFonts w:ascii="Wingdings" w:hAnsi="Wingdings" w:hint="default"/>
      </w:rPr>
    </w:lvl>
    <w:lvl w:ilvl="3" w:tplc="04090001">
      <w:start w:val="1"/>
      <w:numFmt w:val="bullet"/>
      <w:lvlText w:val=""/>
      <w:lvlJc w:val="left"/>
      <w:pPr>
        <w:ind w:left="2456" w:hanging="360"/>
      </w:pPr>
      <w:rPr>
        <w:rFonts w:ascii="Symbol" w:hAnsi="Symbol" w:hint="default"/>
      </w:rPr>
    </w:lvl>
    <w:lvl w:ilvl="4" w:tplc="04090003">
      <w:start w:val="1"/>
      <w:numFmt w:val="bullet"/>
      <w:lvlText w:val="o"/>
      <w:lvlJc w:val="left"/>
      <w:pPr>
        <w:ind w:left="3176" w:hanging="360"/>
      </w:pPr>
      <w:rPr>
        <w:rFonts w:ascii="Courier New" w:hAnsi="Courier New" w:cs="Courier New" w:hint="default"/>
      </w:rPr>
    </w:lvl>
    <w:lvl w:ilvl="5" w:tplc="04090005">
      <w:start w:val="1"/>
      <w:numFmt w:val="bullet"/>
      <w:lvlText w:val=""/>
      <w:lvlJc w:val="left"/>
      <w:pPr>
        <w:ind w:left="3896" w:hanging="360"/>
      </w:pPr>
      <w:rPr>
        <w:rFonts w:ascii="Wingdings" w:hAnsi="Wingdings" w:hint="default"/>
      </w:rPr>
    </w:lvl>
    <w:lvl w:ilvl="6" w:tplc="04090001">
      <w:start w:val="1"/>
      <w:numFmt w:val="bullet"/>
      <w:lvlText w:val=""/>
      <w:lvlJc w:val="left"/>
      <w:pPr>
        <w:ind w:left="4616" w:hanging="360"/>
      </w:pPr>
      <w:rPr>
        <w:rFonts w:ascii="Symbol" w:hAnsi="Symbol" w:hint="default"/>
      </w:rPr>
    </w:lvl>
    <w:lvl w:ilvl="7" w:tplc="04090003">
      <w:start w:val="1"/>
      <w:numFmt w:val="bullet"/>
      <w:lvlText w:val="o"/>
      <w:lvlJc w:val="left"/>
      <w:pPr>
        <w:ind w:left="5336" w:hanging="360"/>
      </w:pPr>
      <w:rPr>
        <w:rFonts w:ascii="Courier New" w:hAnsi="Courier New" w:cs="Courier New" w:hint="default"/>
      </w:rPr>
    </w:lvl>
    <w:lvl w:ilvl="8" w:tplc="04090005">
      <w:start w:val="1"/>
      <w:numFmt w:val="bullet"/>
      <w:lvlText w:val=""/>
      <w:lvlJc w:val="left"/>
      <w:pPr>
        <w:ind w:left="6056"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8"/>
  </w:num>
  <w:num w:numId="3">
    <w:abstractNumId w:val="12"/>
  </w:num>
  <w:num w:numId="4">
    <w:abstractNumId w:val="1"/>
  </w:num>
  <w:num w:numId="5">
    <w:abstractNumId w:val="2"/>
  </w:num>
  <w:num w:numId="6">
    <w:abstractNumId w:val="7"/>
  </w:num>
  <w:num w:numId="7">
    <w:abstractNumId w:val="4"/>
  </w:num>
  <w:num w:numId="8">
    <w:abstractNumId w:val="13"/>
    <w:lvlOverride w:ilvl="0">
      <w:startOverride w:val="1"/>
    </w:lvlOverride>
  </w:num>
  <w:num w:numId="9">
    <w:abstractNumId w:val="6"/>
  </w:num>
  <w:num w:numId="10">
    <w:abstractNumId w:val="11"/>
  </w:num>
  <w:num w:numId="11">
    <w:abstractNumId w:val="10"/>
  </w:num>
  <w:num w:numId="12">
    <w:abstractNumId w:val="0"/>
  </w:num>
  <w:num w:numId="13">
    <w:abstractNumId w:val="5"/>
    <w:lvlOverride w:ilvl="0"/>
    <w:lvlOverride w:ilvl="1">
      <w:startOverride w:val="1"/>
    </w:lvlOverride>
    <w:lvlOverride w:ilvl="2"/>
    <w:lvlOverride w:ilvl="3"/>
    <w:lvlOverride w:ilvl="4"/>
    <w:lvlOverride w:ilvl="5"/>
    <w:lvlOverride w:ilvl="6"/>
    <w:lvlOverride w:ilvl="7"/>
    <w:lvlOverride w:ilvl="8"/>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B40"/>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74B"/>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DB"/>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5FC"/>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29"/>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D7FBF"/>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2EA9"/>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8D3"/>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7C5"/>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380"/>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73C"/>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19F"/>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CED"/>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A7"/>
    <w:rsid w:val="009159CA"/>
    <w:rsid w:val="00915EF2"/>
    <w:rsid w:val="00916252"/>
    <w:rsid w:val="009165C8"/>
    <w:rsid w:val="009167A6"/>
    <w:rsid w:val="00916AD5"/>
    <w:rsid w:val="0091769A"/>
    <w:rsid w:val="00917C84"/>
    <w:rsid w:val="00917C97"/>
    <w:rsid w:val="00917C9C"/>
    <w:rsid w:val="009203BD"/>
    <w:rsid w:val="009205CD"/>
    <w:rsid w:val="00920875"/>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0C0"/>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C1C"/>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93C"/>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5F7"/>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1CE"/>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AED"/>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273"/>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3E"/>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A7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61"/>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B3Char">
    <w:name w:val="B3 Char"/>
    <w:link w:val="B3"/>
    <w:qFormat/>
    <w:locked/>
    <w:rsid w:val="001F774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092234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6036345">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1140FFF-9A97-4B37-93E1-999E3703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12909</TotalTime>
  <Pages>1</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110</cp:revision>
  <cp:lastPrinted>2009-04-22T06:01:00Z</cp:lastPrinted>
  <dcterms:created xsi:type="dcterms:W3CDTF">2023-05-06T02:02:00Z</dcterms:created>
  <dcterms:modified xsi:type="dcterms:W3CDTF">2023-11-03T16:21:00Z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(3)UwEiDPHjt5dl0vO3SbhQAtwkAkAV2Yz59n7kCcMMyPXTzhy5T+FgMT6w1FMG06PBktSq7k6q
XVg4rzRRjMDkjfgY78erHsSg55DIG5kgvwyxVgUIB4mW9vzmGQvl0fzyLRWjn2WaEXTCLR5q
oMcdg0cJXFFKCj+RbHnd94aY85mGEG76Q+tuJ4rcM9vKbUZ+ne7ic8tbm+QlnK06CoHD6KBp
lNyGq8QFjJD+o3+wMo</vt:lpwstr>
  </property>
  <property fmtid="{D5CDD505-2E9C-101B-9397-08002B2CF9AE}" pid="17" name="_2015_ms_pID_725343_00">
    <vt:lpwstr>_2015_ms_pID_725343</vt:lpwstr>
  </property>
  <property fmtid="{D5CDD505-2E9C-101B-9397-08002B2CF9AE}" pid="18" name="_2015_ms_pID_7253431">
    <vt:lpwstr>vh3zq4YgIzIeSGFNa4bqZ33f2d+kveTkU7kJqx33/LmXVxT/yNpHQG
uCW61L1A5pTylet12V86+ji8Tjl9/PQjGqTdCSYGyebJPb5y8hH2GY7y2mklqvqE2fRCe00k
s1dK/J6nBIwAYAihVSnmkCn7McTOduuwTn2wvhBXrR/vLxGdejGG9Vi0gJOJ0FnHgm3WbTkJ
q9X0ElZau0yVApV0JBiXWWUUDm+PSmKAaPvA</vt:lpwstr>
  </property>
  <property fmtid="{D5CDD505-2E9C-101B-9397-08002B2CF9AE}" pid="19" name="_2015_ms_pID_7253431_00">
    <vt:lpwstr>_2015_ms_pID_7253431</vt:lpwstr>
  </property>
  <property fmtid="{D5CDD505-2E9C-101B-9397-08002B2CF9AE}" pid="20" name="_2015_ms_pID_7253432">
    <vt:lpwstr>pdu5IjzAo0/7m7JetByEtc7qJbUWNMNuXLUF
AoBk0/kezqXb73DNjwmEcqx2qp6xpMYonEdzu8sk4vxFl89bILA=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