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7B491986"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3848C4">
        <w:rPr>
          <w:rFonts w:cs="Arial"/>
          <w:sz w:val="24"/>
        </w:rPr>
        <w:t>9</w:t>
      </w:r>
      <w:r>
        <w:rPr>
          <w:rFonts w:cs="Arial"/>
          <w:i/>
          <w:sz w:val="24"/>
        </w:rPr>
        <w:tab/>
      </w:r>
      <w:r>
        <w:rPr>
          <w:rFonts w:cs="Arial"/>
          <w:iCs/>
          <w:sz w:val="24"/>
        </w:rPr>
        <w:t>R4-</w:t>
      </w:r>
      <w:r w:rsidR="008704F6">
        <w:rPr>
          <w:rFonts w:cs="Arial"/>
          <w:iCs/>
          <w:sz w:val="24"/>
        </w:rPr>
        <w:t>2319397</w:t>
      </w:r>
    </w:p>
    <w:p w14:paraId="225BCA78" w14:textId="74A22BD8" w:rsidR="00070795" w:rsidRDefault="003848C4" w:rsidP="00070795">
      <w:pPr>
        <w:pStyle w:val="Header"/>
        <w:tabs>
          <w:tab w:val="right" w:pos="10206"/>
        </w:tabs>
        <w:spacing w:after="120"/>
        <w:rPr>
          <w:rFonts w:cs="Arial"/>
          <w:sz w:val="24"/>
        </w:rPr>
      </w:pPr>
      <w:r>
        <w:rPr>
          <w:rFonts w:cs="Arial"/>
          <w:sz w:val="24"/>
        </w:rPr>
        <w:t>Chicago</w:t>
      </w:r>
      <w:r w:rsidR="006C791A">
        <w:rPr>
          <w:rFonts w:cs="Arial"/>
          <w:sz w:val="24"/>
        </w:rPr>
        <w:t xml:space="preserve">, </w:t>
      </w:r>
      <w:r>
        <w:rPr>
          <w:rFonts w:cs="Arial"/>
          <w:sz w:val="24"/>
        </w:rPr>
        <w:t>US</w:t>
      </w:r>
      <w:r w:rsidR="00070795">
        <w:rPr>
          <w:rFonts w:cs="Arial"/>
          <w:sz w:val="24"/>
        </w:rPr>
        <w:t>,</w:t>
      </w:r>
      <w:r w:rsidR="00E01242">
        <w:rPr>
          <w:rFonts w:cs="Arial"/>
          <w:sz w:val="24"/>
        </w:rPr>
        <w:t xml:space="preserve"> </w:t>
      </w:r>
      <w:r w:rsidR="00B57A40">
        <w:rPr>
          <w:rFonts w:cs="Arial"/>
          <w:sz w:val="24"/>
        </w:rPr>
        <w:t>13</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465E8">
        <w:rPr>
          <w:rFonts w:cs="Arial"/>
          <w:sz w:val="24"/>
        </w:rPr>
        <w:t>1</w:t>
      </w:r>
      <w:r w:rsidR="00B57A40">
        <w:rPr>
          <w:rFonts w:cs="Arial"/>
          <w:sz w:val="24"/>
        </w:rPr>
        <w:t>7</w:t>
      </w:r>
      <w:r w:rsidR="006C791A" w:rsidRPr="00CE4DE3">
        <w:rPr>
          <w:rFonts w:cs="Arial"/>
          <w:sz w:val="24"/>
          <w:vertAlign w:val="superscript"/>
        </w:rPr>
        <w:t>th</w:t>
      </w:r>
      <w:r w:rsidR="006C791A">
        <w:rPr>
          <w:rFonts w:cs="Arial"/>
          <w:sz w:val="24"/>
        </w:rPr>
        <w:t xml:space="preserve"> </w:t>
      </w:r>
      <w:r w:rsidR="00B57A40">
        <w:rPr>
          <w:rFonts w:cs="Arial"/>
          <w:sz w:val="24"/>
        </w:rPr>
        <w:t>November</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D77F54B"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7268E">
        <w:rPr>
          <w:rFonts w:ascii="Arial" w:hAnsi="Arial" w:cs="Arial"/>
          <w:bCs/>
        </w:rPr>
        <w:t xml:space="preserve">NR BS RF </w:t>
      </w:r>
      <w:r w:rsidR="001C1779">
        <w:rPr>
          <w:rFonts w:ascii="Arial" w:hAnsi="Arial" w:cs="Arial"/>
          <w:bCs/>
        </w:rPr>
        <w:t>enhancements in Rel-19</w:t>
      </w:r>
    </w:p>
    <w:p w14:paraId="72798C4E" w14:textId="6A24280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327A81">
        <w:rPr>
          <w:rFonts w:ascii="Arial" w:hAnsi="Arial" w:cs="Arial"/>
          <w:bCs/>
          <w:lang w:val="en-US"/>
        </w:rPr>
        <w:t>13</w:t>
      </w:r>
    </w:p>
    <w:p w14:paraId="3C088A4A" w14:textId="330EA3E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1C1779">
        <w:rPr>
          <w:rFonts w:ascii="Arial" w:hAnsi="Arial" w:cs="Arial"/>
        </w:rPr>
        <w:t>Information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E201459" w14:textId="0B00BE9C" w:rsidR="002A7B0B" w:rsidRDefault="00993BA6" w:rsidP="002A7B0B">
      <w:r>
        <w:t>Reaching the end of Rel-18</w:t>
      </w:r>
      <w:r w:rsidR="00712886">
        <w:t>,</w:t>
      </w:r>
      <w:r>
        <w:t xml:space="preserve"> RAN4 needs to consider </w:t>
      </w:r>
      <w:r w:rsidR="00FB41A6">
        <w:t>the scope for</w:t>
      </w:r>
      <w:r>
        <w:t xml:space="preserve"> Rel-19</w:t>
      </w:r>
      <w:r w:rsidR="00454476">
        <w:t xml:space="preserve"> to </w:t>
      </w:r>
      <w:r w:rsidR="001429A6">
        <w:t>drive BS RF requirement evolution</w:t>
      </w:r>
      <w:r>
        <w:t xml:space="preserve">. </w:t>
      </w:r>
      <w:r w:rsidR="00FB41A6">
        <w:t>Since</w:t>
      </w:r>
      <w:r>
        <w:t xml:space="preserve"> the introduction of AAS in Rel-13</w:t>
      </w:r>
      <w:r w:rsidR="00DA307A">
        <w:t xml:space="preserve"> (MSR AAS) and </w:t>
      </w:r>
      <w:r w:rsidR="00F65FE5">
        <w:t>Rel-</w:t>
      </w:r>
      <w:r>
        <w:t xml:space="preserve">15 </w:t>
      </w:r>
      <w:r w:rsidR="00DA307A">
        <w:t xml:space="preserve">(NR) </w:t>
      </w:r>
      <w:r>
        <w:t xml:space="preserve">the complexity of </w:t>
      </w:r>
      <w:r w:rsidR="00FB41A6">
        <w:t>massive MIMO</w:t>
      </w:r>
      <w:r w:rsidR="007025A0">
        <w:t xml:space="preserve"> capable base stations </w:t>
      </w:r>
      <w:r w:rsidR="00186CBC">
        <w:t>has</w:t>
      </w:r>
      <w:r>
        <w:t xml:space="preserve"> increased</w:t>
      </w:r>
      <w:r w:rsidR="00C6028A">
        <w:t xml:space="preserve"> significantly</w:t>
      </w:r>
      <w:r>
        <w:t xml:space="preserve">. </w:t>
      </w:r>
      <w:r w:rsidR="00895E62">
        <w:t xml:space="preserve">Support for higher frequencies have been added and larger antennas arrays </w:t>
      </w:r>
      <w:r w:rsidR="007329F4">
        <w:t xml:space="preserve">with complex structures </w:t>
      </w:r>
      <w:r w:rsidR="00895E62">
        <w:t>are used</w:t>
      </w:r>
      <w:r w:rsidR="00DC33A5">
        <w:t>, whic</w:t>
      </w:r>
      <w:r w:rsidR="007329F4">
        <w:t>h needs to be reflected in RAN4 simulation assumptions.</w:t>
      </w:r>
      <w:r w:rsidR="00895E62">
        <w:t xml:space="preserve"> </w:t>
      </w:r>
      <w:r w:rsidR="0075345F">
        <w:t xml:space="preserve">To allow </w:t>
      </w:r>
      <w:r w:rsidR="00C6028A">
        <w:t>simultaneous</w:t>
      </w:r>
      <w:r w:rsidR="0075345F">
        <w:t xml:space="preserve"> </w:t>
      </w:r>
      <w:r w:rsidR="00C6028A">
        <w:t>operation</w:t>
      </w:r>
      <w:r w:rsidR="0075345F">
        <w:t xml:space="preserve"> of two different radio systems </w:t>
      </w:r>
      <w:r w:rsidR="00B34F37">
        <w:t xml:space="preserve">(IMT and FSS) </w:t>
      </w:r>
      <w:r w:rsidR="0075345F">
        <w:t xml:space="preserve">on the same frequency </w:t>
      </w:r>
      <w:r w:rsidR="00C6028A">
        <w:t xml:space="preserve">a </w:t>
      </w:r>
      <w:r w:rsidR="0075345F">
        <w:t>new</w:t>
      </w:r>
      <w:r w:rsidR="00C6028A">
        <w:t xml:space="preserve"> type of</w:t>
      </w:r>
      <w:r w:rsidR="0075345F">
        <w:t xml:space="preserve"> requirement</w:t>
      </w:r>
      <w:r w:rsidR="00C6028A">
        <w:t xml:space="preserve"> will be needed. </w:t>
      </w:r>
      <w:r w:rsidR="002A7B0B">
        <w:t>In relation to ITU-R discussion two areas related to BS RF aspects in RAN4</w:t>
      </w:r>
      <w:r w:rsidR="00DC5E95">
        <w:t xml:space="preserve"> to be considered to include into Rel-19 </w:t>
      </w:r>
      <w:r w:rsidR="002A7B0B">
        <w:t xml:space="preserve">have been identified. </w:t>
      </w:r>
    </w:p>
    <w:p w14:paraId="5C82393F" w14:textId="38CF00D5" w:rsidR="00993BA6" w:rsidRDefault="00993BA6" w:rsidP="00993BA6">
      <w:pPr>
        <w:pStyle w:val="BodyText"/>
      </w:pPr>
      <w:r>
        <w:t xml:space="preserve">In this contribution we present </w:t>
      </w:r>
      <w:r w:rsidR="00F37705">
        <w:t xml:space="preserve">two work </w:t>
      </w:r>
      <w:r w:rsidR="007329F4">
        <w:t>packages</w:t>
      </w:r>
      <w:r>
        <w:t xml:space="preserve"> for BS RF requirement evaluation to be included within RAN4 Rel-19 schedule.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ED16D08" w14:textId="785FC404" w:rsidR="009E26F6" w:rsidRDefault="009E26F6" w:rsidP="009E26F6">
      <w:pPr>
        <w:pStyle w:val="BodyText"/>
      </w:pPr>
      <w:r>
        <w:t>Based mostly on discussion ongoing in other groups (ITU-R WP 5D and ECC PT1) we have identified two areas where RAN4 need to conduct evolution of BS RF aspects</w:t>
      </w:r>
      <w:r w:rsidR="00D160E5">
        <w:t xml:space="preserve">. </w:t>
      </w:r>
      <w:r w:rsidR="00D41F4F">
        <w:t xml:space="preserve">The work is divided into two </w:t>
      </w:r>
      <w:r w:rsidR="007329F4">
        <w:t xml:space="preserve">separate </w:t>
      </w:r>
      <w:r w:rsidR="00D41F4F">
        <w:t xml:space="preserve">work packages to be executed </w:t>
      </w:r>
      <w:r w:rsidR="00C81921">
        <w:t>within the timeframe of Rel-19</w:t>
      </w:r>
      <w:r>
        <w:t xml:space="preserve">. </w:t>
      </w:r>
    </w:p>
    <w:p w14:paraId="0350ADC4" w14:textId="77777777" w:rsidR="009E26F6" w:rsidRDefault="009E26F6" w:rsidP="009E26F6">
      <w:pPr>
        <w:pStyle w:val="BodyText"/>
      </w:pPr>
    </w:p>
    <w:p w14:paraId="0DB13C81" w14:textId="616B29E7" w:rsidR="00830205" w:rsidRPr="009A5917" w:rsidRDefault="009C3C27" w:rsidP="009A5917">
      <w:pPr>
        <w:pStyle w:val="BodyText"/>
        <w:numPr>
          <w:ilvl w:val="1"/>
          <w:numId w:val="5"/>
        </w:numPr>
        <w:ind w:hanging="720"/>
        <w:rPr>
          <w:rFonts w:ascii="Arial" w:hAnsi="Arial" w:cs="Arial"/>
          <w:sz w:val="28"/>
          <w:szCs w:val="28"/>
        </w:rPr>
      </w:pPr>
      <w:r>
        <w:rPr>
          <w:rFonts w:ascii="Arial" w:hAnsi="Arial" w:cs="Arial"/>
          <w:sz w:val="28"/>
          <w:szCs w:val="28"/>
        </w:rPr>
        <w:t xml:space="preserve">WP1: </w:t>
      </w:r>
      <w:r w:rsidR="009E26F6" w:rsidRPr="009A5917">
        <w:rPr>
          <w:rFonts w:ascii="Arial" w:hAnsi="Arial" w:cs="Arial"/>
          <w:sz w:val="28"/>
          <w:szCs w:val="28"/>
        </w:rPr>
        <w:t>Protection of FSS UL</w:t>
      </w:r>
    </w:p>
    <w:p w14:paraId="3F98F1C2" w14:textId="4A52B9F2" w:rsidR="00A34F6C" w:rsidRDefault="00A34F6C" w:rsidP="00A11482">
      <w:r w:rsidRPr="00A34F6C">
        <w:t xml:space="preserve">A new type of spatial EIRP requirement, expected EIRP as function of elevation angle above the horizon has been proposed for BS to allow simultaneous operation co-channel for IMT networks and Fixed Satellite Service (FSS) uplink in the 6425 to 7125 MHz band as described in [2, 3, 5 and page 109 to 110 in 6]. The technical conditions will be finalized at ITU World Radiocommunication Conference 2023 (WRC-23) during the period 20 November to 15 December 2023. To harmonize the conformance testing of such requirement, RAN4 need to study how to capture the requirement in BS RF core specification and conformance test specification. Details related to applicable test methods and corresponding measurement uncertainty </w:t>
      </w:r>
      <w:r w:rsidR="00BE5C3C">
        <w:t xml:space="preserve">evaluation </w:t>
      </w:r>
      <w:r w:rsidRPr="00A34F6C">
        <w:t>needs to be established.</w:t>
      </w:r>
    </w:p>
    <w:p w14:paraId="7673F524" w14:textId="50FA69A2" w:rsidR="009E26F6" w:rsidRDefault="009E26F6" w:rsidP="00A11482">
      <w:r>
        <w:t xml:space="preserve">Spectrum is a limited resource and in bands where we need to coexist with satellite receivers where terrestrial IMT </w:t>
      </w:r>
      <w:r w:rsidR="008D1739">
        <w:t xml:space="preserve">networks </w:t>
      </w:r>
      <w:r>
        <w:t xml:space="preserve">needs to coexist with </w:t>
      </w:r>
      <w:r w:rsidR="00AD233B">
        <w:t xml:space="preserve">Fixed </w:t>
      </w:r>
      <w:r>
        <w:t>Satellite Service</w:t>
      </w:r>
      <w:r w:rsidR="00AD233B">
        <w:t xml:space="preserve"> (FSS)</w:t>
      </w:r>
      <w:r w:rsidR="009E0128">
        <w:t xml:space="preserve"> uplink</w:t>
      </w:r>
      <w:r>
        <w:t xml:space="preserve">, AAS </w:t>
      </w:r>
      <w:r w:rsidR="00BB3D03">
        <w:t xml:space="preserve">base station </w:t>
      </w:r>
      <w:r>
        <w:t>emissions above the horizon can have an impact on the satellite services. There is a need to define spatial EIRP requirements for a single base station so that the aggregate</w:t>
      </w:r>
      <w:r w:rsidR="00BB4954">
        <w:t>d</w:t>
      </w:r>
      <w:r>
        <w:t xml:space="preserve"> interference at the satellite </w:t>
      </w:r>
      <w:r w:rsidR="00BB4954">
        <w:t>re</w:t>
      </w:r>
      <w:r w:rsidR="00612A59">
        <w:t xml:space="preserve">ceiver </w:t>
      </w:r>
      <w:r>
        <w:t xml:space="preserve">is </w:t>
      </w:r>
      <w:r w:rsidR="00612A59">
        <w:t>below</w:t>
      </w:r>
      <w:r>
        <w:t xml:space="preserve"> the </w:t>
      </w:r>
      <w:r w:rsidR="00612A59">
        <w:t xml:space="preserve">required </w:t>
      </w:r>
      <w:r>
        <w:t xml:space="preserve">limit. While a conventional requirement on TRP is simple, it is limiting especially for </w:t>
      </w:r>
      <w:r w:rsidR="0030025E">
        <w:t xml:space="preserve">high power </w:t>
      </w:r>
      <w:r>
        <w:t xml:space="preserve">base stations </w:t>
      </w:r>
      <w:r w:rsidR="0030025E">
        <w:t>for macro network deployments</w:t>
      </w:r>
      <w:r w:rsidR="00AD233B">
        <w:t xml:space="preserve"> </w:t>
      </w:r>
      <w:r>
        <w:t xml:space="preserve">as it limits the power towards the UEs below the horizon. </w:t>
      </w:r>
    </w:p>
    <w:p w14:paraId="595BBF2B" w14:textId="2D0AC5C1" w:rsidR="00975A68" w:rsidRDefault="009E26F6" w:rsidP="009E26F6">
      <w:pPr>
        <w:pStyle w:val="BodyText"/>
      </w:pPr>
      <w:r>
        <w:t>A new metric called expected (i.e., average) EIRP has been proposed for the 6425</w:t>
      </w:r>
      <w:r w:rsidR="006240D7">
        <w:t xml:space="preserve"> to </w:t>
      </w:r>
      <w:r>
        <w:t xml:space="preserve">7125 MHz band in ITU-R to define the technical conditions. While </w:t>
      </w:r>
      <w:proofErr w:type="gramStart"/>
      <w:r>
        <w:t>similar to</w:t>
      </w:r>
      <w:proofErr w:type="gramEnd"/>
      <w:r>
        <w:t xml:space="preserve"> TRP, this metric calculates the mathematical expectation (i.e., average) EIRP over different elevation angle ranges above the horizon and beam directions, i.e., similar to a quasi-TRP with more granularity above the horizon.</w:t>
      </w:r>
      <w:r w:rsidR="00D2293B">
        <w:t xml:space="preserve"> </w:t>
      </w:r>
    </w:p>
    <w:p w14:paraId="4011E956" w14:textId="40B7C947" w:rsidR="0085229C" w:rsidRDefault="0085229C" w:rsidP="009E26F6">
      <w:pPr>
        <w:pStyle w:val="BodyText"/>
      </w:pPr>
      <w:r>
        <w:t>The expected EIRP requirement will be defined as a vertical spatial mask as visualised in Figure 2.1-1.</w:t>
      </w:r>
    </w:p>
    <w:p w14:paraId="0C2C0D35" w14:textId="6852D035" w:rsidR="00B96F87" w:rsidRDefault="004718E3" w:rsidP="00A11482">
      <w:pPr>
        <w:pStyle w:val="BodyText"/>
        <w:jc w:val="center"/>
      </w:pPr>
      <w:r w:rsidRPr="004718E3">
        <w:rPr>
          <w:noProof/>
        </w:rPr>
        <w:lastRenderedPageBreak/>
        <w:drawing>
          <wp:inline distT="0" distB="0" distL="0" distR="0" wp14:anchorId="4646683A" wp14:editId="119087BD">
            <wp:extent cx="2315210" cy="1438892"/>
            <wp:effectExtent l="0" t="0" r="0" b="9525"/>
            <wp:docPr id="4" name="Picture 3">
              <a:extLst xmlns:a="http://schemas.openxmlformats.org/drawingml/2006/main">
                <a:ext uri="{FF2B5EF4-FFF2-40B4-BE49-F238E27FC236}">
                  <a16:creationId xmlns:a16="http://schemas.microsoft.com/office/drawing/2014/main" id="{B2F99A35-ACAC-44A0-9DC0-6A6F1CA8A7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2F99A35-ACAC-44A0-9DC0-6A6F1CA8A7DB}"/>
                        </a:ext>
                      </a:extLst>
                    </pic:cNvPr>
                    <pic:cNvPicPr>
                      <a:picLocks noChangeAspect="1"/>
                    </pic:cNvPicPr>
                  </pic:nvPicPr>
                  <pic:blipFill>
                    <a:blip r:embed="rId9"/>
                    <a:stretch>
                      <a:fillRect/>
                    </a:stretch>
                  </pic:blipFill>
                  <pic:spPr>
                    <a:xfrm>
                      <a:off x="0" y="0"/>
                      <a:ext cx="2332635" cy="1449722"/>
                    </a:xfrm>
                    <a:prstGeom prst="rect">
                      <a:avLst/>
                    </a:prstGeom>
                  </pic:spPr>
                </pic:pic>
              </a:graphicData>
            </a:graphic>
          </wp:inline>
        </w:drawing>
      </w:r>
    </w:p>
    <w:p w14:paraId="62788318" w14:textId="0C5BB6E4" w:rsidR="00B96F87" w:rsidRDefault="00B96F87" w:rsidP="00B96F87">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Expected EIRP requirement </w:t>
      </w:r>
      <w:proofErr w:type="gramStart"/>
      <w:r>
        <w:rPr>
          <w:rFonts w:ascii="Arial" w:hAnsi="Arial"/>
          <w:b/>
          <w:lang w:eastAsia="x-none"/>
        </w:rPr>
        <w:t>limit</w:t>
      </w:r>
      <w:proofErr w:type="gramEnd"/>
    </w:p>
    <w:p w14:paraId="271C3895" w14:textId="3BDDAB5A" w:rsidR="0085229C" w:rsidRDefault="004718E3" w:rsidP="009E26F6">
      <w:pPr>
        <w:pStyle w:val="BodyText"/>
      </w:pPr>
      <w:r>
        <w:t xml:space="preserve">Compared to other proposals (TRP and peak envelope EIRP mask), expected EIRP as condition would allow for better coverage and design flexibility, while protection of FSS UL can be achieved. </w:t>
      </w:r>
    </w:p>
    <w:p w14:paraId="616964D9" w14:textId="0044B5F2" w:rsidR="00975A68" w:rsidRDefault="006444FC" w:rsidP="009E26F6">
      <w:pPr>
        <w:pStyle w:val="BodyText"/>
      </w:pPr>
      <w:r>
        <w:t>The expected EIRP</w:t>
      </w:r>
      <w:r w:rsidR="0071139B">
        <w:t xml:space="preserve"> is defined </w:t>
      </w:r>
      <w:r w:rsidR="00206D36">
        <w:t>by two averaging stages</w:t>
      </w:r>
      <w:r w:rsidR="009B798C">
        <w:t xml:space="preserve"> (average over beam directions and average over </w:t>
      </w:r>
      <w:r w:rsidR="007E6ACA">
        <w:t>horizontal angles)</w:t>
      </w:r>
      <w:r w:rsidR="00206D36">
        <w:t xml:space="preserve"> </w:t>
      </w:r>
      <w:r w:rsidR="0071139B">
        <w:t>as:</w:t>
      </w:r>
    </w:p>
    <w:p w14:paraId="4E27682F" w14:textId="0CEFC917" w:rsidR="00333FEA" w:rsidRPr="00354C71" w:rsidRDefault="0057595C" w:rsidP="00333FEA">
      <w:pPr>
        <w:pStyle w:val="Equation"/>
        <w:spacing w:before="240" w:after="60"/>
        <w:rPr>
          <w:rFonts w:ascii="Arial" w:hAnsi="Arial" w:cs="Arial"/>
          <w:i/>
          <w:iCs/>
          <w:sz w:val="20"/>
        </w:rPr>
      </w:pPr>
      <m:oMathPara>
        <m:oMathParaPr>
          <m:jc m:val="center"/>
        </m:oMathParaPr>
        <m:oMath>
          <m:acc>
            <m:accPr>
              <m:chr m:val="̅"/>
              <m:ctrlPr>
                <w:rPr>
                  <w:rFonts w:ascii="Cambria Math" w:eastAsia="SimSun" w:hAnsi="Cambria Math"/>
                  <w:i/>
                </w:rPr>
              </m:ctrlPr>
            </m:accPr>
            <m:e>
              <m:r>
                <w:rPr>
                  <w:rFonts w:ascii="Cambria Math" w:eastAsia="SimSun" w:hAnsi="Cambria Math"/>
                </w:rPr>
                <m:t>P</m:t>
              </m:r>
            </m:e>
          </m:acc>
          <m:d>
            <m:dPr>
              <m:ctrlPr>
                <w:rPr>
                  <w:rFonts w:ascii="Cambria Math" w:eastAsia="SimSun" w:hAnsi="Cambria Math"/>
                  <w:i/>
                </w:rPr>
              </m:ctrlPr>
            </m:dPr>
            <m:e>
              <m:r>
                <w:rPr>
                  <w:rFonts w:ascii="Cambria Math" w:eastAsia="SimSun" w:hAnsi="Cambria Math"/>
                </w:rPr>
                <m:t>θ,</m:t>
              </m:r>
              <m:r>
                <w:rPr>
                  <w:rFonts w:ascii="Cambria Math" w:eastAsia="SimSun" w:hAnsi="Cambria Math"/>
                  <w:kern w:val="24"/>
                </w:rPr>
                <m:t>φ</m:t>
              </m:r>
            </m:e>
          </m:d>
          <m:r>
            <w:rPr>
              <w:rFonts w:ascii="Cambria Math" w:eastAsia="SimSun" w:hAnsi="Cambria Math" w:cs="Arial"/>
              <w:sz w:val="20"/>
            </w:rPr>
            <m:t>=</m:t>
          </m:r>
          <m:nary>
            <m:naryPr>
              <m:chr m:val="∑"/>
              <m:limLoc m:val="undOvr"/>
              <m:ctrlPr>
                <w:rPr>
                  <w:rFonts w:ascii="Cambria Math" w:hAnsi="Cambria Math"/>
                  <w:i/>
                  <w:iCs/>
                </w:rPr>
              </m:ctrlPr>
            </m:naryPr>
            <m:sub>
              <m:r>
                <w:rPr>
                  <w:rFonts w:ascii="Cambria Math" w:hAnsi="Cambria Math" w:cs="Arial"/>
                  <w:sz w:val="20"/>
                </w:rPr>
                <m:t>n=1</m:t>
              </m:r>
            </m:sub>
            <m:sup>
              <m:r>
                <w:rPr>
                  <w:rFonts w:ascii="Cambria Math" w:hAnsi="Cambria Math" w:cs="Arial"/>
                  <w:sz w:val="20"/>
                </w:rPr>
                <m:t>N</m:t>
              </m:r>
            </m:sup>
            <m:e>
              <m:sSub>
                <m:sSubPr>
                  <m:ctrlPr>
                    <w:rPr>
                      <w:rFonts w:ascii="Cambria Math" w:hAnsi="Cambria Math"/>
                      <w:i/>
                    </w:rPr>
                  </m:ctrlPr>
                </m:sSubPr>
                <m:e>
                  <m:r>
                    <w:rPr>
                      <w:rFonts w:ascii="Cambria Math" w:hAnsi="Cambria Math" w:cs="Arial"/>
                      <w:sz w:val="20"/>
                    </w:rPr>
                    <m:t>w</m:t>
                  </m:r>
                </m:e>
                <m:sub>
                  <m:r>
                    <w:rPr>
                      <w:rFonts w:ascii="Cambria Math" w:hAnsi="Cambria Math" w:cs="Arial"/>
                      <w:sz w:val="20"/>
                    </w:rPr>
                    <m:t>n</m:t>
                  </m:r>
                </m:sub>
              </m:sSub>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n</m:t>
                  </m:r>
                </m:sub>
              </m:sSub>
              <m:d>
                <m:dPr>
                  <m:ctrlPr>
                    <w:rPr>
                      <w:rFonts w:ascii="Cambria Math" w:hAnsi="Cambria Math"/>
                      <w:i/>
                    </w:rPr>
                  </m:ctrlPr>
                </m:dPr>
                <m:e>
                  <m:r>
                    <w:rPr>
                      <w:rFonts w:ascii="Cambria Math" w:hAnsi="Cambria Math"/>
                    </w:rPr>
                    <m:t>θ</m:t>
                  </m:r>
                  <m:r>
                    <w:rPr>
                      <w:rFonts w:ascii="Cambria Math" w:hAnsi="Cambria Math" w:cs="Arial"/>
                      <w:sz w:val="20"/>
                    </w:rPr>
                    <m:t>,</m:t>
                  </m:r>
                  <m:r>
                    <w:rPr>
                      <w:rFonts w:ascii="Cambria Math" w:hAnsi="Cambria Math"/>
                    </w:rPr>
                    <m:t>φ</m:t>
                  </m:r>
                </m:e>
              </m:d>
            </m:e>
          </m:nary>
        </m:oMath>
      </m:oMathPara>
    </w:p>
    <w:p w14:paraId="2267CC62" w14:textId="66021FBD" w:rsidR="00FB49D9" w:rsidRDefault="0057595C" w:rsidP="00FB49D9">
      <w:pPr>
        <w:ind w:left="284" w:hanging="284"/>
        <w:rPr>
          <w:rFonts w:cs="Arial"/>
          <w:i/>
          <w:color w:val="000000"/>
        </w:rPr>
      </w:pPr>
      <m:oMathPara>
        <m:oMathParaPr>
          <m:jc m:val="center"/>
        </m:oMathParaPr>
        <m:oMath>
          <m:sSub>
            <m:sSubPr>
              <m:ctrlPr>
                <w:rPr>
                  <w:rFonts w:ascii="Cambria Math" w:eastAsia="Cambria" w:hAnsi="Cambria Math"/>
                  <w:i/>
                  <w:color w:val="000000"/>
                </w:rPr>
              </m:ctrlPr>
            </m:sSubPr>
            <m:e>
              <m:acc>
                <m:accPr>
                  <m:chr m:val="̅"/>
                  <m:ctrlPr>
                    <w:rPr>
                      <w:rFonts w:ascii="Cambria Math" w:eastAsia="Cambria" w:hAnsi="Cambria Math"/>
                      <w:i/>
                      <w:iCs/>
                      <w:color w:val="000000"/>
                    </w:rPr>
                  </m:ctrlPr>
                </m:accPr>
                <m:e>
                  <m:r>
                    <w:rPr>
                      <w:rFonts w:ascii="Cambria Math" w:hAnsi="Cambria Math" w:cs="Arial"/>
                      <w:color w:val="000000"/>
                    </w:rPr>
                    <m:t>P</m:t>
                  </m:r>
                </m:e>
              </m:acc>
            </m:e>
            <m:sub>
              <m:sSub>
                <m:sSubPr>
                  <m:ctrlPr>
                    <w:rPr>
                      <w:rFonts w:ascii="Cambria Math" w:eastAsia="Cambria" w:hAnsi="Cambria Math"/>
                      <w:i/>
                      <w:color w:val="000000"/>
                    </w:rPr>
                  </m:ctrlPr>
                </m:sSubPr>
                <m:e>
                  <m:r>
                    <w:rPr>
                      <w:rFonts w:ascii="Cambria Math" w:hAnsi="Cambria Math" w:cs="Arial"/>
                      <w:color w:val="000000"/>
                    </w:rPr>
                    <m:t>θ</m:t>
                  </m:r>
                </m:e>
                <m:sub>
                  <m:r>
                    <w:rPr>
                      <w:rFonts w:ascii="Cambria Math" w:hAnsi="Cambria Math" w:cs="Arial"/>
                      <w:color w:val="000000"/>
                    </w:rPr>
                    <m:t>L</m:t>
                  </m:r>
                </m:sub>
              </m:sSub>
              <m:sSub>
                <m:sSubPr>
                  <m:ctrlPr>
                    <w:rPr>
                      <w:rFonts w:ascii="Cambria Math" w:eastAsia="Cambria" w:hAnsi="Cambria Math"/>
                      <w:i/>
                      <w:color w:val="000000"/>
                    </w:rPr>
                  </m:ctrlPr>
                </m:sSubPr>
                <m:e>
                  <m:r>
                    <w:rPr>
                      <w:rFonts w:ascii="Cambria Math" w:hAnsi="Cambria Math" w:cs="Arial"/>
                      <w:color w:val="000000"/>
                    </w:rPr>
                    <m:t>θ</m:t>
                  </m:r>
                </m:e>
                <m:sub>
                  <m:r>
                    <w:rPr>
                      <w:rFonts w:ascii="Cambria Math" w:hAnsi="Cambria Math" w:cs="Arial"/>
                      <w:color w:val="000000"/>
                    </w:rPr>
                    <m:t>H</m:t>
                  </m:r>
                </m:sub>
              </m:sSub>
            </m:sub>
          </m:sSub>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limLoc m:val="undOvr"/>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sub>
            <m:sup>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sup>
            <m:e>
              <m:nary>
                <m:naryPr>
                  <m:limLoc m:val="undOvr"/>
                  <m:ctrlPr>
                    <w:rPr>
                      <w:rFonts w:ascii="Cambria Math" w:eastAsia="Cambria" w:hAnsi="Cambria Math"/>
                      <w:i/>
                      <w:iCs/>
                      <w:color w:val="000000"/>
                    </w:rPr>
                  </m:ctrlPr>
                </m:naryPr>
                <m:sub>
                  <m:r>
                    <w:rPr>
                      <w:rFonts w:ascii="Cambria Math" w:eastAsia="Cambria" w:hAnsi="Cambria Math" w:cs="Arial"/>
                      <w:color w:val="000000"/>
                    </w:rPr>
                    <m:t>-π</m:t>
                  </m:r>
                </m:sub>
                <m:sup>
                  <m:r>
                    <w:rPr>
                      <w:rFonts w:ascii="Cambria Math" w:eastAsia="Cambria" w:hAnsi="Cambria Math" w:cs="Arial"/>
                      <w:color w:val="000000"/>
                    </w:rPr>
                    <m:t>π</m:t>
                  </m:r>
                </m:sup>
                <m:e>
                  <m:acc>
                    <m:accPr>
                      <m:chr m:val="̅"/>
                      <m:ctrlPr>
                        <w:rPr>
                          <w:rFonts w:ascii="Cambria Math" w:eastAsia="SimSun" w:hAnsi="Cambria Math"/>
                          <w:i/>
                        </w:rPr>
                      </m:ctrlPr>
                    </m:accPr>
                    <m:e>
                      <m:r>
                        <w:rPr>
                          <w:rFonts w:ascii="Cambria Math" w:eastAsia="SimSun" w:hAnsi="Cambria Math"/>
                        </w:rPr>
                        <m:t>P</m:t>
                      </m:r>
                    </m:e>
                  </m:acc>
                  <m:d>
                    <m:dPr>
                      <m:ctrlPr>
                        <w:rPr>
                          <w:rFonts w:ascii="Cambria Math" w:eastAsia="Cambria" w:hAnsi="Cambria Math"/>
                          <w:i/>
                          <w:iCs/>
                          <w:color w:val="000000"/>
                        </w:rPr>
                      </m:ctrlPr>
                    </m:dPr>
                    <m:e>
                      <m:r>
                        <w:rPr>
                          <w:rFonts w:ascii="Cambria Math" w:hAnsi="Cambria Math" w:cs="Arial"/>
                          <w:color w:val="000000"/>
                        </w:rPr>
                        <m:t>θ,φ</m:t>
                      </m:r>
                    </m:e>
                  </m:d>
                  <m:r>
                    <w:rPr>
                      <w:rFonts w:ascii="Cambria Math" w:hAnsi="Cambria Math" w:cs="Arial"/>
                      <w:color w:val="000000"/>
                    </w:rPr>
                    <m:t xml:space="preserve"> 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dφ dθ</m:t>
                  </m:r>
                </m:e>
              </m:nary>
            </m:e>
          </m:nary>
        </m:oMath>
      </m:oMathPara>
    </w:p>
    <w:p w14:paraId="13B42018" w14:textId="7A889230" w:rsidR="007E09EA" w:rsidRDefault="00FB49D9" w:rsidP="009E26F6">
      <w:pPr>
        <w:pStyle w:val="BodyText"/>
      </w:pPr>
      <w:r>
        <w:t xml:space="preserve">, where </w:t>
      </w:r>
      <w:proofErr w:type="spellStart"/>
      <w:r w:rsidR="000E1A63" w:rsidRPr="00A11482">
        <w:rPr>
          <w:rFonts w:ascii="Cambria Math" w:hAnsi="Cambria Math"/>
          <w:i/>
          <w:iCs/>
        </w:rPr>
        <w:t>w</w:t>
      </w:r>
      <w:r w:rsidR="000E1A63" w:rsidRPr="00A11482">
        <w:rPr>
          <w:rFonts w:ascii="Cambria Math" w:hAnsi="Cambria Math"/>
          <w:i/>
          <w:iCs/>
          <w:vertAlign w:val="subscript"/>
        </w:rPr>
        <w:t>n</w:t>
      </w:r>
      <w:proofErr w:type="spellEnd"/>
      <w:r w:rsidR="000E1A63">
        <w:t xml:space="preserve"> refer </w:t>
      </w:r>
      <w:r w:rsidR="00CE4B02">
        <w:t>to the weight for the n</w:t>
      </w:r>
      <w:r w:rsidR="00847F4D">
        <w:t>-</w:t>
      </w:r>
      <w:proofErr w:type="spellStart"/>
      <w:r w:rsidR="00847F4D">
        <w:t>th</w:t>
      </w:r>
      <w:proofErr w:type="spellEnd"/>
      <w:r w:rsidR="00CE4B02">
        <w:t xml:space="preserve"> beamforming direction, </w:t>
      </w:r>
      <w:proofErr w:type="spellStart"/>
      <w:proofErr w:type="gramStart"/>
      <w:r w:rsidR="0079382D" w:rsidRPr="00A11482">
        <w:rPr>
          <w:rFonts w:ascii="Cambria Math" w:hAnsi="Cambria Math"/>
          <w:i/>
          <w:iCs/>
        </w:rPr>
        <w:t>P</w:t>
      </w:r>
      <w:r w:rsidR="00700A14" w:rsidRPr="00A11482">
        <w:rPr>
          <w:rFonts w:ascii="Cambria Math" w:hAnsi="Cambria Math"/>
          <w:i/>
          <w:iCs/>
          <w:vertAlign w:val="subscript"/>
        </w:rPr>
        <w:t>n</w:t>
      </w:r>
      <w:proofErr w:type="spellEnd"/>
      <w:r w:rsidR="00700A14" w:rsidRPr="00A11482">
        <w:rPr>
          <w:i/>
          <w:iCs/>
        </w:rPr>
        <w:t>(</w:t>
      </w:r>
      <w:proofErr w:type="gramEnd"/>
      <w:r w:rsidR="00700A14" w:rsidRPr="00A11482">
        <w:rPr>
          <w:rFonts w:ascii="Symbol" w:hAnsi="Symbol"/>
          <w:i/>
          <w:iCs/>
        </w:rPr>
        <w:t>q</w:t>
      </w:r>
      <w:r w:rsidR="00700A14" w:rsidRPr="00A11482">
        <w:rPr>
          <w:i/>
          <w:iCs/>
        </w:rPr>
        <w:t>,</w:t>
      </w:r>
      <w:r w:rsidR="00700A14" w:rsidRPr="00A11482">
        <w:rPr>
          <w:rFonts w:ascii="Symbol" w:hAnsi="Symbol"/>
          <w:i/>
          <w:iCs/>
        </w:rPr>
        <w:t>j</w:t>
      </w:r>
      <w:r w:rsidR="00700A14" w:rsidRPr="00A11482">
        <w:rPr>
          <w:i/>
          <w:iCs/>
        </w:rPr>
        <w:t>)</w:t>
      </w:r>
      <w:r w:rsidR="00700A14">
        <w:t xml:space="preserve"> is the </w:t>
      </w:r>
      <w:r w:rsidR="00785330">
        <w:t>EIRP pattern</w:t>
      </w:r>
      <w:r w:rsidR="00AB09FB">
        <w:t xml:space="preserve"> for the n</w:t>
      </w:r>
      <w:r w:rsidR="00847F4D">
        <w:t>-</w:t>
      </w:r>
      <w:proofErr w:type="spellStart"/>
      <w:r w:rsidR="00AB09FB">
        <w:t>th</w:t>
      </w:r>
      <w:proofErr w:type="spellEnd"/>
      <w:r w:rsidR="00AB09FB">
        <w:t xml:space="preserve"> beamforming direction</w:t>
      </w:r>
      <w:r w:rsidR="000F6AA6">
        <w:t xml:space="preserve"> and the vertical angle measurement window is defined by </w:t>
      </w:r>
      <w:r w:rsidR="000F6AA6" w:rsidRPr="00A11482">
        <w:rPr>
          <w:rFonts w:ascii="Symbol" w:hAnsi="Symbol"/>
          <w:i/>
          <w:iCs/>
        </w:rPr>
        <w:t>q</w:t>
      </w:r>
      <w:r w:rsidR="008F42DB" w:rsidRPr="00A11482">
        <w:rPr>
          <w:i/>
          <w:iCs/>
          <w:vertAlign w:val="subscript"/>
        </w:rPr>
        <w:t>L</w:t>
      </w:r>
      <w:r w:rsidR="008F42DB" w:rsidRPr="00A11482">
        <w:rPr>
          <w:i/>
          <w:iCs/>
          <w:u w:val="single"/>
        </w:rPr>
        <w:t>&lt;</w:t>
      </w:r>
      <w:r w:rsidR="008F42DB" w:rsidRPr="00A11482">
        <w:rPr>
          <w:rFonts w:ascii="Symbol" w:hAnsi="Symbol"/>
          <w:i/>
          <w:iCs/>
        </w:rPr>
        <w:t>q</w:t>
      </w:r>
      <w:r w:rsidR="008F42DB" w:rsidRPr="00A11482">
        <w:rPr>
          <w:i/>
          <w:iCs/>
        </w:rPr>
        <w:t>&lt;</w:t>
      </w:r>
      <w:r w:rsidR="008F42DB" w:rsidRPr="00A11482">
        <w:rPr>
          <w:rFonts w:ascii="Symbol" w:hAnsi="Symbol"/>
          <w:i/>
          <w:iCs/>
        </w:rPr>
        <w:t>q</w:t>
      </w:r>
      <w:r w:rsidR="008F42DB" w:rsidRPr="00A11482">
        <w:rPr>
          <w:i/>
          <w:iCs/>
          <w:vertAlign w:val="subscript"/>
        </w:rPr>
        <w:t>H</w:t>
      </w:r>
      <w:r w:rsidR="008F42DB">
        <w:t xml:space="preserve">. </w:t>
      </w:r>
      <w:r w:rsidR="00904E28">
        <w:t xml:space="preserve">More </w:t>
      </w:r>
      <w:r w:rsidR="00884A2A">
        <w:t>information related to the details of the definition can be found in [</w:t>
      </w:r>
      <w:r w:rsidR="00C11915">
        <w:t>7</w:t>
      </w:r>
      <w:r w:rsidR="00532B01">
        <w:t>].</w:t>
      </w:r>
    </w:p>
    <w:p w14:paraId="59904D07" w14:textId="4199382B" w:rsidR="009E26F6" w:rsidRDefault="009E26F6" w:rsidP="009E26F6">
      <w:pPr>
        <w:pStyle w:val="BodyText"/>
      </w:pPr>
      <w:r>
        <w:t xml:space="preserve">Introducing a requirement </w:t>
      </w:r>
      <w:r w:rsidR="004B7145">
        <w:t xml:space="preserve">based on expected EIRP </w:t>
      </w:r>
      <w:r>
        <w:t xml:space="preserve">has implications on </w:t>
      </w:r>
      <w:r w:rsidR="00611F2C">
        <w:t xml:space="preserve">standardization </w:t>
      </w:r>
      <w:r w:rsidR="00917BE3">
        <w:t xml:space="preserve">(BS RF core and </w:t>
      </w:r>
      <w:r>
        <w:t>conformance testing</w:t>
      </w:r>
      <w:r w:rsidR="00076F81">
        <w:t xml:space="preserve"> including </w:t>
      </w:r>
      <w:r>
        <w:t>vendor declarations</w:t>
      </w:r>
      <w:r w:rsidR="00917BE3">
        <w:t>)</w:t>
      </w:r>
      <w:r>
        <w:t xml:space="preserve"> and how operators configure </w:t>
      </w:r>
      <w:r w:rsidR="00ED0590">
        <w:t xml:space="preserve">(e.g., mechanical tilt) </w:t>
      </w:r>
      <w:r>
        <w:t>the base stations</w:t>
      </w:r>
      <w:r w:rsidR="00917BE3">
        <w:t xml:space="preserve"> in networks</w:t>
      </w:r>
      <w:r>
        <w:t>.</w:t>
      </w:r>
    </w:p>
    <w:p w14:paraId="0FE7F590" w14:textId="77777777" w:rsidR="009E26F6" w:rsidRDefault="009E26F6" w:rsidP="00DA232A">
      <w:r>
        <w:t>The work related to RAN4 can be summarized as:</w:t>
      </w:r>
    </w:p>
    <w:p w14:paraId="0390C64E" w14:textId="536FA923" w:rsidR="0067665E" w:rsidRDefault="0098031E" w:rsidP="00D51BDF">
      <w:pPr>
        <w:pStyle w:val="ListParagraph"/>
        <w:numPr>
          <w:ilvl w:val="0"/>
          <w:numId w:val="11"/>
        </w:numPr>
      </w:pPr>
      <w:r>
        <w:t xml:space="preserve">The expected EIRP is the merit </w:t>
      </w:r>
      <w:r w:rsidR="00B21E82">
        <w:t>used by the requirement (</w:t>
      </w:r>
      <w:r w:rsidR="0067665E">
        <w:t>e.g.,</w:t>
      </w:r>
      <w:r w:rsidR="00B21E82">
        <w:t xml:space="preserve"> similar as EIRP and TRP used for other requirements)</w:t>
      </w:r>
      <w:r w:rsidR="003E0CFA">
        <w:t xml:space="preserve">. This new requirement </w:t>
      </w:r>
      <w:r w:rsidR="0067665E">
        <w:t>requires</w:t>
      </w:r>
      <w:r w:rsidR="003E0CFA">
        <w:t xml:space="preserve"> a new entry in the specifications</w:t>
      </w:r>
      <w:r w:rsidR="0067665E">
        <w:t xml:space="preserve"> and therefore we need a name/heading for the requirement.</w:t>
      </w:r>
    </w:p>
    <w:p w14:paraId="5FAE10CD" w14:textId="01DA2949" w:rsidR="009469E1" w:rsidRDefault="000C44EB" w:rsidP="00D51BDF">
      <w:pPr>
        <w:pStyle w:val="ListParagraph"/>
        <w:numPr>
          <w:ilvl w:val="0"/>
          <w:numId w:val="11"/>
        </w:numPr>
      </w:pPr>
      <w:r>
        <w:t>The requirement will be applicable for band n104</w:t>
      </w:r>
      <w:r w:rsidR="0097220F">
        <w:t xml:space="preserve"> and BS type 1-H and BS type 1-O.</w:t>
      </w:r>
    </w:p>
    <w:p w14:paraId="22DC44D0" w14:textId="3210099F" w:rsidR="000210A2" w:rsidRDefault="008C79B2" w:rsidP="00DA232A">
      <w:pPr>
        <w:pStyle w:val="ListParagraph"/>
        <w:numPr>
          <w:ilvl w:val="0"/>
          <w:numId w:val="11"/>
        </w:numPr>
      </w:pPr>
      <w:r>
        <w:t>For conformance testing d</w:t>
      </w:r>
      <w:r w:rsidR="009E26F6">
        <w:t>ef</w:t>
      </w:r>
      <w:r>
        <w:t>ine</w:t>
      </w:r>
      <w:r w:rsidR="009E26F6">
        <w:t xml:space="preserve"> necessary manufacturer declarations. </w:t>
      </w:r>
    </w:p>
    <w:p w14:paraId="33DE0B97" w14:textId="2E0CA6C2" w:rsidR="00BE12E6" w:rsidRDefault="009E26F6" w:rsidP="00A11482">
      <w:pPr>
        <w:pStyle w:val="ListParagraph"/>
        <w:numPr>
          <w:ilvl w:val="0"/>
          <w:numId w:val="12"/>
        </w:numPr>
        <w:ind w:left="1418" w:hanging="425"/>
      </w:pPr>
      <w:r>
        <w:t>Number of beam</w:t>
      </w:r>
      <w:r w:rsidR="0004058B">
        <w:t>s</w:t>
      </w:r>
      <w:r w:rsidR="00C43182">
        <w:t xml:space="preserve">, </w:t>
      </w:r>
      <w:proofErr w:type="gramStart"/>
      <w:r w:rsidR="00C43182" w:rsidRPr="00A11482">
        <w:rPr>
          <w:rFonts w:ascii="Cambria Math" w:hAnsi="Cambria Math"/>
          <w:i/>
          <w:iCs/>
        </w:rPr>
        <w:t>N</w:t>
      </w:r>
      <w:proofErr w:type="gramEnd"/>
      <w:r>
        <w:t xml:space="preserve"> and specific details on corresponding </w:t>
      </w:r>
      <w:r w:rsidR="0004058B">
        <w:t xml:space="preserve">beam direction </w:t>
      </w:r>
      <w:r>
        <w:t>angles.</w:t>
      </w:r>
    </w:p>
    <w:p w14:paraId="46063048" w14:textId="6F8065D3" w:rsidR="00BE12E6" w:rsidRDefault="00E432A6" w:rsidP="00A11482">
      <w:pPr>
        <w:pStyle w:val="ListParagraph"/>
        <w:numPr>
          <w:ilvl w:val="0"/>
          <w:numId w:val="12"/>
        </w:numPr>
        <w:ind w:left="1418" w:hanging="425"/>
      </w:pPr>
      <w:r>
        <w:t xml:space="preserve">Placement of beam directions within the OTA coverage range and find relations to beam probability </w:t>
      </w:r>
      <w:r w:rsidR="009C2287">
        <w:t xml:space="preserve">factor </w:t>
      </w:r>
      <w:proofErr w:type="spellStart"/>
      <w:r w:rsidR="004A7D07" w:rsidRPr="00A11482">
        <w:rPr>
          <w:rFonts w:ascii="Cambria Math" w:hAnsi="Cambria Math"/>
          <w:i/>
          <w:iCs/>
        </w:rPr>
        <w:t>w</w:t>
      </w:r>
      <w:r w:rsidR="007C4355" w:rsidRPr="00A11482">
        <w:rPr>
          <w:rFonts w:ascii="Cambria Math" w:hAnsi="Cambria Math"/>
          <w:i/>
          <w:iCs/>
          <w:vertAlign w:val="subscript"/>
        </w:rPr>
        <w:t>n</w:t>
      </w:r>
      <w:proofErr w:type="spellEnd"/>
      <w:r w:rsidR="006A52BA">
        <w:t xml:space="preserve"> defined in the beam averaging </w:t>
      </w:r>
      <w:r w:rsidR="00D51BDF">
        <w:t>stage.</w:t>
      </w:r>
    </w:p>
    <w:p w14:paraId="0F9DA2DA" w14:textId="645B9B18" w:rsidR="00936A40" w:rsidRDefault="00A94E80" w:rsidP="00DA232A">
      <w:pPr>
        <w:pStyle w:val="ListParagraph"/>
        <w:numPr>
          <w:ilvl w:val="0"/>
          <w:numId w:val="11"/>
        </w:numPr>
      </w:pPr>
      <w:r>
        <w:t>Describe a</w:t>
      </w:r>
      <w:r w:rsidR="007438A2">
        <w:t>n</w:t>
      </w:r>
      <w:r>
        <w:t xml:space="preserve"> OTA test environment, including test setup, test range and calibration procedures.</w:t>
      </w:r>
    </w:p>
    <w:p w14:paraId="4FCFA533" w14:textId="230EA3A3" w:rsidR="00A94E80" w:rsidRDefault="007438A2" w:rsidP="00DA232A">
      <w:pPr>
        <w:pStyle w:val="ListParagraph"/>
        <w:numPr>
          <w:ilvl w:val="0"/>
          <w:numId w:val="11"/>
        </w:numPr>
      </w:pPr>
      <w:r>
        <w:t>Define initial conditions (Test environment, RF channels, RF bandwidth positions for MB and CA).</w:t>
      </w:r>
    </w:p>
    <w:p w14:paraId="144F5C98" w14:textId="529B0F22" w:rsidR="007438A2" w:rsidRDefault="007438A2" w:rsidP="00DA232A">
      <w:pPr>
        <w:pStyle w:val="ListParagraph"/>
        <w:numPr>
          <w:ilvl w:val="0"/>
          <w:numId w:val="11"/>
        </w:numPr>
      </w:pPr>
      <w:r>
        <w:t>Define</w:t>
      </w:r>
      <w:r w:rsidR="00E84E5A">
        <w:t xml:space="preserve"> test </w:t>
      </w:r>
      <w:r w:rsidR="00C27F2A">
        <w:t>configurations.</w:t>
      </w:r>
    </w:p>
    <w:p w14:paraId="01D601EB" w14:textId="4DBFCAEC" w:rsidR="00E84E5A" w:rsidRDefault="00E84E5A" w:rsidP="00DA232A">
      <w:pPr>
        <w:pStyle w:val="ListParagraph"/>
        <w:numPr>
          <w:ilvl w:val="0"/>
          <w:numId w:val="11"/>
        </w:numPr>
      </w:pPr>
      <w:r>
        <w:t>Define criteria for maximum</w:t>
      </w:r>
      <w:r w:rsidR="00C27F2A">
        <w:t xml:space="preserve"> spatial EIRP sampling resolution. </w:t>
      </w:r>
    </w:p>
    <w:p w14:paraId="1856BA75" w14:textId="559D539D" w:rsidR="009E26F6" w:rsidRDefault="009E26F6" w:rsidP="00DA232A">
      <w:pPr>
        <w:pStyle w:val="ListParagraph"/>
        <w:numPr>
          <w:ilvl w:val="0"/>
          <w:numId w:val="11"/>
        </w:numPr>
      </w:pPr>
      <w:r>
        <w:t xml:space="preserve">Defining post processing </w:t>
      </w:r>
      <w:r w:rsidR="005D224C">
        <w:t>stages (average</w:t>
      </w:r>
      <w:r w:rsidR="0026734F">
        <w:t xml:space="preserve"> over beams</w:t>
      </w:r>
      <w:r w:rsidR="005D224C">
        <w:t>, average</w:t>
      </w:r>
      <w:r w:rsidR="0026734F">
        <w:t xml:space="preserve"> over horizontal angles</w:t>
      </w:r>
      <w:r w:rsidR="00ED7E72">
        <w:t xml:space="preserve"> and average</w:t>
      </w:r>
      <w:r w:rsidR="0026734F">
        <w:t xml:space="preserve"> within bins</w:t>
      </w:r>
      <w:r w:rsidR="005D224C">
        <w:t xml:space="preserve">) </w:t>
      </w:r>
      <w:r>
        <w:t xml:space="preserve">required to calculate the expected EIRP mask based on </w:t>
      </w:r>
      <w:r w:rsidR="00912C3D">
        <w:t xml:space="preserve">spatial measured </w:t>
      </w:r>
      <w:r>
        <w:t>discrete EIRP samples.</w:t>
      </w:r>
    </w:p>
    <w:p w14:paraId="48C8A669" w14:textId="3C919837" w:rsidR="00C27F2A" w:rsidRDefault="00C27F2A" w:rsidP="00DA232A">
      <w:pPr>
        <w:pStyle w:val="ListParagraph"/>
        <w:numPr>
          <w:ilvl w:val="0"/>
          <w:numId w:val="11"/>
        </w:numPr>
      </w:pPr>
      <w:r>
        <w:t xml:space="preserve">Conduct </w:t>
      </w:r>
      <w:r w:rsidR="00DF0262">
        <w:t>measurement uncertainty</w:t>
      </w:r>
      <w:r>
        <w:t xml:space="preserve"> evaluation</w:t>
      </w:r>
      <w:r w:rsidR="00DF0262">
        <w:t>.</w:t>
      </w:r>
    </w:p>
    <w:p w14:paraId="38ABC370" w14:textId="32658D01" w:rsidR="00054314" w:rsidRDefault="00D21FDE" w:rsidP="00810349">
      <w:r>
        <w:t xml:space="preserve">Some of the conformance aspects to be defined by RAN4 is </w:t>
      </w:r>
      <w:r w:rsidR="00810349">
        <w:t>visualised</w:t>
      </w:r>
      <w:r>
        <w:t xml:space="preserve"> in Figure 2-2. </w:t>
      </w:r>
      <w:r w:rsidR="00846DB7">
        <w:t xml:space="preserve">The expected EIRP profile is </w:t>
      </w:r>
      <w:r w:rsidR="00810349">
        <w:t>visualised</w:t>
      </w:r>
      <w:r w:rsidR="00846DB7">
        <w:t xml:space="preserve"> </w:t>
      </w:r>
      <w:r w:rsidR="00810349">
        <w:t>together</w:t>
      </w:r>
      <w:r w:rsidR="00846DB7">
        <w:t xml:space="preserve"> with </w:t>
      </w:r>
      <w:r w:rsidR="003564F5">
        <w:t xml:space="preserve">EIRP </w:t>
      </w:r>
      <w:r w:rsidR="00846DB7">
        <w:t>measurement grid</w:t>
      </w:r>
      <w:r w:rsidR="003564F5">
        <w:t xml:space="preserve">, additional beam directions and 3GPP </w:t>
      </w:r>
      <w:r w:rsidR="00810349">
        <w:t xml:space="preserve">OTA coverage range. </w:t>
      </w:r>
    </w:p>
    <w:p w14:paraId="5E4331A4" w14:textId="2800A8D5" w:rsidR="00890260" w:rsidRDefault="00054314" w:rsidP="00054314">
      <w:pPr>
        <w:pStyle w:val="BodyText"/>
        <w:jc w:val="center"/>
      </w:pPr>
      <w:r w:rsidRPr="00054314">
        <w:rPr>
          <w:noProof/>
        </w:rPr>
        <w:lastRenderedPageBreak/>
        <w:drawing>
          <wp:inline distT="0" distB="0" distL="0" distR="0" wp14:anchorId="71699775" wp14:editId="5A0FAE26">
            <wp:extent cx="2174367" cy="247562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3272" cy="2485767"/>
                    </a:xfrm>
                    <a:prstGeom prst="rect">
                      <a:avLst/>
                    </a:prstGeom>
                    <a:noFill/>
                    <a:ln>
                      <a:noFill/>
                    </a:ln>
                  </pic:spPr>
                </pic:pic>
              </a:graphicData>
            </a:graphic>
          </wp:inline>
        </w:drawing>
      </w:r>
    </w:p>
    <w:p w14:paraId="47AB732A" w14:textId="5039CAE7" w:rsidR="00890260" w:rsidRDefault="00890260" w:rsidP="00890260">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Conformance test aspects</w:t>
      </w:r>
    </w:p>
    <w:p w14:paraId="4BEB170A" w14:textId="6C5B94F7" w:rsidR="009E26F6" w:rsidRDefault="009E26F6" w:rsidP="009E26F6">
      <w:pPr>
        <w:pStyle w:val="BodyText"/>
      </w:pPr>
      <w:r>
        <w:t xml:space="preserve">The post processing </w:t>
      </w:r>
      <w:r w:rsidR="00B641C8">
        <w:t>stages,</w:t>
      </w:r>
      <w:r w:rsidR="007D0B08">
        <w:t xml:space="preserve"> and corresponding information </w:t>
      </w:r>
      <w:r>
        <w:t xml:space="preserve">needs to be captured </w:t>
      </w:r>
      <w:r w:rsidR="007D0B08">
        <w:t xml:space="preserve">a normative annex </w:t>
      </w:r>
      <w:r>
        <w:t xml:space="preserve">in RAN4 BS RF conformance test specification in similar manner as for test methods related to measuring </w:t>
      </w:r>
      <w:r w:rsidR="009B4895">
        <w:t xml:space="preserve">BS output power </w:t>
      </w:r>
      <w:r>
        <w:t>TRP</w:t>
      </w:r>
      <w:r w:rsidR="009B4895">
        <w:t xml:space="preserve"> and unwanted emission TRP</w:t>
      </w:r>
      <w:r>
        <w:t>.</w:t>
      </w:r>
    </w:p>
    <w:p w14:paraId="14DFA68A" w14:textId="2C44E76A" w:rsidR="009E26F6" w:rsidRDefault="00C04D6D" w:rsidP="009E26F6">
      <w:pPr>
        <w:pStyle w:val="BodyText"/>
      </w:pPr>
      <w:r>
        <w:t>Based on the decision that WRC-23 will adopt the expected EIRP mask condition</w:t>
      </w:r>
      <w:r w:rsidR="00FA4E13">
        <w:t>, t</w:t>
      </w:r>
      <w:r w:rsidR="009E26F6">
        <w:t xml:space="preserve">he </w:t>
      </w:r>
      <w:r w:rsidR="00FA4E13">
        <w:t xml:space="preserve">proposed </w:t>
      </w:r>
      <w:r w:rsidR="009E26F6">
        <w:t xml:space="preserve">work </w:t>
      </w:r>
      <w:r w:rsidR="00FA4E13">
        <w:t xml:space="preserve">package </w:t>
      </w:r>
      <w:r w:rsidR="009E26F6">
        <w:t>will prepare RAN4 for</w:t>
      </w:r>
      <w:r w:rsidR="00B641C8">
        <w:t xml:space="preserve"> </w:t>
      </w:r>
      <w:r w:rsidR="00FA4E13">
        <w:t xml:space="preserve">a </w:t>
      </w:r>
      <w:r w:rsidR="00B641C8">
        <w:t xml:space="preserve">request from regulators to include the </w:t>
      </w:r>
      <w:r w:rsidR="0003094D">
        <w:t xml:space="preserve">requirement in BS RF core specification </w:t>
      </w:r>
      <w:r w:rsidR="001541A4">
        <w:t xml:space="preserve">(TS 38.104) </w:t>
      </w:r>
      <w:r w:rsidR="0003094D">
        <w:t>and BS conformance test specification</w:t>
      </w:r>
      <w:r w:rsidR="001541A4">
        <w:t xml:space="preserve"> (TS 38.141-2)</w:t>
      </w:r>
      <w:r w:rsidR="0003094D">
        <w:t>.</w:t>
      </w:r>
      <w:r w:rsidR="009E26F6">
        <w:t xml:space="preserve"> The concept as such for conformance is general and could be adopted to other spectrum situations as appropriate</w:t>
      </w:r>
      <w:r w:rsidR="00767C7A">
        <w:t xml:space="preserve">, while the RF core requirement is unique for a specific </w:t>
      </w:r>
      <w:r w:rsidR="008D56D9">
        <w:t>spectrum situation.</w:t>
      </w:r>
      <w:r w:rsidR="009E26F6">
        <w:t xml:space="preserve"> Conformance test aspects is not discussed in ITU-R. It would be beneficial for the industry if RAN4 develops a harmonized conformance specification that can be used for situations where </w:t>
      </w:r>
      <w:r w:rsidR="008D56D9">
        <w:t>such</w:t>
      </w:r>
      <w:r w:rsidR="009E26F6">
        <w:t xml:space="preserve"> requirements will be applicable. </w:t>
      </w:r>
    </w:p>
    <w:p w14:paraId="6304AFAF" w14:textId="77777777" w:rsidR="009E26F6" w:rsidRDefault="009E26F6" w:rsidP="009E26F6">
      <w:pPr>
        <w:pStyle w:val="BodyText"/>
      </w:pPr>
      <w:r>
        <w:t>This work may well be useful for other spectrum in the future, and it is of importance for 3GPP to be prepared with a measurement solution.</w:t>
      </w:r>
    </w:p>
    <w:p w14:paraId="45D4A537" w14:textId="77777777" w:rsidR="009E26F6" w:rsidRDefault="009E26F6" w:rsidP="009E26F6">
      <w:pPr>
        <w:pStyle w:val="BodyText"/>
      </w:pPr>
    </w:p>
    <w:p w14:paraId="09D30441" w14:textId="1F1D22DB" w:rsidR="009E26F6" w:rsidRPr="009A5917" w:rsidRDefault="009C3C27" w:rsidP="009A5917">
      <w:pPr>
        <w:pStyle w:val="BodyText"/>
        <w:numPr>
          <w:ilvl w:val="1"/>
          <w:numId w:val="5"/>
        </w:numPr>
        <w:ind w:hanging="720"/>
        <w:rPr>
          <w:rFonts w:ascii="Arial" w:hAnsi="Arial" w:cs="Arial"/>
          <w:sz w:val="28"/>
          <w:szCs w:val="28"/>
        </w:rPr>
      </w:pPr>
      <w:r>
        <w:rPr>
          <w:rFonts w:ascii="Arial" w:hAnsi="Arial" w:cs="Arial"/>
          <w:sz w:val="28"/>
          <w:szCs w:val="28"/>
        </w:rPr>
        <w:t xml:space="preserve">WP2: </w:t>
      </w:r>
      <w:r w:rsidR="008E384B">
        <w:rPr>
          <w:rFonts w:ascii="Arial" w:hAnsi="Arial" w:cs="Arial"/>
          <w:sz w:val="28"/>
          <w:szCs w:val="28"/>
        </w:rPr>
        <w:t xml:space="preserve">Consolidation of AAS </w:t>
      </w:r>
      <w:r w:rsidR="009E26F6" w:rsidRPr="009A5917">
        <w:rPr>
          <w:rFonts w:ascii="Arial" w:hAnsi="Arial" w:cs="Arial"/>
          <w:sz w:val="28"/>
          <w:szCs w:val="28"/>
        </w:rPr>
        <w:t>BS simulation assumptions</w:t>
      </w:r>
    </w:p>
    <w:p w14:paraId="594C81EA" w14:textId="75B5E50A" w:rsidR="0089654A" w:rsidRDefault="00A34F6C" w:rsidP="00A11482">
      <w:r w:rsidRPr="00A34F6C">
        <w:t xml:space="preserve">In the ITU-R WP 5D work measured antenna patterns have been presented by multiple BS manufacturers. The conclusion was that the modelled pattern based on </w:t>
      </w:r>
      <w:r w:rsidR="0089654A">
        <w:t xml:space="preserve">old </w:t>
      </w:r>
      <w:r w:rsidRPr="00A34F6C">
        <w:t>information from RAN4 didn’t match measured pattern from base stations deployed in networks. To model the base stations in a reasonable fashion an array antenna model extension was provide by RAN4 in a LS to ITU-R [4]</w:t>
      </w:r>
      <w:r w:rsidR="0089654A">
        <w:t xml:space="preserve"> to address this concern</w:t>
      </w:r>
      <w:r w:rsidRPr="00A34F6C">
        <w:t>. The model extension added the possibility to model sub-array structures properly</w:t>
      </w:r>
      <w:r w:rsidR="007C56AB">
        <w:t xml:space="preserve"> and is currently being used by ITU-R/ CEPT for various sharing studies</w:t>
      </w:r>
      <w:r w:rsidRPr="00A34F6C">
        <w:t xml:space="preserve">. </w:t>
      </w:r>
    </w:p>
    <w:p w14:paraId="7F56D9D9" w14:textId="05AFCAAA" w:rsidR="009E26F6" w:rsidRDefault="0089654A" w:rsidP="0089654A">
      <w:r>
        <w:t>Within the various reports in 3GPP, i</w:t>
      </w:r>
      <w:r w:rsidR="00A34F6C" w:rsidRPr="00A34F6C">
        <w:t>t has also been noticed that antenna parameters used does not really reflect antennas used for implementations. Currently, the AAS BS antenna parameters are described in many different technical reports in a non-consistent manner</w:t>
      </w:r>
      <w:r>
        <w:t xml:space="preserve"> with </w:t>
      </w:r>
      <w:r w:rsidR="009E26F6">
        <w:t xml:space="preserve">the simulation assumptions related to modelling an AAS BS antennas is scattered in many technical reports in RAN1 and RAN4. </w:t>
      </w:r>
    </w:p>
    <w:p w14:paraId="3A175B55" w14:textId="6B5838BA" w:rsidR="009E26F6" w:rsidRDefault="009E26F6" w:rsidP="009E26F6">
      <w:pPr>
        <w:pStyle w:val="BodyText"/>
      </w:pPr>
      <w:r>
        <w:t>In current</w:t>
      </w:r>
      <w:r w:rsidR="00367781">
        <w:t>ly used</w:t>
      </w:r>
      <w:r>
        <w:t xml:space="preserve"> technical reports </w:t>
      </w:r>
      <w:r w:rsidR="00367781">
        <w:t xml:space="preserve">(TR 37.840, </w:t>
      </w:r>
      <w:r w:rsidR="00663E3D">
        <w:t xml:space="preserve">TR 38.803, </w:t>
      </w:r>
      <w:r w:rsidR="00367781">
        <w:t>TR 38.820</w:t>
      </w:r>
      <w:r w:rsidR="00663E3D">
        <w:t xml:space="preserve"> to mention </w:t>
      </w:r>
      <w:r w:rsidR="00FB4474">
        <w:t>few</w:t>
      </w:r>
      <w:r w:rsidR="00367781">
        <w:t xml:space="preserve">) </w:t>
      </w:r>
      <w:r>
        <w:t>the antenna parameters have many times been selected in a way which would result in a significantly large gain normalization</w:t>
      </w:r>
      <w:r w:rsidR="00663E3D">
        <w:t xml:space="preserve"> error</w:t>
      </w:r>
      <w:r w:rsidR="0060599B">
        <w:t>.</w:t>
      </w:r>
      <w:r>
        <w:t xml:space="preserve"> </w:t>
      </w:r>
      <w:r w:rsidR="00E32397">
        <w:t>It would be appropriate to have a</w:t>
      </w:r>
      <w:r>
        <w:t xml:space="preserve"> more detail</w:t>
      </w:r>
      <w:r w:rsidR="00E32397">
        <w:t>ed</w:t>
      </w:r>
      <w:r>
        <w:t xml:space="preserve"> </w:t>
      </w:r>
      <w:r w:rsidR="00E32397">
        <w:t>description</w:t>
      </w:r>
      <w:r>
        <w:t xml:space="preserve"> on how the model works and how parameters </w:t>
      </w:r>
      <w:r w:rsidR="00AD75BF">
        <w:t>can be determined</w:t>
      </w:r>
      <w:r>
        <w:t xml:space="preserve"> </w:t>
      </w:r>
      <w:r w:rsidR="00B56002">
        <w:t xml:space="preserve">documented in </w:t>
      </w:r>
      <w:r w:rsidR="00FA7C4C">
        <w:t>RAN4.</w:t>
      </w:r>
      <w:r>
        <w:t xml:space="preserve"> </w:t>
      </w:r>
      <w:r w:rsidR="0089654A">
        <w:t xml:space="preserve">Thus, it is important to reflect these details appropriately in a technical report for consistency aligning with </w:t>
      </w:r>
      <w:r w:rsidR="007C56AB">
        <w:t xml:space="preserve">current </w:t>
      </w:r>
      <w:r w:rsidR="0089654A">
        <w:t>base station implementations</w:t>
      </w:r>
      <w:r w:rsidR="007C56AB">
        <w:t xml:space="preserve"> what has been provided to ITU-R. Furthermore, t</w:t>
      </w:r>
      <w:r>
        <w:t xml:space="preserve">here is a need to collect information in a common technical report to be used by 3GPP and externally by </w:t>
      </w:r>
      <w:r w:rsidR="00375BA3">
        <w:t xml:space="preserve">other groups (e.g., </w:t>
      </w:r>
      <w:r>
        <w:t>ITU-R</w:t>
      </w:r>
      <w:r w:rsidR="00375BA3">
        <w:t xml:space="preserve">, </w:t>
      </w:r>
      <w:r>
        <w:t>CEPT</w:t>
      </w:r>
      <w:r w:rsidR="00375BA3">
        <w:t>, other)</w:t>
      </w:r>
      <w:r>
        <w:t xml:space="preserve">.  </w:t>
      </w:r>
    </w:p>
    <w:p w14:paraId="2D17AEA3" w14:textId="5313A3B1" w:rsidR="009E26F6" w:rsidRDefault="009E26F6" w:rsidP="00C80742">
      <w:r>
        <w:t>There is also a need to add missing information relevant for modelling out-of-carrier gain roll-off needed for adjacent services coexistence simulations within the scope of ECC and ITU-R.</w:t>
      </w:r>
      <w:r w:rsidR="004F5312">
        <w:t xml:space="preserve"> Define roll-off characteristics for the array correlation factor from the edge of the carrier (</w:t>
      </w:r>
      <w:r w:rsidR="004F5312" w:rsidRPr="00711061">
        <w:rPr>
          <w:rFonts w:ascii="Symbol" w:hAnsi="Symbol"/>
        </w:rPr>
        <w:t></w:t>
      </w:r>
      <w:r w:rsidR="004F5312">
        <w:t>=1) to when the array factor collapses to 1 (</w:t>
      </w:r>
      <w:r w:rsidR="004F5312" w:rsidRPr="00711061">
        <w:rPr>
          <w:rFonts w:ascii="Symbol" w:hAnsi="Symbol"/>
        </w:rPr>
        <w:t></w:t>
      </w:r>
      <w:r w:rsidR="004F5312">
        <w:t xml:space="preserve">=0). The model in TR 37.840, defines </w:t>
      </w:r>
      <w:r w:rsidR="004F5312" w:rsidRPr="00711061">
        <w:rPr>
          <w:rFonts w:ascii="Symbol" w:hAnsi="Symbol"/>
        </w:rPr>
        <w:t></w:t>
      </w:r>
      <w:r w:rsidR="004F5312">
        <w:t xml:space="preserve">, but gives no indications on how the roll-off characteristics can be modelled. This information is essential for sharing studies in situations where the victim service is operating in the adjacent channel. </w:t>
      </w:r>
    </w:p>
    <w:p w14:paraId="00936621" w14:textId="71F2C42B" w:rsidR="009E26F6" w:rsidRDefault="009E26F6" w:rsidP="009E26F6">
      <w:pPr>
        <w:pStyle w:val="BodyText"/>
      </w:pPr>
      <w:r>
        <w:lastRenderedPageBreak/>
        <w:t xml:space="preserve">The work </w:t>
      </w:r>
      <w:r w:rsidR="0004378E">
        <w:t>required to create a common technical report</w:t>
      </w:r>
      <w:r w:rsidR="009E56EC">
        <w:t xml:space="preserve"> (</w:t>
      </w:r>
      <w:r w:rsidR="001636AB">
        <w:t xml:space="preserve">A </w:t>
      </w:r>
      <w:r w:rsidR="009E56EC">
        <w:t>TR xy.900 series</w:t>
      </w:r>
      <w:r w:rsidR="0012737E">
        <w:t xml:space="preserve"> to be used as </w:t>
      </w:r>
      <w:r w:rsidR="00973CDE">
        <w:t>external reference</w:t>
      </w:r>
      <w:r w:rsidR="009E56EC">
        <w:t xml:space="preserve">) </w:t>
      </w:r>
      <w:r>
        <w:t xml:space="preserve">consists of three </w:t>
      </w:r>
      <w:r w:rsidR="009E56EC">
        <w:t xml:space="preserve">main </w:t>
      </w:r>
      <w:r>
        <w:t>parts:</w:t>
      </w:r>
    </w:p>
    <w:p w14:paraId="2FF88421" w14:textId="6983B808" w:rsidR="00397F53" w:rsidRDefault="009E26F6" w:rsidP="00397F53">
      <w:pPr>
        <w:pStyle w:val="BodyText"/>
        <w:numPr>
          <w:ilvl w:val="0"/>
          <w:numId w:val="9"/>
        </w:numPr>
      </w:pPr>
      <w:r>
        <w:t>Document the array antenna model, including the sub-array extension</w:t>
      </w:r>
      <w:r w:rsidR="00397F53">
        <w:t>.</w:t>
      </w:r>
    </w:p>
    <w:p w14:paraId="57419650" w14:textId="337BAD52" w:rsidR="00397F53" w:rsidRDefault="009E26F6" w:rsidP="00711061">
      <w:pPr>
        <w:pStyle w:val="ListParagraph"/>
        <w:numPr>
          <w:ilvl w:val="0"/>
          <w:numId w:val="9"/>
        </w:numPr>
      </w:pPr>
      <w:r>
        <w:t xml:space="preserve">Document simulation parameter values for typical implementations per </w:t>
      </w:r>
      <w:r w:rsidR="004B33B1">
        <w:t>relevant frequency ranges.</w:t>
      </w:r>
    </w:p>
    <w:p w14:paraId="7AE3387E" w14:textId="73A19F9A" w:rsidR="004F5312" w:rsidRDefault="004F5312" w:rsidP="00711061">
      <w:pPr>
        <w:pStyle w:val="ListParagraph"/>
        <w:numPr>
          <w:ilvl w:val="0"/>
          <w:numId w:val="9"/>
        </w:numPr>
      </w:pPr>
      <w:r>
        <w:t xml:space="preserve">Document </w:t>
      </w:r>
      <w:r w:rsidR="00533E13">
        <w:t xml:space="preserve">missing information related to </w:t>
      </w:r>
      <w:r w:rsidR="00C80742">
        <w:t xml:space="preserve">modelling of </w:t>
      </w:r>
      <w:r w:rsidR="00533E13">
        <w:t xml:space="preserve">out-of-carrier correlation roll-off. </w:t>
      </w:r>
    </w:p>
    <w:p w14:paraId="57879E49" w14:textId="61F5B708" w:rsidR="004B372C" w:rsidRDefault="009E26F6" w:rsidP="0062745C">
      <w:pPr>
        <w:pStyle w:val="BodyText"/>
      </w:pPr>
      <w:r>
        <w:t xml:space="preserve">An externally referenceable </w:t>
      </w:r>
      <w:r w:rsidR="00C80742">
        <w:t>technical report (TR xy.900 series)</w:t>
      </w:r>
      <w:r>
        <w:t xml:space="preserve"> documenting an antenna model and associated parameters is an essential tool for </w:t>
      </w:r>
      <w:r w:rsidR="000B6A10">
        <w:t xml:space="preserve">future 3GPP work and </w:t>
      </w:r>
      <w:r>
        <w:t xml:space="preserve">external regulatory activities in order that, during discussions on parameters for sharing studies, there is clarity on which model is best understood to capture actual implementations from a 3GPP perspective. The absence of such a </w:t>
      </w:r>
      <w:r w:rsidR="00554E78">
        <w:t>technical report</w:t>
      </w:r>
      <w:r>
        <w:t xml:space="preserve"> may lead to confusion on applicable antenna models and the consensus 3GPP model being obscured. The use of RAN4 time in creating such a </w:t>
      </w:r>
      <w:r w:rsidR="00554E78">
        <w:t>technical report</w:t>
      </w:r>
      <w:r>
        <w:t xml:space="preserve"> is an important investment in facilitating </w:t>
      </w:r>
      <w:r w:rsidR="000B6A10">
        <w:t xml:space="preserve">future </w:t>
      </w:r>
      <w:r>
        <w:t>regulatory work.</w:t>
      </w:r>
      <w:r w:rsidR="003B61A8">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C369AAA" w14:textId="6B5C511C" w:rsidR="00E04B11" w:rsidRDefault="00353442" w:rsidP="00353442">
      <w:pPr>
        <w:pStyle w:val="BodyText"/>
      </w:pPr>
      <w:r>
        <w:t xml:space="preserve">In this contribution we </w:t>
      </w:r>
      <w:r w:rsidR="00EC0AFF">
        <w:t xml:space="preserve">present </w:t>
      </w:r>
      <w:r>
        <w:t xml:space="preserve">two new </w:t>
      </w:r>
      <w:r w:rsidR="00EC0AFF">
        <w:t>work packages</w:t>
      </w:r>
      <w:r>
        <w:t xml:space="preserve"> </w:t>
      </w:r>
      <w:r w:rsidR="00EC0AFF">
        <w:t xml:space="preserve">for </w:t>
      </w:r>
      <w:r>
        <w:t>Rel-19</w:t>
      </w:r>
      <w:r w:rsidR="00EC0AFF">
        <w:t xml:space="preserve"> to evolve </w:t>
      </w:r>
      <w:r w:rsidR="0088472F">
        <w:t xml:space="preserve">and prepare </w:t>
      </w:r>
      <w:r w:rsidR="00EC0AFF">
        <w:t>BS RF specification</w:t>
      </w:r>
      <w:r w:rsidR="005A45D6">
        <w:t>s</w:t>
      </w:r>
      <w:r w:rsidR="0088472F">
        <w:t xml:space="preserve"> for the future.</w:t>
      </w:r>
      <w:r>
        <w:t xml:space="preserve"> Both work packages fit the plan for </w:t>
      </w:r>
      <w:r w:rsidR="00BC7A7B">
        <w:t xml:space="preserve">5G advanced and </w:t>
      </w:r>
      <w:r>
        <w:t xml:space="preserve">6G where access to new spectrum and spectrum sharing </w:t>
      </w:r>
      <w:r w:rsidR="00BC7A7B">
        <w:t>are</w:t>
      </w:r>
      <w:r>
        <w:t xml:space="preserve"> essential.</w:t>
      </w:r>
    </w:p>
    <w:p w14:paraId="2E16D32B" w14:textId="4FA08659" w:rsidR="00353442" w:rsidRDefault="00E04B11" w:rsidP="00353442">
      <w:pPr>
        <w:pStyle w:val="BodyText"/>
      </w:pPr>
      <w:r>
        <w:t>Since the work packages relates to the outcome of WRC-23</w:t>
      </w:r>
      <w:r w:rsidR="000F1BB8">
        <w:t xml:space="preserve"> </w:t>
      </w:r>
      <w:r w:rsidR="003F42BC">
        <w:t xml:space="preserve">expected to arrive </w:t>
      </w:r>
      <w:r w:rsidR="0063660A">
        <w:t xml:space="preserve">at </w:t>
      </w:r>
      <w:r w:rsidR="003F42BC">
        <w:t>15 December 2023</w:t>
      </w:r>
      <w:r w:rsidR="0063660A">
        <w:t xml:space="preserve"> </w:t>
      </w:r>
      <w:r w:rsidR="000F1BB8">
        <w:t xml:space="preserve">the intention is to initiate a work </w:t>
      </w:r>
      <w:r w:rsidR="007D3621">
        <w:t>item</w:t>
      </w:r>
      <w:r w:rsidR="000F1BB8">
        <w:t xml:space="preserve"> in RAN4 at the </w:t>
      </w:r>
      <w:r w:rsidR="0063660A">
        <w:t xml:space="preserve">next following </w:t>
      </w:r>
      <w:r w:rsidR="007D3621">
        <w:t>RAN plenary meeting</w:t>
      </w:r>
      <w:r w:rsidR="000254CF">
        <w:t xml:space="preserve"> </w:t>
      </w:r>
      <w:r w:rsidR="008F661F">
        <w:t xml:space="preserve">in </w:t>
      </w:r>
      <w:r w:rsidR="000254CF">
        <w:t>March 2024 (RAN#103)</w:t>
      </w:r>
      <w:r w:rsidR="008F661F">
        <w:t>. This would</w:t>
      </w:r>
      <w:r w:rsidR="00F47928">
        <w:t xml:space="preserve"> mean that work in RAN4 is expected to start at RAN4#</w:t>
      </w:r>
      <w:r w:rsidR="000E7B23">
        <w:t>110-bis</w:t>
      </w:r>
      <w:r w:rsidR="009E04CB">
        <w:t xml:space="preserve"> at earliest.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35EE84EA" w14:textId="01A23C90" w:rsidR="003B61A8" w:rsidRDefault="003B61A8" w:rsidP="004D61B4">
      <w:pPr>
        <w:ind w:left="709" w:hanging="709"/>
      </w:pPr>
      <w:r>
        <w:t>[1]</w:t>
      </w:r>
      <w:r>
        <w:tab/>
      </w:r>
      <w:r w:rsidR="0045636F">
        <w:t>R4-2312379</w:t>
      </w:r>
      <w:r w:rsidR="00420A92">
        <w:t>, “</w:t>
      </w:r>
      <w:r w:rsidR="007F78CF" w:rsidRPr="007F78CF">
        <w:t>On BS RF requirement evolution</w:t>
      </w:r>
      <w:r w:rsidR="00420A92">
        <w:t>”, Ericsson</w:t>
      </w:r>
    </w:p>
    <w:p w14:paraId="731F3755" w14:textId="1B4F6D16" w:rsidR="004D61B4" w:rsidRDefault="004D61B4" w:rsidP="004D61B4">
      <w:pPr>
        <w:ind w:left="709" w:hanging="709"/>
      </w:pPr>
      <w:r>
        <w:t>[2]</w:t>
      </w:r>
      <w:r>
        <w:tab/>
      </w:r>
      <w:r w:rsidRPr="00BA0E70">
        <w:t>Document 5D/1496-E</w:t>
      </w:r>
      <w:r>
        <w:t>, “</w:t>
      </w:r>
      <w:r w:rsidRPr="00BE119F">
        <w:t>PROPOSAL OF TECHNICAL CONDITIONS UNDER WRC-23 AGENDA ITEM 1.2 (6 425-7 025 MHz) IN RELATION TO THE USE OF IMT BASE STATION E.I.R.P. MASK AS A FUNCTION OF ELEVATION ANGLE FOR THE PROTECTION OF FSS-UL</w:t>
      </w:r>
      <w:r>
        <w:t xml:space="preserve">”, </w:t>
      </w:r>
      <w:proofErr w:type="spellStart"/>
      <w:r w:rsidRPr="006F5A2D">
        <w:t>Telefon</w:t>
      </w:r>
      <w:proofErr w:type="spellEnd"/>
      <w:r w:rsidRPr="006F5A2D">
        <w:t xml:space="preserve"> AB - LM Ericsson, Huawei Technologies Sweden AB, Nokia Corporation</w:t>
      </w:r>
    </w:p>
    <w:p w14:paraId="0F9AB550" w14:textId="2DCBB331" w:rsidR="004D61B4" w:rsidRDefault="004D61B4" w:rsidP="004D61B4">
      <w:pPr>
        <w:ind w:left="709" w:hanging="709"/>
      </w:pPr>
      <w:r>
        <w:t>[3]</w:t>
      </w:r>
      <w:r>
        <w:tab/>
        <w:t xml:space="preserve">CPM23-2/229-E, “PROPOSED MODIFICATIONS OF THE DRAFT CPM REPORT TO WRC-23 ON AGENDA ITEM 1.2 (6 425-7 025 MHz) IN RELATION TO THE EXPECTED </w:t>
      </w:r>
      <w:proofErr w:type="spellStart"/>
      <w:r>
        <w:t>e.i.r.p</w:t>
      </w:r>
      <w:proofErr w:type="spellEnd"/>
      <w:r>
        <w:t xml:space="preserve">. OF IMT BASE STATIONS AS A FUNCTION OF ELEVATION ANGLE”, </w:t>
      </w:r>
      <w:proofErr w:type="spellStart"/>
      <w:r>
        <w:t>Telefon</w:t>
      </w:r>
      <w:proofErr w:type="spellEnd"/>
      <w:r>
        <w:t xml:space="preserve"> AB - LM Ericsson, Huawei Technologies Sweden AB, Nokia Corporation</w:t>
      </w:r>
    </w:p>
    <w:p w14:paraId="3D2A743C" w14:textId="35465FB6" w:rsidR="004D61B4" w:rsidRDefault="004D61B4" w:rsidP="004D61B4">
      <w:pPr>
        <w:ind w:left="709" w:hanging="709"/>
      </w:pPr>
      <w:r>
        <w:t>[4]</w:t>
      </w:r>
      <w:r>
        <w:tab/>
        <w:t>R4-2108080, “</w:t>
      </w:r>
      <w:r w:rsidRPr="007A69E6">
        <w:t>LS to ITU-R and CEPT on extension of IMT array antenna model to support sub-array structures</w:t>
      </w:r>
      <w:r>
        <w:t xml:space="preserve">”, </w:t>
      </w:r>
      <w:proofErr w:type="gramStart"/>
      <w:r>
        <w:t>Ericsson</w:t>
      </w:r>
      <w:proofErr w:type="gramEnd"/>
    </w:p>
    <w:p w14:paraId="7F2A1F2C" w14:textId="77777777" w:rsidR="0051260F" w:rsidRDefault="00FE54B4" w:rsidP="0051260F">
      <w:pPr>
        <w:ind w:left="709" w:hanging="709"/>
        <w:rPr>
          <w:rStyle w:val="Hyperlink"/>
        </w:rPr>
      </w:pPr>
      <w:r>
        <w:t>[5]</w:t>
      </w:r>
      <w:r>
        <w:tab/>
      </w:r>
      <w:hyperlink r:id="rId11" w:history="1">
        <w:r w:rsidRPr="00E47E25">
          <w:rPr>
            <w:rStyle w:val="Hyperlink"/>
          </w:rPr>
          <w:t>Doc. CPG(23)045 ANNEX, “PROPOSALS FOR THE WORK OF THE CONFERENCE”, European Common Proposal</w:t>
        </w:r>
      </w:hyperlink>
    </w:p>
    <w:p w14:paraId="11789F4D" w14:textId="10393EC7" w:rsidR="0051260F" w:rsidRDefault="004D61B4" w:rsidP="0051260F">
      <w:pPr>
        <w:ind w:left="709" w:hanging="709"/>
        <w:rPr>
          <w:rStyle w:val="Hyperlink"/>
        </w:rPr>
      </w:pPr>
      <w:r>
        <w:t>[</w:t>
      </w:r>
      <w:r w:rsidR="00A419BC">
        <w:t>6</w:t>
      </w:r>
      <w:r>
        <w:t>]</w:t>
      </w:r>
      <w:r>
        <w:tab/>
      </w:r>
      <w:hyperlink r:id="rId12" w:history="1">
        <w:r>
          <w:rPr>
            <w:rStyle w:val="Hyperlink"/>
          </w:rPr>
          <w:t>Final CPM Report to WRC-23, ITU</w:t>
        </w:r>
      </w:hyperlink>
      <w:bookmarkEnd w:id="0"/>
    </w:p>
    <w:p w14:paraId="61D58248" w14:textId="6C3CFED6" w:rsidR="00203FDB" w:rsidRPr="0051260F" w:rsidRDefault="00203FDB" w:rsidP="0051260F">
      <w:pPr>
        <w:ind w:left="709" w:hanging="709"/>
        <w:rPr>
          <w:color w:val="0563C1" w:themeColor="hyperlink"/>
          <w:u w:val="single"/>
        </w:rPr>
      </w:pPr>
      <w:r>
        <w:t>[7]</w:t>
      </w:r>
      <w:r>
        <w:tab/>
      </w:r>
      <w:hyperlink r:id="rId13" w:history="1">
        <w:r w:rsidR="009E2E94" w:rsidRPr="00806DB0">
          <w:rPr>
            <w:rStyle w:val="Hyperlink"/>
          </w:rPr>
          <w:t>ECC PT1(23)114, “</w:t>
        </w:r>
        <w:r w:rsidR="00606083" w:rsidRPr="00806DB0">
          <w:rPr>
            <w:rStyle w:val="Hyperlink"/>
          </w:rPr>
          <w:t>Elements for the draft CEPT ECP on AI 1.2 6 GHz band</w:t>
        </w:r>
        <w:r w:rsidR="009E2E94" w:rsidRPr="00806DB0">
          <w:rPr>
            <w:rStyle w:val="Hyperlink"/>
          </w:rPr>
          <w:t xml:space="preserve">”, </w:t>
        </w:r>
        <w:r w:rsidR="0051260F" w:rsidRPr="00806DB0">
          <w:rPr>
            <w:rStyle w:val="Hyperlink"/>
          </w:rPr>
          <w:t>LM Ericsson, Huawei Technologies Sweden AB, Nokia Corporation</w:t>
        </w:r>
      </w:hyperlink>
      <w:r w:rsidR="0051260F" w:rsidRPr="0051260F" w:rsidDel="00203FDB">
        <w:t xml:space="preserve"> </w:t>
      </w:r>
    </w:p>
    <w:p w14:paraId="7185828F" w14:textId="4C112AAF" w:rsidR="005C7173" w:rsidRDefault="005C7173" w:rsidP="00855C2E"/>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CD5C6" w14:textId="77777777" w:rsidR="009A712D" w:rsidRDefault="009A712D">
      <w:r>
        <w:separator/>
      </w:r>
    </w:p>
  </w:endnote>
  <w:endnote w:type="continuationSeparator" w:id="0">
    <w:p w14:paraId="3261F09F" w14:textId="77777777" w:rsidR="009A712D" w:rsidRDefault="009A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FE86" w14:textId="77777777" w:rsidR="009A712D" w:rsidRDefault="009A712D">
      <w:r>
        <w:separator/>
      </w:r>
    </w:p>
  </w:footnote>
  <w:footnote w:type="continuationSeparator" w:id="0">
    <w:p w14:paraId="47E882A8" w14:textId="77777777" w:rsidR="009A712D" w:rsidRDefault="009A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C7AC7"/>
    <w:multiLevelType w:val="hybridMultilevel"/>
    <w:tmpl w:val="E2E27712"/>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3557400"/>
    <w:multiLevelType w:val="hybridMultilevel"/>
    <w:tmpl w:val="EB94273A"/>
    <w:lvl w:ilvl="0" w:tplc="20000019">
      <w:start w:val="1"/>
      <w:numFmt w:val="lowerLetter"/>
      <w:lvlText w:val="%1."/>
      <w:lvlJc w:val="left"/>
      <w:pPr>
        <w:ind w:left="928" w:hanging="360"/>
      </w:p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9F65E3"/>
    <w:multiLevelType w:val="hybridMultilevel"/>
    <w:tmpl w:val="02F828C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multilevel"/>
    <w:tmpl w:val="259414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B426457"/>
    <w:multiLevelType w:val="hybridMultilevel"/>
    <w:tmpl w:val="2A72B0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05F1337"/>
    <w:multiLevelType w:val="hybridMultilevel"/>
    <w:tmpl w:val="9A1A56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B06DDB"/>
    <w:multiLevelType w:val="hybridMultilevel"/>
    <w:tmpl w:val="CA9C4252"/>
    <w:lvl w:ilvl="0" w:tplc="B6987EA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6"/>
  </w:num>
  <w:num w:numId="6" w16cid:durableId="1466200772">
    <w:abstractNumId w:val="9"/>
  </w:num>
  <w:num w:numId="7" w16cid:durableId="2052268160">
    <w:abstractNumId w:val="8"/>
  </w:num>
  <w:num w:numId="8" w16cid:durableId="341586517">
    <w:abstractNumId w:val="7"/>
  </w:num>
  <w:num w:numId="9" w16cid:durableId="28914560">
    <w:abstractNumId w:val="5"/>
  </w:num>
  <w:num w:numId="10" w16cid:durableId="1042435629">
    <w:abstractNumId w:val="10"/>
  </w:num>
  <w:num w:numId="11" w16cid:durableId="1181970365">
    <w:abstractNumId w:val="2"/>
  </w:num>
  <w:num w:numId="12" w16cid:durableId="9911316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D9"/>
    <w:rsid w:val="00011C1E"/>
    <w:rsid w:val="000210A2"/>
    <w:rsid w:val="000254CF"/>
    <w:rsid w:val="0003094D"/>
    <w:rsid w:val="00031DAF"/>
    <w:rsid w:val="00033397"/>
    <w:rsid w:val="00040095"/>
    <w:rsid w:val="0004058B"/>
    <w:rsid w:val="0004378E"/>
    <w:rsid w:val="00051834"/>
    <w:rsid w:val="00054314"/>
    <w:rsid w:val="00054A22"/>
    <w:rsid w:val="000560CC"/>
    <w:rsid w:val="000655A6"/>
    <w:rsid w:val="00066614"/>
    <w:rsid w:val="00070795"/>
    <w:rsid w:val="00076F81"/>
    <w:rsid w:val="00077552"/>
    <w:rsid w:val="00080512"/>
    <w:rsid w:val="00091EA0"/>
    <w:rsid w:val="00094D53"/>
    <w:rsid w:val="00096009"/>
    <w:rsid w:val="000A5CF7"/>
    <w:rsid w:val="000B0CA1"/>
    <w:rsid w:val="000B2591"/>
    <w:rsid w:val="000B6A10"/>
    <w:rsid w:val="000C44EB"/>
    <w:rsid w:val="000C4C67"/>
    <w:rsid w:val="000D151D"/>
    <w:rsid w:val="000D58AB"/>
    <w:rsid w:val="000D59CF"/>
    <w:rsid w:val="000D696C"/>
    <w:rsid w:val="000E1A63"/>
    <w:rsid w:val="000E1DEA"/>
    <w:rsid w:val="000E632F"/>
    <w:rsid w:val="000E7B23"/>
    <w:rsid w:val="000F0805"/>
    <w:rsid w:val="000F1BB8"/>
    <w:rsid w:val="000F6AA6"/>
    <w:rsid w:val="00106F91"/>
    <w:rsid w:val="001172C3"/>
    <w:rsid w:val="0012737E"/>
    <w:rsid w:val="001429A6"/>
    <w:rsid w:val="001541A4"/>
    <w:rsid w:val="00155B44"/>
    <w:rsid w:val="001636AB"/>
    <w:rsid w:val="00176C71"/>
    <w:rsid w:val="00181DDB"/>
    <w:rsid w:val="001862BC"/>
    <w:rsid w:val="00186CBC"/>
    <w:rsid w:val="00191E6B"/>
    <w:rsid w:val="00196273"/>
    <w:rsid w:val="001B0597"/>
    <w:rsid w:val="001B3783"/>
    <w:rsid w:val="001C1779"/>
    <w:rsid w:val="001C1DF4"/>
    <w:rsid w:val="001D02C2"/>
    <w:rsid w:val="001E62AA"/>
    <w:rsid w:val="001F168B"/>
    <w:rsid w:val="001F33FD"/>
    <w:rsid w:val="00203FDB"/>
    <w:rsid w:val="00206D36"/>
    <w:rsid w:val="00214458"/>
    <w:rsid w:val="00231DE5"/>
    <w:rsid w:val="0023254C"/>
    <w:rsid w:val="002347A2"/>
    <w:rsid w:val="00241D8F"/>
    <w:rsid w:val="00243290"/>
    <w:rsid w:val="0026734F"/>
    <w:rsid w:val="0027787D"/>
    <w:rsid w:val="00280CDB"/>
    <w:rsid w:val="00297CAF"/>
    <w:rsid w:val="002A0978"/>
    <w:rsid w:val="002A682D"/>
    <w:rsid w:val="002A7B0B"/>
    <w:rsid w:val="002B067D"/>
    <w:rsid w:val="002B0AA9"/>
    <w:rsid w:val="002B0B48"/>
    <w:rsid w:val="002B5DE6"/>
    <w:rsid w:val="002E2D39"/>
    <w:rsid w:val="002E5CA6"/>
    <w:rsid w:val="002F1E03"/>
    <w:rsid w:val="0030025E"/>
    <w:rsid w:val="003172DC"/>
    <w:rsid w:val="00327A81"/>
    <w:rsid w:val="00333FEA"/>
    <w:rsid w:val="00334780"/>
    <w:rsid w:val="003348D7"/>
    <w:rsid w:val="00353442"/>
    <w:rsid w:val="0035462D"/>
    <w:rsid w:val="003564F5"/>
    <w:rsid w:val="00361E87"/>
    <w:rsid w:val="00367781"/>
    <w:rsid w:val="00367B5A"/>
    <w:rsid w:val="0037268E"/>
    <w:rsid w:val="00374399"/>
    <w:rsid w:val="003743A7"/>
    <w:rsid w:val="00375BA3"/>
    <w:rsid w:val="003848C4"/>
    <w:rsid w:val="00397F53"/>
    <w:rsid w:val="003A2576"/>
    <w:rsid w:val="003B1D4A"/>
    <w:rsid w:val="003B61A8"/>
    <w:rsid w:val="003C0B2F"/>
    <w:rsid w:val="003C3971"/>
    <w:rsid w:val="003E0CFA"/>
    <w:rsid w:val="003E4F49"/>
    <w:rsid w:val="003F0F6A"/>
    <w:rsid w:val="003F17A2"/>
    <w:rsid w:val="003F299C"/>
    <w:rsid w:val="003F42BC"/>
    <w:rsid w:val="003F7077"/>
    <w:rsid w:val="00404118"/>
    <w:rsid w:val="00420A92"/>
    <w:rsid w:val="00423391"/>
    <w:rsid w:val="004239C7"/>
    <w:rsid w:val="00424BFB"/>
    <w:rsid w:val="00436265"/>
    <w:rsid w:val="00445137"/>
    <w:rsid w:val="00454476"/>
    <w:rsid w:val="0045636F"/>
    <w:rsid w:val="00456C88"/>
    <w:rsid w:val="00460E9A"/>
    <w:rsid w:val="004718E3"/>
    <w:rsid w:val="004A4210"/>
    <w:rsid w:val="004A7D07"/>
    <w:rsid w:val="004B33B1"/>
    <w:rsid w:val="004B372C"/>
    <w:rsid w:val="004B5078"/>
    <w:rsid w:val="004B7145"/>
    <w:rsid w:val="004C2185"/>
    <w:rsid w:val="004C43A9"/>
    <w:rsid w:val="004D3578"/>
    <w:rsid w:val="004D61B4"/>
    <w:rsid w:val="004E0C1D"/>
    <w:rsid w:val="004E213A"/>
    <w:rsid w:val="004E29CC"/>
    <w:rsid w:val="004F2311"/>
    <w:rsid w:val="004F4D5A"/>
    <w:rsid w:val="004F5312"/>
    <w:rsid w:val="005003DB"/>
    <w:rsid w:val="00502F3D"/>
    <w:rsid w:val="0051260F"/>
    <w:rsid w:val="00527742"/>
    <w:rsid w:val="00532B01"/>
    <w:rsid w:val="00533E13"/>
    <w:rsid w:val="00534FCC"/>
    <w:rsid w:val="00541AD2"/>
    <w:rsid w:val="00543E6C"/>
    <w:rsid w:val="00554E78"/>
    <w:rsid w:val="005569F5"/>
    <w:rsid w:val="00562810"/>
    <w:rsid w:val="005638D3"/>
    <w:rsid w:val="00565087"/>
    <w:rsid w:val="00567D27"/>
    <w:rsid w:val="0057595C"/>
    <w:rsid w:val="00592A9D"/>
    <w:rsid w:val="00594E26"/>
    <w:rsid w:val="005A45D6"/>
    <w:rsid w:val="005B3C08"/>
    <w:rsid w:val="005B3C73"/>
    <w:rsid w:val="005B4A0A"/>
    <w:rsid w:val="005C2897"/>
    <w:rsid w:val="005C7173"/>
    <w:rsid w:val="005D224C"/>
    <w:rsid w:val="005D2E01"/>
    <w:rsid w:val="005D3EE8"/>
    <w:rsid w:val="0060599B"/>
    <w:rsid w:val="00606083"/>
    <w:rsid w:val="00607549"/>
    <w:rsid w:val="00611F2C"/>
    <w:rsid w:val="00612061"/>
    <w:rsid w:val="00612A59"/>
    <w:rsid w:val="00614FDF"/>
    <w:rsid w:val="006240D7"/>
    <w:rsid w:val="00625621"/>
    <w:rsid w:val="0062745C"/>
    <w:rsid w:val="0063660A"/>
    <w:rsid w:val="006437A9"/>
    <w:rsid w:val="006444FC"/>
    <w:rsid w:val="00647309"/>
    <w:rsid w:val="00652641"/>
    <w:rsid w:val="006639DB"/>
    <w:rsid w:val="00663E3D"/>
    <w:rsid w:val="00674E7D"/>
    <w:rsid w:val="0067665E"/>
    <w:rsid w:val="006775C4"/>
    <w:rsid w:val="0069321C"/>
    <w:rsid w:val="006A52BA"/>
    <w:rsid w:val="006C791A"/>
    <w:rsid w:val="006D1100"/>
    <w:rsid w:val="006D60B5"/>
    <w:rsid w:val="006E5C86"/>
    <w:rsid w:val="00700A14"/>
    <w:rsid w:val="007025A0"/>
    <w:rsid w:val="00711061"/>
    <w:rsid w:val="0071139B"/>
    <w:rsid w:val="00712421"/>
    <w:rsid w:val="00712886"/>
    <w:rsid w:val="007148E4"/>
    <w:rsid w:val="00714AEA"/>
    <w:rsid w:val="00715127"/>
    <w:rsid w:val="007170B2"/>
    <w:rsid w:val="007329F4"/>
    <w:rsid w:val="00734A5B"/>
    <w:rsid w:val="007353F4"/>
    <w:rsid w:val="007438A2"/>
    <w:rsid w:val="00744E76"/>
    <w:rsid w:val="0075345F"/>
    <w:rsid w:val="007577CB"/>
    <w:rsid w:val="007602FF"/>
    <w:rsid w:val="00767C7A"/>
    <w:rsid w:val="00771315"/>
    <w:rsid w:val="007817BC"/>
    <w:rsid w:val="00781F0F"/>
    <w:rsid w:val="00785330"/>
    <w:rsid w:val="0079382D"/>
    <w:rsid w:val="007A0F21"/>
    <w:rsid w:val="007A2E78"/>
    <w:rsid w:val="007B4A73"/>
    <w:rsid w:val="007C4355"/>
    <w:rsid w:val="007C4C45"/>
    <w:rsid w:val="007C56AB"/>
    <w:rsid w:val="007D0B08"/>
    <w:rsid w:val="007D3621"/>
    <w:rsid w:val="007E09EA"/>
    <w:rsid w:val="007E6ACA"/>
    <w:rsid w:val="007F52D4"/>
    <w:rsid w:val="007F78CF"/>
    <w:rsid w:val="008028A4"/>
    <w:rsid w:val="00805820"/>
    <w:rsid w:val="00806DB0"/>
    <w:rsid w:val="00810349"/>
    <w:rsid w:val="00815C7C"/>
    <w:rsid w:val="00826F97"/>
    <w:rsid w:val="00830205"/>
    <w:rsid w:val="00843454"/>
    <w:rsid w:val="00846DB7"/>
    <w:rsid w:val="00847F4D"/>
    <w:rsid w:val="0085229C"/>
    <w:rsid w:val="00855C2E"/>
    <w:rsid w:val="008704F6"/>
    <w:rsid w:val="00872E34"/>
    <w:rsid w:val="008768CA"/>
    <w:rsid w:val="00881EAD"/>
    <w:rsid w:val="0088472F"/>
    <w:rsid w:val="00884A2A"/>
    <w:rsid w:val="008877E6"/>
    <w:rsid w:val="00890260"/>
    <w:rsid w:val="008934E8"/>
    <w:rsid w:val="008947E2"/>
    <w:rsid w:val="00895E62"/>
    <w:rsid w:val="0089654A"/>
    <w:rsid w:val="008B735F"/>
    <w:rsid w:val="008C0085"/>
    <w:rsid w:val="008C0DA0"/>
    <w:rsid w:val="008C2529"/>
    <w:rsid w:val="008C307C"/>
    <w:rsid w:val="008C79B2"/>
    <w:rsid w:val="008D1739"/>
    <w:rsid w:val="008D52D4"/>
    <w:rsid w:val="008D56D9"/>
    <w:rsid w:val="008E384B"/>
    <w:rsid w:val="008F42DB"/>
    <w:rsid w:val="008F661F"/>
    <w:rsid w:val="008F6912"/>
    <w:rsid w:val="0090271F"/>
    <w:rsid w:val="00902E23"/>
    <w:rsid w:val="00904E28"/>
    <w:rsid w:val="0090598A"/>
    <w:rsid w:val="00907978"/>
    <w:rsid w:val="00912C3D"/>
    <w:rsid w:val="0091348E"/>
    <w:rsid w:val="00917BE3"/>
    <w:rsid w:val="00917CCB"/>
    <w:rsid w:val="00920658"/>
    <w:rsid w:val="009228DF"/>
    <w:rsid w:val="0092774C"/>
    <w:rsid w:val="00936A40"/>
    <w:rsid w:val="00937B72"/>
    <w:rsid w:val="00942EC2"/>
    <w:rsid w:val="00944C13"/>
    <w:rsid w:val="009469E1"/>
    <w:rsid w:val="0097220F"/>
    <w:rsid w:val="00973CDE"/>
    <w:rsid w:val="00974355"/>
    <w:rsid w:val="00975A68"/>
    <w:rsid w:val="0098031E"/>
    <w:rsid w:val="00993BA6"/>
    <w:rsid w:val="009A0A2A"/>
    <w:rsid w:val="009A2D2D"/>
    <w:rsid w:val="009A5917"/>
    <w:rsid w:val="009A712D"/>
    <w:rsid w:val="009B13F6"/>
    <w:rsid w:val="009B4895"/>
    <w:rsid w:val="009B5100"/>
    <w:rsid w:val="009B798C"/>
    <w:rsid w:val="009C2287"/>
    <w:rsid w:val="009C3C27"/>
    <w:rsid w:val="009E0128"/>
    <w:rsid w:val="009E04CB"/>
    <w:rsid w:val="009E26F6"/>
    <w:rsid w:val="009E2E94"/>
    <w:rsid w:val="009E56EC"/>
    <w:rsid w:val="009F37B7"/>
    <w:rsid w:val="009F7783"/>
    <w:rsid w:val="00A10F02"/>
    <w:rsid w:val="00A11482"/>
    <w:rsid w:val="00A164B4"/>
    <w:rsid w:val="00A34F6C"/>
    <w:rsid w:val="00A419BC"/>
    <w:rsid w:val="00A53724"/>
    <w:rsid w:val="00A6396C"/>
    <w:rsid w:val="00A6421D"/>
    <w:rsid w:val="00A81D3C"/>
    <w:rsid w:val="00A82346"/>
    <w:rsid w:val="00A94E80"/>
    <w:rsid w:val="00A96B7D"/>
    <w:rsid w:val="00AA30A8"/>
    <w:rsid w:val="00AB09FB"/>
    <w:rsid w:val="00AB0B6C"/>
    <w:rsid w:val="00AB3E7F"/>
    <w:rsid w:val="00AC17A1"/>
    <w:rsid w:val="00AD233B"/>
    <w:rsid w:val="00AD75BF"/>
    <w:rsid w:val="00AF09C5"/>
    <w:rsid w:val="00B06CF4"/>
    <w:rsid w:val="00B11F89"/>
    <w:rsid w:val="00B1355D"/>
    <w:rsid w:val="00B14246"/>
    <w:rsid w:val="00B15449"/>
    <w:rsid w:val="00B21E82"/>
    <w:rsid w:val="00B34F37"/>
    <w:rsid w:val="00B4398E"/>
    <w:rsid w:val="00B476B7"/>
    <w:rsid w:val="00B56002"/>
    <w:rsid w:val="00B57386"/>
    <w:rsid w:val="00B57A40"/>
    <w:rsid w:val="00B641C8"/>
    <w:rsid w:val="00B67296"/>
    <w:rsid w:val="00B96C0C"/>
    <w:rsid w:val="00B96F87"/>
    <w:rsid w:val="00BB25B4"/>
    <w:rsid w:val="00BB3D03"/>
    <w:rsid w:val="00BB4954"/>
    <w:rsid w:val="00BC0F7D"/>
    <w:rsid w:val="00BC1B1F"/>
    <w:rsid w:val="00BC5E90"/>
    <w:rsid w:val="00BC7A7B"/>
    <w:rsid w:val="00BD5C61"/>
    <w:rsid w:val="00BE12E6"/>
    <w:rsid w:val="00BE366B"/>
    <w:rsid w:val="00BE5C3C"/>
    <w:rsid w:val="00BF1095"/>
    <w:rsid w:val="00BF1C81"/>
    <w:rsid w:val="00C043C1"/>
    <w:rsid w:val="00C04D6D"/>
    <w:rsid w:val="00C11915"/>
    <w:rsid w:val="00C17A60"/>
    <w:rsid w:val="00C27F2A"/>
    <w:rsid w:val="00C316CA"/>
    <w:rsid w:val="00C33079"/>
    <w:rsid w:val="00C371B3"/>
    <w:rsid w:val="00C42538"/>
    <w:rsid w:val="00C43182"/>
    <w:rsid w:val="00C45231"/>
    <w:rsid w:val="00C5431B"/>
    <w:rsid w:val="00C6028A"/>
    <w:rsid w:val="00C6035E"/>
    <w:rsid w:val="00C628DE"/>
    <w:rsid w:val="00C72833"/>
    <w:rsid w:val="00C745B2"/>
    <w:rsid w:val="00C80742"/>
    <w:rsid w:val="00C81921"/>
    <w:rsid w:val="00C91B3C"/>
    <w:rsid w:val="00C92C8B"/>
    <w:rsid w:val="00C93F40"/>
    <w:rsid w:val="00CA3B1D"/>
    <w:rsid w:val="00CA3D0C"/>
    <w:rsid w:val="00CA3D41"/>
    <w:rsid w:val="00CA47BF"/>
    <w:rsid w:val="00CB380A"/>
    <w:rsid w:val="00CC3F7F"/>
    <w:rsid w:val="00CD110C"/>
    <w:rsid w:val="00CD2E52"/>
    <w:rsid w:val="00CE4B02"/>
    <w:rsid w:val="00CE4DE3"/>
    <w:rsid w:val="00CE5AE6"/>
    <w:rsid w:val="00D11B3A"/>
    <w:rsid w:val="00D15384"/>
    <w:rsid w:val="00D160E5"/>
    <w:rsid w:val="00D209A0"/>
    <w:rsid w:val="00D21FDE"/>
    <w:rsid w:val="00D2293B"/>
    <w:rsid w:val="00D2544C"/>
    <w:rsid w:val="00D3471C"/>
    <w:rsid w:val="00D41F4F"/>
    <w:rsid w:val="00D4682F"/>
    <w:rsid w:val="00D51BDF"/>
    <w:rsid w:val="00D56778"/>
    <w:rsid w:val="00D738D6"/>
    <w:rsid w:val="00D74AB8"/>
    <w:rsid w:val="00D755EB"/>
    <w:rsid w:val="00D878CB"/>
    <w:rsid w:val="00D87E00"/>
    <w:rsid w:val="00D90EF2"/>
    <w:rsid w:val="00D9134D"/>
    <w:rsid w:val="00D9546E"/>
    <w:rsid w:val="00D96451"/>
    <w:rsid w:val="00DA232A"/>
    <w:rsid w:val="00DA2DBA"/>
    <w:rsid w:val="00DA307A"/>
    <w:rsid w:val="00DA40F9"/>
    <w:rsid w:val="00DA55D4"/>
    <w:rsid w:val="00DA7A03"/>
    <w:rsid w:val="00DB1818"/>
    <w:rsid w:val="00DC309B"/>
    <w:rsid w:val="00DC33A5"/>
    <w:rsid w:val="00DC4DA2"/>
    <w:rsid w:val="00DC5E95"/>
    <w:rsid w:val="00DD5B32"/>
    <w:rsid w:val="00DF0262"/>
    <w:rsid w:val="00DF2B1F"/>
    <w:rsid w:val="00DF3FC5"/>
    <w:rsid w:val="00DF4AD9"/>
    <w:rsid w:val="00DF62CD"/>
    <w:rsid w:val="00E01242"/>
    <w:rsid w:val="00E04B11"/>
    <w:rsid w:val="00E13370"/>
    <w:rsid w:val="00E20B05"/>
    <w:rsid w:val="00E32397"/>
    <w:rsid w:val="00E3622A"/>
    <w:rsid w:val="00E41C4A"/>
    <w:rsid w:val="00E432A6"/>
    <w:rsid w:val="00E448DE"/>
    <w:rsid w:val="00E47E25"/>
    <w:rsid w:val="00E72121"/>
    <w:rsid w:val="00E73B83"/>
    <w:rsid w:val="00E77645"/>
    <w:rsid w:val="00E84E5A"/>
    <w:rsid w:val="00E95F22"/>
    <w:rsid w:val="00EA3C59"/>
    <w:rsid w:val="00EA7C61"/>
    <w:rsid w:val="00EC0AFF"/>
    <w:rsid w:val="00EC4A25"/>
    <w:rsid w:val="00ED0590"/>
    <w:rsid w:val="00ED7E72"/>
    <w:rsid w:val="00EE67FF"/>
    <w:rsid w:val="00EF1994"/>
    <w:rsid w:val="00EF1BEF"/>
    <w:rsid w:val="00EF1FC5"/>
    <w:rsid w:val="00EF3A4D"/>
    <w:rsid w:val="00EF696B"/>
    <w:rsid w:val="00F025A2"/>
    <w:rsid w:val="00F03195"/>
    <w:rsid w:val="00F04712"/>
    <w:rsid w:val="00F13E6C"/>
    <w:rsid w:val="00F22EC7"/>
    <w:rsid w:val="00F264EF"/>
    <w:rsid w:val="00F26CEE"/>
    <w:rsid w:val="00F37705"/>
    <w:rsid w:val="00F465E8"/>
    <w:rsid w:val="00F47928"/>
    <w:rsid w:val="00F653B8"/>
    <w:rsid w:val="00F65FE5"/>
    <w:rsid w:val="00F75DFD"/>
    <w:rsid w:val="00F774E5"/>
    <w:rsid w:val="00F9489A"/>
    <w:rsid w:val="00FA1266"/>
    <w:rsid w:val="00FA215D"/>
    <w:rsid w:val="00FA4E13"/>
    <w:rsid w:val="00FA5947"/>
    <w:rsid w:val="00FA7C4C"/>
    <w:rsid w:val="00FA7F97"/>
    <w:rsid w:val="00FB2054"/>
    <w:rsid w:val="00FB41A6"/>
    <w:rsid w:val="00FB4474"/>
    <w:rsid w:val="00FB49D9"/>
    <w:rsid w:val="00FC1192"/>
    <w:rsid w:val="00FE11B9"/>
    <w:rsid w:val="00FE181B"/>
    <w:rsid w:val="00FE54B4"/>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993BA6"/>
    <w:pPr>
      <w:ind w:left="720"/>
      <w:contextualSpacing/>
    </w:pPr>
  </w:style>
  <w:style w:type="character" w:styleId="CommentReference">
    <w:name w:val="annotation reference"/>
    <w:basedOn w:val="DefaultParagraphFont"/>
    <w:rsid w:val="00BB25B4"/>
    <w:rPr>
      <w:sz w:val="16"/>
      <w:szCs w:val="16"/>
    </w:rPr>
  </w:style>
  <w:style w:type="paragraph" w:styleId="CommentText">
    <w:name w:val="annotation text"/>
    <w:basedOn w:val="Normal"/>
    <w:link w:val="CommentTextChar"/>
    <w:rsid w:val="00BB25B4"/>
  </w:style>
  <w:style w:type="character" w:customStyle="1" w:styleId="CommentTextChar">
    <w:name w:val="Comment Text Char"/>
    <w:basedOn w:val="DefaultParagraphFont"/>
    <w:link w:val="CommentText"/>
    <w:rsid w:val="00BB25B4"/>
    <w:rPr>
      <w:lang w:val="en-GB" w:eastAsia="en-US"/>
    </w:rPr>
  </w:style>
  <w:style w:type="paragraph" w:styleId="CommentSubject">
    <w:name w:val="annotation subject"/>
    <w:basedOn w:val="CommentText"/>
    <w:next w:val="CommentText"/>
    <w:link w:val="CommentSubjectChar"/>
    <w:rsid w:val="00BB25B4"/>
    <w:rPr>
      <w:b/>
      <w:bCs/>
    </w:rPr>
  </w:style>
  <w:style w:type="character" w:customStyle="1" w:styleId="CommentSubjectChar">
    <w:name w:val="Comment Subject Char"/>
    <w:basedOn w:val="CommentTextChar"/>
    <w:link w:val="CommentSubject"/>
    <w:rsid w:val="00BB25B4"/>
    <w:rPr>
      <w:b/>
      <w:bCs/>
      <w:lang w:val="en-GB" w:eastAsia="en-US"/>
    </w:rPr>
  </w:style>
  <w:style w:type="character" w:styleId="Hyperlink">
    <w:name w:val="Hyperlink"/>
    <w:basedOn w:val="DefaultParagraphFont"/>
    <w:rsid w:val="004D61B4"/>
    <w:rPr>
      <w:color w:val="0563C1" w:themeColor="hyperlink"/>
      <w:u w:val="single"/>
    </w:rPr>
  </w:style>
  <w:style w:type="paragraph" w:customStyle="1" w:styleId="Equation">
    <w:name w:val="Equation"/>
    <w:basedOn w:val="Normal"/>
    <w:rsid w:val="00333FEA"/>
    <w:pPr>
      <w:tabs>
        <w:tab w:val="left" w:pos="1134"/>
        <w:tab w:val="center" w:pos="4820"/>
        <w:tab w:val="right" w:pos="9639"/>
      </w:tabs>
      <w:overflowPunct w:val="0"/>
      <w:autoSpaceDE w:val="0"/>
      <w:autoSpaceDN w:val="0"/>
      <w:adjustRightInd w:val="0"/>
      <w:spacing w:before="120" w:after="0"/>
      <w:textAlignment w:val="baseline"/>
    </w:pPr>
    <w:rPr>
      <w:sz w:val="24"/>
    </w:rPr>
  </w:style>
  <w:style w:type="character" w:styleId="UnresolvedMention">
    <w:name w:val="Unresolved Mention"/>
    <w:basedOn w:val="DefaultParagraphFont"/>
    <w:uiPriority w:val="99"/>
    <w:semiHidden/>
    <w:unhideWhenUsed/>
    <w:rsid w:val="00E47E25"/>
    <w:rPr>
      <w:color w:val="605E5C"/>
      <w:shd w:val="clear" w:color="auto" w:fill="E1DFDD"/>
    </w:rPr>
  </w:style>
  <w:style w:type="character" w:styleId="FollowedHyperlink">
    <w:name w:val="FollowedHyperlink"/>
    <w:basedOn w:val="DefaultParagraphFont"/>
    <w:rsid w:val="00532B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ept.org/Documents/ecc-pt1/77067/ecc-pt1-23-114_ericsson-huawei-nokia-elements-for-the-draft-cept-ecp-on-ai-12-6-ghz-band"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md/R19-CPM23.2-R-0001/e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ept.org/ecc/groups/ecc/cpg/client/meeting-documents/file-history/?fid=79083"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1838</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20</cp:revision>
  <dcterms:created xsi:type="dcterms:W3CDTF">2023-11-01T14:06:00Z</dcterms:created>
  <dcterms:modified xsi:type="dcterms:W3CDTF">2023-11-03T15:02:00Z</dcterms:modified>
</cp:coreProperties>
</file>