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21A4251"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425CA6">
        <w:rPr>
          <w:rFonts w:cs="Arial"/>
          <w:sz w:val="24"/>
          <w:szCs w:val="24"/>
        </w:rPr>
        <w:t>9</w:t>
      </w:r>
      <w:r w:rsidRPr="004A029C">
        <w:rPr>
          <w:rFonts w:cs="Arial"/>
          <w:sz w:val="24"/>
          <w:szCs w:val="24"/>
        </w:rPr>
        <w:tab/>
      </w:r>
      <w:r w:rsidR="00565076" w:rsidRPr="00565076">
        <w:rPr>
          <w:rFonts w:cs="Arial"/>
          <w:sz w:val="24"/>
          <w:szCs w:val="24"/>
        </w:rPr>
        <w:t>R4-2319367</w:t>
      </w:r>
    </w:p>
    <w:p w14:paraId="1725ECBC" w14:textId="26BC8265" w:rsidR="001F4680" w:rsidRPr="002D2977" w:rsidRDefault="00425CA6" w:rsidP="001F4680">
      <w:pPr>
        <w:pStyle w:val="Footer"/>
        <w:jc w:val="left"/>
        <w:rPr>
          <w:noProof w:val="0"/>
        </w:rPr>
      </w:pPr>
      <w:r w:rsidRPr="00425CA6">
        <w:rPr>
          <w:rFonts w:eastAsia="宋体" w:cs="Arial"/>
          <w:i w:val="0"/>
          <w:sz w:val="24"/>
          <w:szCs w:val="24"/>
          <w:lang w:eastAsia="zh-CN"/>
        </w:rPr>
        <w:t>Chicago, US, November 13 – 17, 2023</w:t>
      </w:r>
    </w:p>
    <w:p w14:paraId="2C45F865" w14:textId="77777777" w:rsidR="00425CA6" w:rsidRDefault="00425CA6" w:rsidP="00DF0231">
      <w:pPr>
        <w:tabs>
          <w:tab w:val="left" w:pos="1985"/>
        </w:tabs>
        <w:rPr>
          <w:rFonts w:ascii="Arial" w:hAnsi="Arial"/>
          <w:b/>
          <w:sz w:val="24"/>
          <w:lang w:val="en-US"/>
        </w:rPr>
      </w:pPr>
    </w:p>
    <w:p w14:paraId="7F9FBBE7" w14:textId="731A6BD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25CA6">
        <w:rPr>
          <w:rFonts w:ascii="Arial" w:hAnsi="Arial"/>
          <w:sz w:val="24"/>
          <w:lang w:val="en-US"/>
        </w:rPr>
        <w:t>8</w:t>
      </w:r>
      <w:r w:rsidR="000B4FB5" w:rsidRPr="000B4FB5">
        <w:rPr>
          <w:rFonts w:ascii="Arial" w:hAnsi="Arial"/>
          <w:sz w:val="24"/>
          <w:lang w:val="en-US"/>
        </w:rPr>
        <w:t>.</w:t>
      </w:r>
      <w:r w:rsidR="00AB1F0B">
        <w:rPr>
          <w:rFonts w:ascii="Arial" w:hAnsi="Arial"/>
          <w:sz w:val="24"/>
          <w:lang w:val="en-US"/>
        </w:rPr>
        <w:t>3</w:t>
      </w:r>
      <w:r w:rsidR="000B4FB5" w:rsidRPr="000B4FB5">
        <w:rPr>
          <w:rFonts w:ascii="Arial" w:hAnsi="Arial"/>
          <w:sz w:val="24"/>
          <w:lang w:val="en-US"/>
        </w:rPr>
        <w:t>3.</w:t>
      </w:r>
      <w:r w:rsidR="00AB1F0B">
        <w:rPr>
          <w:rFonts w:ascii="Arial" w:hAnsi="Arial"/>
          <w:sz w:val="24"/>
          <w:lang w:val="en-US"/>
        </w:rPr>
        <w:t>5</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351C860"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B1F0B" w:rsidRPr="00AB1F0B">
        <w:rPr>
          <w:rFonts w:ascii="Arial" w:hAnsi="Arial"/>
          <w:sz w:val="24"/>
          <w:lang w:val="en-US"/>
        </w:rPr>
        <w:t>Discussion on performance requirements for R18 mobile IAB</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3494079" w14:textId="3364803D" w:rsidR="00AB1F0B" w:rsidRPr="00622EBC" w:rsidRDefault="00AB1F0B" w:rsidP="000B4FB5">
      <w:pPr>
        <w:jc w:val="both"/>
        <w:rPr>
          <w:rFonts w:eastAsiaTheme="minorEastAsia"/>
          <w:lang w:val="en-US" w:eastAsia="zh-CN"/>
        </w:rPr>
      </w:pPr>
      <w:bookmarkStart w:id="0" w:name="_Hlk131426020"/>
      <w:r>
        <w:rPr>
          <w:rFonts w:eastAsiaTheme="minorEastAsia"/>
          <w:lang w:val="en-US" w:eastAsia="zh-CN"/>
        </w:rPr>
        <w:t>For core requirements for Rel-18 Mobile IAB, most issues are solved. The performance part is scheduled to start at this meeting. In this meeting, we provide our analysis on performance impacts for mobile IAB.</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661AA11D" w14:textId="61A7DE23" w:rsidR="0056748A" w:rsidRDefault="00AB1F0B" w:rsidP="00E00899">
      <w:pPr>
        <w:jc w:val="both"/>
        <w:rPr>
          <w:rFonts w:eastAsiaTheme="minorEastAsia"/>
          <w:lang w:val="en-US" w:eastAsia="zh-CN"/>
        </w:rPr>
      </w:pPr>
      <w:r w:rsidRPr="00AB1F0B">
        <w:rPr>
          <w:rFonts w:eastAsiaTheme="minorEastAsia"/>
          <w:lang w:val="en-US" w:eastAsia="zh-CN"/>
        </w:rPr>
        <w:t>According to the progress achieved in core requirements, following RRM requirements are defied for Rel-18 Mobile IAB.</w:t>
      </w:r>
    </w:p>
    <w:p w14:paraId="0001DACE" w14:textId="4DA5C7CB" w:rsidR="00AB1F0B" w:rsidRPr="00AB1F0B" w:rsidRDefault="00AB1F0B" w:rsidP="00AB1F0B">
      <w:pPr>
        <w:pStyle w:val="ListParagraph"/>
        <w:numPr>
          <w:ilvl w:val="0"/>
          <w:numId w:val="32"/>
        </w:numPr>
        <w:ind w:firstLineChars="0"/>
        <w:jc w:val="both"/>
        <w:rPr>
          <w:rFonts w:eastAsiaTheme="minorEastAsia"/>
          <w:lang w:val="en-US" w:eastAsia="zh-CN"/>
        </w:rPr>
      </w:pPr>
      <w:r w:rsidRPr="00AB1F0B">
        <w:rPr>
          <w:rFonts w:eastAsiaTheme="minorEastAsia"/>
          <w:lang w:val="en-US" w:eastAsia="zh-CN"/>
        </w:rPr>
        <w:t>Intra-frequency HO</w:t>
      </w:r>
    </w:p>
    <w:p w14:paraId="6BEE9C92" w14:textId="3050998C" w:rsidR="00AB1F0B" w:rsidRPr="00AB1F0B" w:rsidRDefault="00AB1F0B" w:rsidP="00AB1F0B">
      <w:pPr>
        <w:pStyle w:val="ListParagraph"/>
        <w:numPr>
          <w:ilvl w:val="0"/>
          <w:numId w:val="32"/>
        </w:numPr>
        <w:ind w:firstLineChars="0"/>
        <w:jc w:val="both"/>
        <w:rPr>
          <w:rFonts w:eastAsiaTheme="minorEastAsia"/>
          <w:lang w:val="en-US" w:eastAsia="zh-CN"/>
        </w:rPr>
      </w:pPr>
      <w:r w:rsidRPr="00AB1F0B">
        <w:rPr>
          <w:rFonts w:eastAsiaTheme="minorEastAsia"/>
          <w:lang w:val="en-US" w:eastAsia="zh-CN"/>
        </w:rPr>
        <w:t xml:space="preserve">Intra-frequency RRC re-establishment </w:t>
      </w:r>
    </w:p>
    <w:p w14:paraId="1F1F4DFA" w14:textId="56707289" w:rsidR="00AB1F0B" w:rsidRPr="00AB1F0B" w:rsidRDefault="00AB1F0B" w:rsidP="00AB1F0B">
      <w:pPr>
        <w:pStyle w:val="ListParagraph"/>
        <w:numPr>
          <w:ilvl w:val="0"/>
          <w:numId w:val="32"/>
        </w:numPr>
        <w:ind w:firstLineChars="0"/>
        <w:jc w:val="both"/>
        <w:rPr>
          <w:rFonts w:eastAsiaTheme="minorEastAsia"/>
          <w:lang w:val="en-US" w:eastAsia="zh-CN"/>
        </w:rPr>
      </w:pPr>
      <w:r w:rsidRPr="00AB1F0B">
        <w:rPr>
          <w:rFonts w:eastAsiaTheme="minorEastAsia"/>
          <w:lang w:val="en-US" w:eastAsia="zh-CN"/>
        </w:rPr>
        <w:t>Active TCI state switching</w:t>
      </w:r>
    </w:p>
    <w:p w14:paraId="32E6D13B" w14:textId="51CF9421" w:rsidR="00AB1F0B" w:rsidRPr="00AB1F0B" w:rsidRDefault="00AB1F0B" w:rsidP="00AB1F0B">
      <w:pPr>
        <w:pStyle w:val="ListParagraph"/>
        <w:numPr>
          <w:ilvl w:val="0"/>
          <w:numId w:val="32"/>
        </w:numPr>
        <w:ind w:firstLineChars="0"/>
        <w:jc w:val="both"/>
        <w:rPr>
          <w:rFonts w:eastAsiaTheme="minorEastAsia"/>
          <w:lang w:val="en-US" w:eastAsia="zh-CN"/>
        </w:rPr>
      </w:pPr>
      <w:r w:rsidRPr="00AB1F0B">
        <w:rPr>
          <w:rFonts w:eastAsiaTheme="minorEastAsia"/>
          <w:lang w:val="en-US" w:eastAsia="zh-CN"/>
        </w:rPr>
        <w:t>RLM</w:t>
      </w:r>
    </w:p>
    <w:p w14:paraId="2372A482" w14:textId="1CF0CACD" w:rsidR="00AB1F0B" w:rsidRPr="00AB1F0B" w:rsidRDefault="00AB1F0B" w:rsidP="00AB1F0B">
      <w:pPr>
        <w:pStyle w:val="ListParagraph"/>
        <w:numPr>
          <w:ilvl w:val="0"/>
          <w:numId w:val="32"/>
        </w:numPr>
        <w:ind w:firstLineChars="0"/>
        <w:jc w:val="both"/>
        <w:rPr>
          <w:rFonts w:eastAsiaTheme="minorEastAsia"/>
          <w:lang w:val="en-US" w:eastAsia="zh-CN"/>
        </w:rPr>
      </w:pPr>
      <w:r w:rsidRPr="00AB1F0B">
        <w:rPr>
          <w:rFonts w:eastAsiaTheme="minorEastAsia"/>
          <w:lang w:val="en-US" w:eastAsia="zh-CN"/>
        </w:rPr>
        <w:t>Link recovery procedure</w:t>
      </w:r>
    </w:p>
    <w:p w14:paraId="5CA0EB05" w14:textId="2CC56F97" w:rsidR="00AB1F0B" w:rsidRPr="00AB1F0B" w:rsidRDefault="00AB1F0B" w:rsidP="00AB1F0B">
      <w:pPr>
        <w:pStyle w:val="ListParagraph"/>
        <w:numPr>
          <w:ilvl w:val="0"/>
          <w:numId w:val="32"/>
        </w:numPr>
        <w:ind w:firstLineChars="0"/>
        <w:jc w:val="both"/>
        <w:rPr>
          <w:rFonts w:eastAsiaTheme="minorEastAsia"/>
          <w:lang w:val="en-US" w:eastAsia="zh-CN"/>
        </w:rPr>
      </w:pPr>
      <w:r w:rsidRPr="00AB1F0B">
        <w:rPr>
          <w:rFonts w:eastAsiaTheme="minorEastAsia"/>
          <w:lang w:val="en-US" w:eastAsia="zh-CN"/>
        </w:rPr>
        <w:t>L1-RSRP</w:t>
      </w:r>
    </w:p>
    <w:p w14:paraId="2D56B532" w14:textId="35504E24" w:rsidR="00AB1F0B" w:rsidRPr="00AB1F0B" w:rsidRDefault="00AB1F0B" w:rsidP="00AB1F0B">
      <w:pPr>
        <w:pStyle w:val="ListParagraph"/>
        <w:numPr>
          <w:ilvl w:val="0"/>
          <w:numId w:val="32"/>
        </w:numPr>
        <w:ind w:firstLineChars="0"/>
        <w:jc w:val="both"/>
        <w:rPr>
          <w:rFonts w:eastAsiaTheme="minorEastAsia"/>
          <w:lang w:val="en-US" w:eastAsia="zh-CN"/>
        </w:rPr>
      </w:pPr>
      <w:r w:rsidRPr="00AB1F0B">
        <w:rPr>
          <w:rFonts w:eastAsiaTheme="minorEastAsia"/>
          <w:lang w:val="en-US" w:eastAsia="zh-CN"/>
        </w:rPr>
        <w:t>Intra-frequency measurement requirements</w:t>
      </w:r>
    </w:p>
    <w:p w14:paraId="6DB32A96" w14:textId="279C1631" w:rsidR="00AB1F0B" w:rsidRDefault="00AB1F0B" w:rsidP="00E00899">
      <w:pPr>
        <w:jc w:val="both"/>
        <w:rPr>
          <w:rFonts w:eastAsiaTheme="minorEastAsia"/>
          <w:lang w:val="en-US" w:eastAsia="zh-CN"/>
        </w:rPr>
      </w:pPr>
      <w:r>
        <w:rPr>
          <w:rFonts w:eastAsiaTheme="minorEastAsia"/>
          <w:lang w:val="en-US" w:eastAsia="zh-CN"/>
        </w:rPr>
        <w:t xml:space="preserve">Thus, for Rel-18 mobile, it is proposed to define test cases to verify above requirements. </w:t>
      </w:r>
    </w:p>
    <w:p w14:paraId="3DB9F030" w14:textId="12B1759E" w:rsidR="00BE7B8B" w:rsidRDefault="00B21080" w:rsidP="00E00899">
      <w:pPr>
        <w:jc w:val="both"/>
        <w:rPr>
          <w:rFonts w:eastAsiaTheme="minorEastAsia"/>
          <w:lang w:val="en-US" w:eastAsia="zh-CN"/>
        </w:rPr>
      </w:pPr>
      <w:r w:rsidRPr="00B21080">
        <w:rPr>
          <w:rFonts w:eastAsiaTheme="minorEastAsia"/>
          <w:lang w:val="en-US" w:eastAsia="zh-CN"/>
        </w:rPr>
        <w:t>One thing which is different from normal UE is the test configuration used in the test.</w:t>
      </w:r>
      <w:r>
        <w:rPr>
          <w:rFonts w:eastAsiaTheme="minorEastAsia"/>
          <w:lang w:val="en-US" w:eastAsia="zh-CN"/>
        </w:rPr>
        <w:t xml:space="preserve"> For IAB-MT, the supporting of UE capabilities and configurations are different from normal UE. The test configurations may not be supported by all IAB-MT, which is declared by manufacturer. This issue was also discussed in Rel-16/17 and the conclusion is that the configuration parameters are left to implementation and manufacturer declaration, and the corresponding test requirements shall be based on the actual configuration parameters used in the test.</w:t>
      </w:r>
    </w:p>
    <w:p w14:paraId="3CF9E6E5" w14:textId="2C1028B0" w:rsidR="00B21080" w:rsidRPr="00B21080" w:rsidRDefault="00B21080" w:rsidP="00E00899">
      <w:pPr>
        <w:jc w:val="both"/>
        <w:rPr>
          <w:rFonts w:eastAsiaTheme="minorEastAsia"/>
          <w:b/>
          <w:lang w:val="en-US" w:eastAsia="zh-CN"/>
        </w:rPr>
      </w:pPr>
      <w:r w:rsidRPr="00B21080">
        <w:rPr>
          <w:rFonts w:eastAsiaTheme="minorEastAsia"/>
          <w:b/>
          <w:lang w:val="en-US" w:eastAsia="zh-CN"/>
        </w:rPr>
        <w:t>Observation 1: For IAB-MT, most of the configuration parameters used in the test cases are declared by manufacturer, which means we cannot have a unified test configuration for all IAB-MT.</w:t>
      </w:r>
    </w:p>
    <w:p w14:paraId="1CAC6BF0" w14:textId="1DB59AC0" w:rsidR="003E7CB1" w:rsidRPr="003E7CB1" w:rsidRDefault="003E7CB1" w:rsidP="003E7CB1">
      <w:pPr>
        <w:jc w:val="both"/>
        <w:rPr>
          <w:rFonts w:eastAsiaTheme="minorEastAsia"/>
          <w:b/>
          <w:lang w:val="en-US" w:eastAsia="zh-CN"/>
        </w:rPr>
      </w:pPr>
      <w:r w:rsidRPr="003E7CB1">
        <w:rPr>
          <w:rFonts w:eastAsiaTheme="minorEastAsia"/>
          <w:b/>
          <w:lang w:val="en-US" w:eastAsia="zh-CN"/>
        </w:rPr>
        <w:t xml:space="preserve">Proposal 1: RAN4 to define test cases for Rel-18 Mobile </w:t>
      </w:r>
      <w:r w:rsidRPr="003E7CB1">
        <w:rPr>
          <w:rFonts w:eastAsiaTheme="minorEastAsia" w:hint="eastAsia"/>
          <w:b/>
          <w:lang w:val="en-US" w:eastAsia="zh-CN"/>
        </w:rPr>
        <w:t>IAB</w:t>
      </w:r>
      <w:r w:rsidRPr="003E7CB1">
        <w:rPr>
          <w:rFonts w:eastAsiaTheme="minorEastAsia"/>
          <w:b/>
          <w:lang w:val="en-US" w:eastAsia="zh-CN"/>
        </w:rPr>
        <w:t xml:space="preserve"> to verify following requirements. To keep the same principle as Rel-16/17 that the configuration parameters are left to implementation and manufacturer declaration, and the corresponding test requirements shall be based on the actual configuration parameters used in the test.</w:t>
      </w:r>
    </w:p>
    <w:p w14:paraId="564E5B9D" w14:textId="4B20E5FB" w:rsidR="003E7CB1" w:rsidRPr="003E7CB1" w:rsidRDefault="003E7CB1" w:rsidP="003E7CB1">
      <w:pPr>
        <w:jc w:val="both"/>
        <w:rPr>
          <w:rFonts w:eastAsiaTheme="minorEastAsia"/>
          <w:b/>
          <w:lang w:val="en-US" w:eastAsia="zh-CN"/>
        </w:rPr>
      </w:pPr>
    </w:p>
    <w:p w14:paraId="415DAFB4"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Intra-frequency HO</w:t>
      </w:r>
    </w:p>
    <w:p w14:paraId="422A567F"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 xml:space="preserve">Intra-frequency RRC re-establishment </w:t>
      </w:r>
    </w:p>
    <w:p w14:paraId="6D451243"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Active TCI state switching</w:t>
      </w:r>
    </w:p>
    <w:p w14:paraId="0DDA832A"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RLM</w:t>
      </w:r>
    </w:p>
    <w:p w14:paraId="12E68840"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lastRenderedPageBreak/>
        <w:t>Link recovery procedure</w:t>
      </w:r>
    </w:p>
    <w:p w14:paraId="3105B640"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L1-RSRP</w:t>
      </w:r>
    </w:p>
    <w:p w14:paraId="432D752A"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Intra-frequency measurement requirements</w:t>
      </w:r>
    </w:p>
    <w:p w14:paraId="02F5BD36" w14:textId="77777777" w:rsidR="00B21080" w:rsidRPr="00B21080" w:rsidRDefault="00B21080" w:rsidP="00E00899">
      <w:pPr>
        <w:jc w:val="both"/>
        <w:rPr>
          <w:rFonts w:eastAsiaTheme="minorEastAsia"/>
          <w:lang w:val="en-US" w:eastAsia="zh-CN"/>
        </w:rPr>
      </w:pPr>
    </w:p>
    <w:p w14:paraId="029C8CC3" w14:textId="03D6005D" w:rsidR="00552C11" w:rsidRDefault="00AB1F0B" w:rsidP="00E00899">
      <w:pPr>
        <w:jc w:val="both"/>
        <w:rPr>
          <w:lang w:eastAsia="zh-CN"/>
        </w:rPr>
      </w:pPr>
      <w:r>
        <w:rPr>
          <w:lang w:eastAsia="zh-CN"/>
        </w:rPr>
        <w:t>For measurement accuracy requirements, it is straightforward that legacy accuracy requirements for UE can be reused for mobile IAB-MT. In details, the related accuracy requirements are as follows:</w:t>
      </w:r>
    </w:p>
    <w:p w14:paraId="4EFFE084" w14:textId="4E606E5A" w:rsidR="00AB1F0B" w:rsidRPr="007B3B7A" w:rsidRDefault="00AB1F0B" w:rsidP="00E00899">
      <w:pPr>
        <w:jc w:val="both"/>
        <w:rPr>
          <w:b/>
          <w:lang w:eastAsia="zh-CN"/>
        </w:rPr>
      </w:pPr>
      <w:r w:rsidRPr="007B3B7A">
        <w:rPr>
          <w:b/>
          <w:lang w:eastAsia="zh-CN"/>
        </w:rPr>
        <w:t>Table I. Related accuracy requirements for legacy UE.</w:t>
      </w:r>
    </w:p>
    <w:tbl>
      <w:tblPr>
        <w:tblStyle w:val="TableGrid"/>
        <w:tblW w:w="0" w:type="auto"/>
        <w:tblLook w:val="04A0" w:firstRow="1" w:lastRow="0" w:firstColumn="1" w:lastColumn="0" w:noHBand="0" w:noVBand="1"/>
      </w:tblPr>
      <w:tblGrid>
        <w:gridCol w:w="5845"/>
      </w:tblGrid>
      <w:tr w:rsidR="00AB1F0B" w14:paraId="7703ABF3" w14:textId="77777777" w:rsidTr="00AB1F0B">
        <w:tc>
          <w:tcPr>
            <w:tcW w:w="5845" w:type="dxa"/>
          </w:tcPr>
          <w:p w14:paraId="37489833" w14:textId="6D1FBED7" w:rsidR="00AB1F0B" w:rsidRPr="00AB1F0B" w:rsidRDefault="00AB1F0B" w:rsidP="00E00899">
            <w:pPr>
              <w:jc w:val="both"/>
              <w:rPr>
                <w:lang w:val="en-US" w:eastAsia="zh-CN"/>
              </w:rPr>
            </w:pPr>
            <w:r w:rsidRPr="00AB1F0B">
              <w:rPr>
                <w:lang w:val="en-US" w:eastAsia="zh-CN"/>
              </w:rPr>
              <w:t>10.1.2</w:t>
            </w:r>
            <w:r w:rsidRPr="00AB1F0B">
              <w:rPr>
                <w:lang w:val="en-US" w:eastAsia="zh-CN"/>
              </w:rPr>
              <w:tab/>
              <w:t>Intra-frequency RSRP accuracy requirements for FR1</w:t>
            </w:r>
          </w:p>
        </w:tc>
      </w:tr>
      <w:tr w:rsidR="00AB1F0B" w14:paraId="4451D5B9" w14:textId="77777777" w:rsidTr="00AB1F0B">
        <w:tc>
          <w:tcPr>
            <w:tcW w:w="5845" w:type="dxa"/>
          </w:tcPr>
          <w:p w14:paraId="10A92735" w14:textId="025B095E" w:rsidR="00AB1F0B" w:rsidRPr="00AB1F0B" w:rsidRDefault="00AB1F0B" w:rsidP="00AB1F0B">
            <w:pPr>
              <w:jc w:val="both"/>
              <w:rPr>
                <w:lang w:val="en-US" w:eastAsia="zh-CN"/>
              </w:rPr>
            </w:pPr>
            <w:r w:rsidRPr="009C5807">
              <w:rPr>
                <w:lang w:val="en-US" w:eastAsia="zh-CN"/>
              </w:rPr>
              <w:t>10.1.3</w:t>
            </w:r>
            <w:r w:rsidRPr="009C5807">
              <w:rPr>
                <w:lang w:val="en-US" w:eastAsia="zh-CN"/>
              </w:rPr>
              <w:tab/>
              <w:t>Intra-frequency RSRP accuracy requirements for FR2</w:t>
            </w:r>
          </w:p>
        </w:tc>
      </w:tr>
      <w:tr w:rsidR="00AB1F0B" w14:paraId="190A727A" w14:textId="77777777" w:rsidTr="00AB1F0B">
        <w:tc>
          <w:tcPr>
            <w:tcW w:w="5845" w:type="dxa"/>
          </w:tcPr>
          <w:p w14:paraId="79F3CCF3" w14:textId="79830DDF" w:rsidR="00AB1F0B" w:rsidRPr="00AB1F0B" w:rsidRDefault="00AB1F0B" w:rsidP="00AB1F0B">
            <w:pPr>
              <w:jc w:val="both"/>
              <w:rPr>
                <w:lang w:val="en-US" w:eastAsia="zh-CN"/>
              </w:rPr>
            </w:pPr>
            <w:r w:rsidRPr="009C5807">
              <w:rPr>
                <w:lang w:val="en-US" w:eastAsia="zh-CN"/>
              </w:rPr>
              <w:t>10.1.7</w:t>
            </w:r>
            <w:r w:rsidRPr="009C5807">
              <w:rPr>
                <w:lang w:val="en-US" w:eastAsia="zh-CN"/>
              </w:rPr>
              <w:tab/>
              <w:t>Intra-frequency RSRQ accuracy requirements for FR1</w:t>
            </w:r>
          </w:p>
        </w:tc>
      </w:tr>
      <w:tr w:rsidR="00AB1F0B" w14:paraId="1CA71AE9" w14:textId="77777777" w:rsidTr="00AB1F0B">
        <w:tc>
          <w:tcPr>
            <w:tcW w:w="5845" w:type="dxa"/>
          </w:tcPr>
          <w:p w14:paraId="66D1E0BA" w14:textId="33B82318" w:rsidR="00AB1F0B" w:rsidRPr="00AB1F0B" w:rsidRDefault="00AB1F0B" w:rsidP="00AB1F0B">
            <w:pPr>
              <w:jc w:val="both"/>
              <w:rPr>
                <w:lang w:val="en-US" w:eastAsia="zh-CN"/>
              </w:rPr>
            </w:pPr>
            <w:r w:rsidRPr="009C5807">
              <w:rPr>
                <w:lang w:val="en-US" w:eastAsia="zh-CN"/>
              </w:rPr>
              <w:t>10.1.10</w:t>
            </w:r>
            <w:r w:rsidRPr="009C5807">
              <w:rPr>
                <w:lang w:val="en-US" w:eastAsia="zh-CN"/>
              </w:rPr>
              <w:tab/>
              <w:t>Inter-frequency RSRQ accuracy requirements for FR2</w:t>
            </w:r>
          </w:p>
        </w:tc>
      </w:tr>
      <w:tr w:rsidR="00AB1F0B" w14:paraId="373B4DDD" w14:textId="77777777" w:rsidTr="00AB1F0B">
        <w:tc>
          <w:tcPr>
            <w:tcW w:w="5845" w:type="dxa"/>
          </w:tcPr>
          <w:p w14:paraId="7DB581A3" w14:textId="3A271CAC" w:rsidR="00AB1F0B" w:rsidRPr="00AB1F0B" w:rsidRDefault="00AB1F0B" w:rsidP="00AB1F0B">
            <w:pPr>
              <w:jc w:val="both"/>
              <w:rPr>
                <w:lang w:val="en-US" w:eastAsia="zh-CN"/>
              </w:rPr>
            </w:pPr>
            <w:r w:rsidRPr="009C5807">
              <w:rPr>
                <w:lang w:val="en-US" w:eastAsia="zh-CN"/>
              </w:rPr>
              <w:t>10.1.19</w:t>
            </w:r>
            <w:r w:rsidRPr="009C5807">
              <w:rPr>
                <w:lang w:val="en-US" w:eastAsia="zh-CN"/>
              </w:rPr>
              <w:tab/>
              <w:t>L1-RSRP accuracy requirements for FR1</w:t>
            </w:r>
          </w:p>
        </w:tc>
      </w:tr>
      <w:tr w:rsidR="00AB1F0B" w14:paraId="6A3026C9" w14:textId="77777777" w:rsidTr="00AB1F0B">
        <w:tc>
          <w:tcPr>
            <w:tcW w:w="5845" w:type="dxa"/>
          </w:tcPr>
          <w:p w14:paraId="1297F21E" w14:textId="0983BADE" w:rsidR="00AB1F0B" w:rsidRPr="009C5807" w:rsidRDefault="00AB1F0B" w:rsidP="00AB1F0B">
            <w:pPr>
              <w:jc w:val="both"/>
              <w:rPr>
                <w:lang w:val="en-US" w:eastAsia="zh-CN"/>
              </w:rPr>
            </w:pPr>
            <w:r w:rsidRPr="009C5807">
              <w:rPr>
                <w:lang w:val="en-US" w:eastAsia="zh-CN"/>
              </w:rPr>
              <w:t>10.1.20</w:t>
            </w:r>
            <w:r w:rsidRPr="009C5807">
              <w:rPr>
                <w:lang w:val="en-US" w:eastAsia="zh-CN"/>
              </w:rPr>
              <w:tab/>
              <w:t>L1-RSRP accuracy requirements for FR2</w:t>
            </w:r>
          </w:p>
        </w:tc>
      </w:tr>
    </w:tbl>
    <w:p w14:paraId="7EDE0CC0" w14:textId="77777777" w:rsidR="00D44D11" w:rsidRDefault="00D44D11" w:rsidP="00E00899">
      <w:pPr>
        <w:jc w:val="both"/>
        <w:rPr>
          <w:b/>
          <w:lang w:eastAsia="zh-CN"/>
        </w:rPr>
      </w:pPr>
    </w:p>
    <w:p w14:paraId="4CEAED5A" w14:textId="437D4EFD" w:rsidR="00552C11" w:rsidRDefault="00DB2D84" w:rsidP="00E00899">
      <w:pPr>
        <w:jc w:val="both"/>
        <w:rPr>
          <w:b/>
          <w:lang w:eastAsia="zh-CN"/>
        </w:rPr>
      </w:pPr>
      <w:r w:rsidRPr="00DB2D84">
        <w:rPr>
          <w:b/>
          <w:lang w:eastAsia="zh-CN"/>
        </w:rPr>
        <w:t xml:space="preserve">Proposal </w:t>
      </w:r>
      <w:r w:rsidR="00D44D11">
        <w:rPr>
          <w:b/>
          <w:lang w:eastAsia="zh-CN"/>
        </w:rPr>
        <w:t>2</w:t>
      </w:r>
      <w:r w:rsidRPr="00DB2D84">
        <w:rPr>
          <w:b/>
          <w:lang w:eastAsia="zh-CN"/>
        </w:rPr>
        <w:t>: Accuracy requirements in table I in TS 38.133 can be reused for Rel-18 Mobile IAB.</w:t>
      </w:r>
    </w:p>
    <w:p w14:paraId="5A73C26C" w14:textId="77777777" w:rsidR="00D44D11" w:rsidRPr="00DB2D84" w:rsidRDefault="00D44D11" w:rsidP="00E00899">
      <w:pPr>
        <w:jc w:val="both"/>
        <w:rPr>
          <w:b/>
          <w:lang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058B2C11" w14:textId="01587C5D" w:rsidR="003E7CB1" w:rsidRPr="003E7CB1" w:rsidRDefault="003E7CB1" w:rsidP="003E7CB1">
      <w:pPr>
        <w:jc w:val="both"/>
        <w:rPr>
          <w:rFonts w:eastAsiaTheme="minorEastAsia"/>
          <w:b/>
          <w:lang w:val="en-US" w:eastAsia="zh-CN"/>
        </w:rPr>
      </w:pPr>
      <w:r w:rsidRPr="003E7CB1">
        <w:rPr>
          <w:rFonts w:eastAsiaTheme="minorEastAsia"/>
          <w:b/>
          <w:lang w:val="en-US" w:eastAsia="zh-CN"/>
        </w:rPr>
        <w:t xml:space="preserve">Proposal 1: RAN4 to define test cases for Rel-18 Mobile </w:t>
      </w:r>
      <w:r w:rsidRPr="003E7CB1">
        <w:rPr>
          <w:rFonts w:eastAsiaTheme="minorEastAsia" w:hint="eastAsia"/>
          <w:b/>
          <w:lang w:val="en-US" w:eastAsia="zh-CN"/>
        </w:rPr>
        <w:t>IAB</w:t>
      </w:r>
      <w:r w:rsidRPr="003E7CB1">
        <w:rPr>
          <w:rFonts w:eastAsiaTheme="minorEastAsia"/>
          <w:b/>
          <w:lang w:val="en-US" w:eastAsia="zh-CN"/>
        </w:rPr>
        <w:t xml:space="preserve"> to verify following requirements</w:t>
      </w:r>
      <w:r w:rsidR="008621CC">
        <w:rPr>
          <w:rFonts w:eastAsiaTheme="minorEastAsia"/>
          <w:b/>
          <w:lang w:val="en-US" w:eastAsia="zh-CN"/>
        </w:rPr>
        <w:t xml:space="preserve">, and keep </w:t>
      </w:r>
      <w:bookmarkStart w:id="1" w:name="_GoBack"/>
      <w:bookmarkEnd w:id="1"/>
      <w:r w:rsidRPr="003E7CB1">
        <w:rPr>
          <w:rFonts w:eastAsiaTheme="minorEastAsia"/>
          <w:b/>
          <w:lang w:val="en-US" w:eastAsia="zh-CN"/>
        </w:rPr>
        <w:t>the same principle as Rel-16/17 that the configuration parameters are left to implementation and manufacturer declaration, and the corresponding test requirements shall be based on the actual configuration parameters used in the test.</w:t>
      </w:r>
    </w:p>
    <w:p w14:paraId="47264BB0"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Intra-frequency HO</w:t>
      </w:r>
    </w:p>
    <w:p w14:paraId="23326BAB"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 xml:space="preserve">Intra-frequency RRC re-establishment </w:t>
      </w:r>
    </w:p>
    <w:p w14:paraId="60593298"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Active TCI state switching</w:t>
      </w:r>
    </w:p>
    <w:p w14:paraId="58F6E941"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RLM</w:t>
      </w:r>
    </w:p>
    <w:p w14:paraId="135F3C01"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Link recovery procedure</w:t>
      </w:r>
    </w:p>
    <w:p w14:paraId="478DC097"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L1-RSRP</w:t>
      </w:r>
    </w:p>
    <w:p w14:paraId="24222C9C" w14:textId="77777777" w:rsidR="003E7CB1" w:rsidRPr="003E7CB1" w:rsidRDefault="003E7CB1" w:rsidP="003E7CB1">
      <w:pPr>
        <w:pStyle w:val="ListParagraph"/>
        <w:numPr>
          <w:ilvl w:val="0"/>
          <w:numId w:val="32"/>
        </w:numPr>
        <w:ind w:firstLineChars="0"/>
        <w:jc w:val="both"/>
        <w:rPr>
          <w:rFonts w:eastAsiaTheme="minorEastAsia"/>
          <w:b/>
          <w:lang w:val="en-US" w:eastAsia="zh-CN"/>
        </w:rPr>
      </w:pPr>
      <w:r w:rsidRPr="003E7CB1">
        <w:rPr>
          <w:rFonts w:eastAsiaTheme="minorEastAsia"/>
          <w:b/>
          <w:lang w:val="en-US" w:eastAsia="zh-CN"/>
        </w:rPr>
        <w:t>Intra-frequency measurement requirements</w:t>
      </w:r>
    </w:p>
    <w:p w14:paraId="4E1628A6" w14:textId="77777777" w:rsidR="003E7CB1" w:rsidRDefault="003E7CB1" w:rsidP="003E7CB1">
      <w:pPr>
        <w:jc w:val="both"/>
        <w:rPr>
          <w:b/>
          <w:lang w:eastAsia="zh-CN"/>
        </w:rPr>
      </w:pPr>
      <w:r w:rsidRPr="00DB2D84">
        <w:rPr>
          <w:b/>
          <w:lang w:eastAsia="zh-CN"/>
        </w:rPr>
        <w:t xml:space="preserve">Proposal </w:t>
      </w:r>
      <w:r>
        <w:rPr>
          <w:b/>
          <w:lang w:eastAsia="zh-CN"/>
        </w:rPr>
        <w:t>2</w:t>
      </w:r>
      <w:r w:rsidRPr="00DB2D84">
        <w:rPr>
          <w:b/>
          <w:lang w:eastAsia="zh-CN"/>
        </w:rPr>
        <w:t>: Accuracy requirements in table I in TS 38.133 can be reused for Rel-18 Mobile IAB.</w:t>
      </w:r>
    </w:p>
    <w:p w14:paraId="7FC4ABEB" w14:textId="77777777" w:rsidR="00C60D0E" w:rsidRPr="00037600" w:rsidRDefault="00C60D0E" w:rsidP="00037600">
      <w:pPr>
        <w:jc w:val="both"/>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77777777" w:rsidR="007E1DD2" w:rsidRPr="00AC17B5" w:rsidRDefault="007E1DD2">
      <w:pPr>
        <w:rPr>
          <w:rFonts w:eastAsiaTheme="minorEastAsia"/>
          <w:lang w:eastAsia="zh-CN"/>
        </w:rPr>
      </w:pPr>
    </w:p>
    <w:sectPr w:rsidR="007E1DD2"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9C69A" w14:textId="77777777" w:rsidR="007F0694" w:rsidRDefault="007F0694">
      <w:pPr>
        <w:spacing w:after="0"/>
      </w:pPr>
      <w:r>
        <w:separator/>
      </w:r>
    </w:p>
  </w:endnote>
  <w:endnote w:type="continuationSeparator" w:id="0">
    <w:p w14:paraId="51829CB7" w14:textId="77777777" w:rsidR="007F0694" w:rsidRDefault="007F06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07243" w14:textId="77777777" w:rsidR="007F0694" w:rsidRDefault="007F0694">
      <w:pPr>
        <w:spacing w:after="0"/>
      </w:pPr>
      <w:r>
        <w:separator/>
      </w:r>
    </w:p>
  </w:footnote>
  <w:footnote w:type="continuationSeparator" w:id="0">
    <w:p w14:paraId="387C1D20" w14:textId="77777777" w:rsidR="007F0694" w:rsidRDefault="007F06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57E76"/>
    <w:multiLevelType w:val="hybridMultilevel"/>
    <w:tmpl w:val="6C128B2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8FB6A45"/>
    <w:multiLevelType w:val="hybridMultilevel"/>
    <w:tmpl w:val="4E581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64D17E72"/>
    <w:multiLevelType w:val="hybridMultilevel"/>
    <w:tmpl w:val="7DF0FCF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67091242"/>
    <w:multiLevelType w:val="hybridMultilevel"/>
    <w:tmpl w:val="55EA7D0E"/>
    <w:lvl w:ilvl="0" w:tplc="723CD7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19"/>
  </w:num>
  <w:num w:numId="4">
    <w:abstractNumId w:val="15"/>
  </w:num>
  <w:num w:numId="5">
    <w:abstractNumId w:val="16"/>
  </w:num>
  <w:num w:numId="6">
    <w:abstractNumId w:val="4"/>
  </w:num>
  <w:num w:numId="7">
    <w:abstractNumId w:val="2"/>
  </w:num>
  <w:num w:numId="8">
    <w:abstractNumId w:val="21"/>
  </w:num>
  <w:num w:numId="9">
    <w:abstractNumId w:val="10"/>
  </w:num>
  <w:num w:numId="10">
    <w:abstractNumId w:val="24"/>
  </w:num>
  <w:num w:numId="11">
    <w:abstractNumId w:val="30"/>
  </w:num>
  <w:num w:numId="12">
    <w:abstractNumId w:val="0"/>
  </w:num>
  <w:num w:numId="13">
    <w:abstractNumId w:val="6"/>
  </w:num>
  <w:num w:numId="14">
    <w:abstractNumId w:val="1"/>
  </w:num>
  <w:num w:numId="15">
    <w:abstractNumId w:val="28"/>
  </w:num>
  <w:num w:numId="16">
    <w:abstractNumId w:val="22"/>
  </w:num>
  <w:num w:numId="17">
    <w:abstractNumId w:val="13"/>
  </w:num>
  <w:num w:numId="18">
    <w:abstractNumId w:val="27"/>
  </w:num>
  <w:num w:numId="19">
    <w:abstractNumId w:val="14"/>
  </w:num>
  <w:num w:numId="20">
    <w:abstractNumId w:val="23"/>
  </w:num>
  <w:num w:numId="21">
    <w:abstractNumId w:val="8"/>
  </w:num>
  <w:num w:numId="22">
    <w:abstractNumId w:val="20"/>
  </w:num>
  <w:num w:numId="23">
    <w:abstractNumId w:val="31"/>
  </w:num>
  <w:num w:numId="24">
    <w:abstractNumId w:val="3"/>
  </w:num>
  <w:num w:numId="25">
    <w:abstractNumId w:val="12"/>
  </w:num>
  <w:num w:numId="26">
    <w:abstractNumId w:val="5"/>
  </w:num>
  <w:num w:numId="27">
    <w:abstractNumId w:val="18"/>
  </w:num>
  <w:num w:numId="28">
    <w:abstractNumId w:val="9"/>
  </w:num>
  <w:num w:numId="29">
    <w:abstractNumId w:val="26"/>
  </w:num>
  <w:num w:numId="30">
    <w:abstractNumId w:val="11"/>
  </w:num>
  <w:num w:numId="31">
    <w:abstractNumId w:val="7"/>
  </w:num>
  <w:num w:numId="32">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5BFC"/>
    <w:rsid w:val="00021717"/>
    <w:rsid w:val="00025036"/>
    <w:rsid w:val="00027AF7"/>
    <w:rsid w:val="0003406E"/>
    <w:rsid w:val="00034B30"/>
    <w:rsid w:val="00035B7C"/>
    <w:rsid w:val="00035D42"/>
    <w:rsid w:val="00037600"/>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1833"/>
    <w:rsid w:val="000731A5"/>
    <w:rsid w:val="00076C0A"/>
    <w:rsid w:val="0008165F"/>
    <w:rsid w:val="00086874"/>
    <w:rsid w:val="00087858"/>
    <w:rsid w:val="000903D2"/>
    <w:rsid w:val="00092907"/>
    <w:rsid w:val="00095431"/>
    <w:rsid w:val="00096503"/>
    <w:rsid w:val="000971F3"/>
    <w:rsid w:val="00097E39"/>
    <w:rsid w:val="000A0B33"/>
    <w:rsid w:val="000A12FD"/>
    <w:rsid w:val="000A16F5"/>
    <w:rsid w:val="000A1878"/>
    <w:rsid w:val="000A2ED7"/>
    <w:rsid w:val="000A4BCB"/>
    <w:rsid w:val="000A5097"/>
    <w:rsid w:val="000A7A19"/>
    <w:rsid w:val="000B0883"/>
    <w:rsid w:val="000B0EFB"/>
    <w:rsid w:val="000B1439"/>
    <w:rsid w:val="000B15EC"/>
    <w:rsid w:val="000B2A9A"/>
    <w:rsid w:val="000B4FB5"/>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467F"/>
    <w:rsid w:val="00151949"/>
    <w:rsid w:val="00152334"/>
    <w:rsid w:val="001531EC"/>
    <w:rsid w:val="00153CFF"/>
    <w:rsid w:val="00161733"/>
    <w:rsid w:val="00161981"/>
    <w:rsid w:val="00163083"/>
    <w:rsid w:val="00163724"/>
    <w:rsid w:val="00165992"/>
    <w:rsid w:val="0016691F"/>
    <w:rsid w:val="001734E7"/>
    <w:rsid w:val="00174EF2"/>
    <w:rsid w:val="00175B04"/>
    <w:rsid w:val="0017747E"/>
    <w:rsid w:val="0018314E"/>
    <w:rsid w:val="00184719"/>
    <w:rsid w:val="00184811"/>
    <w:rsid w:val="00186B3D"/>
    <w:rsid w:val="00187EB1"/>
    <w:rsid w:val="00191CB9"/>
    <w:rsid w:val="0019343D"/>
    <w:rsid w:val="00194432"/>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6CF4"/>
    <w:rsid w:val="0020000C"/>
    <w:rsid w:val="0020033A"/>
    <w:rsid w:val="002016E9"/>
    <w:rsid w:val="00202BE4"/>
    <w:rsid w:val="00204DA3"/>
    <w:rsid w:val="00204EED"/>
    <w:rsid w:val="00207FF4"/>
    <w:rsid w:val="0021254D"/>
    <w:rsid w:val="00212E0B"/>
    <w:rsid w:val="00216AAB"/>
    <w:rsid w:val="00217770"/>
    <w:rsid w:val="002200DF"/>
    <w:rsid w:val="002204E2"/>
    <w:rsid w:val="00221C9D"/>
    <w:rsid w:val="00221F42"/>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1BF2"/>
    <w:rsid w:val="00282D3C"/>
    <w:rsid w:val="00285F00"/>
    <w:rsid w:val="00287055"/>
    <w:rsid w:val="00290B5F"/>
    <w:rsid w:val="00294B79"/>
    <w:rsid w:val="00295C83"/>
    <w:rsid w:val="002978A7"/>
    <w:rsid w:val="002A0BB1"/>
    <w:rsid w:val="002A0F1F"/>
    <w:rsid w:val="002A1F07"/>
    <w:rsid w:val="002A235C"/>
    <w:rsid w:val="002A23E5"/>
    <w:rsid w:val="002A2EF8"/>
    <w:rsid w:val="002A5E54"/>
    <w:rsid w:val="002A677B"/>
    <w:rsid w:val="002A68E7"/>
    <w:rsid w:val="002A6D92"/>
    <w:rsid w:val="002B05C8"/>
    <w:rsid w:val="002B1318"/>
    <w:rsid w:val="002B3AA3"/>
    <w:rsid w:val="002B45C3"/>
    <w:rsid w:val="002B5D5D"/>
    <w:rsid w:val="002B6FD5"/>
    <w:rsid w:val="002C2688"/>
    <w:rsid w:val="002C2693"/>
    <w:rsid w:val="002C33C3"/>
    <w:rsid w:val="002C3EF1"/>
    <w:rsid w:val="002C45D3"/>
    <w:rsid w:val="002C78B7"/>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131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E7CB1"/>
    <w:rsid w:val="003F0F9F"/>
    <w:rsid w:val="003F4698"/>
    <w:rsid w:val="003F762D"/>
    <w:rsid w:val="003F76BC"/>
    <w:rsid w:val="00401473"/>
    <w:rsid w:val="00401CE4"/>
    <w:rsid w:val="00411911"/>
    <w:rsid w:val="00412C4D"/>
    <w:rsid w:val="00415933"/>
    <w:rsid w:val="00420459"/>
    <w:rsid w:val="00423683"/>
    <w:rsid w:val="00423FB0"/>
    <w:rsid w:val="00425CA6"/>
    <w:rsid w:val="004273E7"/>
    <w:rsid w:val="00427AAF"/>
    <w:rsid w:val="00430F24"/>
    <w:rsid w:val="00433560"/>
    <w:rsid w:val="00435D65"/>
    <w:rsid w:val="00435EBD"/>
    <w:rsid w:val="0043678E"/>
    <w:rsid w:val="00451B80"/>
    <w:rsid w:val="0045581F"/>
    <w:rsid w:val="00455FD0"/>
    <w:rsid w:val="004569BB"/>
    <w:rsid w:val="00463743"/>
    <w:rsid w:val="00466D02"/>
    <w:rsid w:val="00471E01"/>
    <w:rsid w:val="00473815"/>
    <w:rsid w:val="004753AC"/>
    <w:rsid w:val="00477263"/>
    <w:rsid w:val="004800B2"/>
    <w:rsid w:val="00485549"/>
    <w:rsid w:val="00485B29"/>
    <w:rsid w:val="00485D88"/>
    <w:rsid w:val="00493850"/>
    <w:rsid w:val="00494BF2"/>
    <w:rsid w:val="0049501A"/>
    <w:rsid w:val="004A0F19"/>
    <w:rsid w:val="004A29B2"/>
    <w:rsid w:val="004A40D0"/>
    <w:rsid w:val="004A4DC4"/>
    <w:rsid w:val="004A678E"/>
    <w:rsid w:val="004A7CF2"/>
    <w:rsid w:val="004A7F44"/>
    <w:rsid w:val="004B01A6"/>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2C11"/>
    <w:rsid w:val="00554525"/>
    <w:rsid w:val="005546D8"/>
    <w:rsid w:val="00554728"/>
    <w:rsid w:val="005567E5"/>
    <w:rsid w:val="00556A51"/>
    <w:rsid w:val="00557527"/>
    <w:rsid w:val="00561171"/>
    <w:rsid w:val="00565076"/>
    <w:rsid w:val="0056748A"/>
    <w:rsid w:val="00571CD2"/>
    <w:rsid w:val="00573C6F"/>
    <w:rsid w:val="00574A26"/>
    <w:rsid w:val="00575156"/>
    <w:rsid w:val="005755A4"/>
    <w:rsid w:val="005763DF"/>
    <w:rsid w:val="00576E1C"/>
    <w:rsid w:val="00582652"/>
    <w:rsid w:val="005906DB"/>
    <w:rsid w:val="005A2A55"/>
    <w:rsid w:val="005A2C70"/>
    <w:rsid w:val="005A456B"/>
    <w:rsid w:val="005A59E0"/>
    <w:rsid w:val="005A6C6C"/>
    <w:rsid w:val="005A6EF7"/>
    <w:rsid w:val="005B0D68"/>
    <w:rsid w:val="005B1B37"/>
    <w:rsid w:val="005B1E97"/>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6123"/>
    <w:rsid w:val="0061679F"/>
    <w:rsid w:val="00622EBC"/>
    <w:rsid w:val="00622FBA"/>
    <w:rsid w:val="00625728"/>
    <w:rsid w:val="00637A49"/>
    <w:rsid w:val="006420CE"/>
    <w:rsid w:val="00651B4A"/>
    <w:rsid w:val="006538FE"/>
    <w:rsid w:val="006539F1"/>
    <w:rsid w:val="0065634B"/>
    <w:rsid w:val="006617B8"/>
    <w:rsid w:val="0066186B"/>
    <w:rsid w:val="00661AFF"/>
    <w:rsid w:val="00664D04"/>
    <w:rsid w:val="00671047"/>
    <w:rsid w:val="0067134A"/>
    <w:rsid w:val="0067220D"/>
    <w:rsid w:val="00672FCE"/>
    <w:rsid w:val="006769A2"/>
    <w:rsid w:val="006770FF"/>
    <w:rsid w:val="00677991"/>
    <w:rsid w:val="00681F59"/>
    <w:rsid w:val="00685908"/>
    <w:rsid w:val="0068610B"/>
    <w:rsid w:val="006901CA"/>
    <w:rsid w:val="006916D6"/>
    <w:rsid w:val="00696A74"/>
    <w:rsid w:val="006A1B1F"/>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3F12"/>
    <w:rsid w:val="00734B34"/>
    <w:rsid w:val="00736D84"/>
    <w:rsid w:val="007405BE"/>
    <w:rsid w:val="00744C8A"/>
    <w:rsid w:val="00745078"/>
    <w:rsid w:val="007469EA"/>
    <w:rsid w:val="00747C34"/>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A103E"/>
    <w:rsid w:val="007A2DCA"/>
    <w:rsid w:val="007A336E"/>
    <w:rsid w:val="007A37DA"/>
    <w:rsid w:val="007A52D1"/>
    <w:rsid w:val="007A535E"/>
    <w:rsid w:val="007A6ED4"/>
    <w:rsid w:val="007A793C"/>
    <w:rsid w:val="007B119C"/>
    <w:rsid w:val="007B18BC"/>
    <w:rsid w:val="007B3B7A"/>
    <w:rsid w:val="007B3DC0"/>
    <w:rsid w:val="007B57F3"/>
    <w:rsid w:val="007B7B6A"/>
    <w:rsid w:val="007C0D2E"/>
    <w:rsid w:val="007C1A2D"/>
    <w:rsid w:val="007C4507"/>
    <w:rsid w:val="007C5083"/>
    <w:rsid w:val="007C5B24"/>
    <w:rsid w:val="007C7B39"/>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0694"/>
    <w:rsid w:val="007F2371"/>
    <w:rsid w:val="007F2E6A"/>
    <w:rsid w:val="007F7393"/>
    <w:rsid w:val="007F7CA2"/>
    <w:rsid w:val="007F7E14"/>
    <w:rsid w:val="008001CA"/>
    <w:rsid w:val="00801EB4"/>
    <w:rsid w:val="00804945"/>
    <w:rsid w:val="00806D16"/>
    <w:rsid w:val="00807F39"/>
    <w:rsid w:val="00813A56"/>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CC"/>
    <w:rsid w:val="008621D1"/>
    <w:rsid w:val="0086316D"/>
    <w:rsid w:val="00865109"/>
    <w:rsid w:val="008708B9"/>
    <w:rsid w:val="0087326D"/>
    <w:rsid w:val="00873C1C"/>
    <w:rsid w:val="00873F55"/>
    <w:rsid w:val="0087471E"/>
    <w:rsid w:val="00874D51"/>
    <w:rsid w:val="008766C3"/>
    <w:rsid w:val="00882247"/>
    <w:rsid w:val="00882525"/>
    <w:rsid w:val="00883DD5"/>
    <w:rsid w:val="00885469"/>
    <w:rsid w:val="008921D4"/>
    <w:rsid w:val="008924AB"/>
    <w:rsid w:val="00892EAE"/>
    <w:rsid w:val="00893C66"/>
    <w:rsid w:val="00894FFF"/>
    <w:rsid w:val="00895188"/>
    <w:rsid w:val="00895225"/>
    <w:rsid w:val="008A1C4E"/>
    <w:rsid w:val="008A2B76"/>
    <w:rsid w:val="008A4FA1"/>
    <w:rsid w:val="008B3970"/>
    <w:rsid w:val="008B4408"/>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68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50D8"/>
    <w:rsid w:val="00946BF6"/>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43610"/>
    <w:rsid w:val="00A54AE8"/>
    <w:rsid w:val="00A558AB"/>
    <w:rsid w:val="00A612F9"/>
    <w:rsid w:val="00A63AF5"/>
    <w:rsid w:val="00A657C7"/>
    <w:rsid w:val="00A725EA"/>
    <w:rsid w:val="00A74DCD"/>
    <w:rsid w:val="00A76175"/>
    <w:rsid w:val="00A7739E"/>
    <w:rsid w:val="00A777D8"/>
    <w:rsid w:val="00A848D0"/>
    <w:rsid w:val="00A85287"/>
    <w:rsid w:val="00A85781"/>
    <w:rsid w:val="00A86270"/>
    <w:rsid w:val="00A87084"/>
    <w:rsid w:val="00A93BF2"/>
    <w:rsid w:val="00A93E0D"/>
    <w:rsid w:val="00A97D55"/>
    <w:rsid w:val="00AA0886"/>
    <w:rsid w:val="00AA31F0"/>
    <w:rsid w:val="00AB044A"/>
    <w:rsid w:val="00AB0D70"/>
    <w:rsid w:val="00AB1128"/>
    <w:rsid w:val="00AB1F0B"/>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0A96"/>
    <w:rsid w:val="00AF2875"/>
    <w:rsid w:val="00AF5966"/>
    <w:rsid w:val="00B00EDB"/>
    <w:rsid w:val="00B02A13"/>
    <w:rsid w:val="00B0495D"/>
    <w:rsid w:val="00B07979"/>
    <w:rsid w:val="00B10C6E"/>
    <w:rsid w:val="00B1210E"/>
    <w:rsid w:val="00B1402B"/>
    <w:rsid w:val="00B154EE"/>
    <w:rsid w:val="00B21080"/>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1AB5"/>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B8B"/>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0D0E"/>
    <w:rsid w:val="00C629BE"/>
    <w:rsid w:val="00C638D8"/>
    <w:rsid w:val="00C63D6B"/>
    <w:rsid w:val="00C64128"/>
    <w:rsid w:val="00C710B7"/>
    <w:rsid w:val="00C73515"/>
    <w:rsid w:val="00C7368C"/>
    <w:rsid w:val="00C74442"/>
    <w:rsid w:val="00C754BC"/>
    <w:rsid w:val="00C76E52"/>
    <w:rsid w:val="00C83525"/>
    <w:rsid w:val="00C83C95"/>
    <w:rsid w:val="00C87DEB"/>
    <w:rsid w:val="00CA1729"/>
    <w:rsid w:val="00CA17E1"/>
    <w:rsid w:val="00CA1984"/>
    <w:rsid w:val="00CA1DAE"/>
    <w:rsid w:val="00CA234E"/>
    <w:rsid w:val="00CA2793"/>
    <w:rsid w:val="00CA4BFC"/>
    <w:rsid w:val="00CA7429"/>
    <w:rsid w:val="00CB0BED"/>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4D11"/>
    <w:rsid w:val="00D463A3"/>
    <w:rsid w:val="00D50358"/>
    <w:rsid w:val="00D51833"/>
    <w:rsid w:val="00D55894"/>
    <w:rsid w:val="00D56B66"/>
    <w:rsid w:val="00D57BE5"/>
    <w:rsid w:val="00D66E05"/>
    <w:rsid w:val="00D67ABE"/>
    <w:rsid w:val="00D70E16"/>
    <w:rsid w:val="00D72AE0"/>
    <w:rsid w:val="00D73373"/>
    <w:rsid w:val="00D74CA3"/>
    <w:rsid w:val="00D76666"/>
    <w:rsid w:val="00D828E1"/>
    <w:rsid w:val="00D8441F"/>
    <w:rsid w:val="00D850B9"/>
    <w:rsid w:val="00D94E39"/>
    <w:rsid w:val="00D9789C"/>
    <w:rsid w:val="00DA2AEF"/>
    <w:rsid w:val="00DA7CE8"/>
    <w:rsid w:val="00DB10D2"/>
    <w:rsid w:val="00DB1DD4"/>
    <w:rsid w:val="00DB2D84"/>
    <w:rsid w:val="00DB61B3"/>
    <w:rsid w:val="00DC3E47"/>
    <w:rsid w:val="00DC49A6"/>
    <w:rsid w:val="00DD0915"/>
    <w:rsid w:val="00DD1DFF"/>
    <w:rsid w:val="00DD33CF"/>
    <w:rsid w:val="00DE2EAB"/>
    <w:rsid w:val="00DE3896"/>
    <w:rsid w:val="00DE4435"/>
    <w:rsid w:val="00DF0231"/>
    <w:rsid w:val="00DF348D"/>
    <w:rsid w:val="00DF6E96"/>
    <w:rsid w:val="00E00899"/>
    <w:rsid w:val="00E008C7"/>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243"/>
    <w:rsid w:val="00E406F2"/>
    <w:rsid w:val="00E41266"/>
    <w:rsid w:val="00E415BA"/>
    <w:rsid w:val="00E42C77"/>
    <w:rsid w:val="00E45AEB"/>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A5F3B"/>
    <w:rsid w:val="00EB02DF"/>
    <w:rsid w:val="00EB2795"/>
    <w:rsid w:val="00EB7895"/>
    <w:rsid w:val="00EC42A1"/>
    <w:rsid w:val="00EC7E66"/>
    <w:rsid w:val="00ED06AD"/>
    <w:rsid w:val="00ED06E2"/>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2B35"/>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3B292-E4AC-47AF-AC63-6388413CA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10265</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cp:revision>
  <dcterms:created xsi:type="dcterms:W3CDTF">2022-09-19T08:46:00Z</dcterms:created>
  <dcterms:modified xsi:type="dcterms:W3CDTF">2023-11-03T08:29:00Z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(3)wxpdTUnlTFJmrVY2g5ininzmNTUWFJa2bd500EJzO8RCE57EM05dWWCkaQE5ZbiPvrAOhNMm
NNELp6mUuQ+LAPPNRmS/xxBrQ8e+hPu8lcQ30RPjmO2RDpljH4wwZ9Pfu81W4rLCwk7NDSFT
BZa/mKoVIQjmC0UwZt6KarsZZ/55C1iGBxWIcgMo2nIO3DkgyF1rZ6zUR600toO7evxrtOmV
yA/xg3VfTpG+h+RWmp</vt:lpwstr>
  </property>
  <property fmtid="{D5CDD505-2E9C-101B-9397-08002B2CF9AE}" pid="3" name="_2015_ms_pID_7253431">
    <vt:lpwstr>V5qmRJvdwAKXAQkiu6v8SWcq3tUzMjGTmYUJK/1TdqrLz3StCrO4xL
yqsYBgJK2PDNnio+LrFoyoEsrbGTemfXsjLOz+iec6zpHxjxb0oW2TlcYe6Xe+YWF8VzAYSt
LEAqf9sxFCCmHwyhtI1dpCEZrIJvYgByaMyX7cA/6yP5T/owib/OxbYmvnNpVyDNjh9ND1H8
E5xXDKzr7/JfkwS6qg7ycTNWpBLeOTYsT7TM</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