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before="0" w:beforeLines="0" w:after="0" w:afterLines="0" w:line="240" w:lineRule="auto"/>
        <w:ind w:left="1980" w:hanging="1980"/>
        <w:outlineLvl w:val="9"/>
        <w:rPr>
          <w:rFonts w:hint="default" w:ascii="Arial" w:hAnsi="Arial" w:eastAsia="宋体" w:cs="Arial"/>
          <w:b/>
          <w:sz w:val="24"/>
          <w:szCs w:val="24"/>
          <w:lang w:val="en-US" w:eastAsia="zh-CN"/>
        </w:rPr>
      </w:pPr>
      <w:bookmarkStart w:id="0" w:name="Title"/>
      <w:bookmarkEnd w:id="0"/>
      <w:r>
        <w:rPr>
          <w:rFonts w:hint="eastAsia" w:ascii="Arial" w:hAnsi="Arial" w:eastAsia="宋体" w:cs="Arial"/>
          <w:b/>
          <w:sz w:val="24"/>
          <w:szCs w:val="24"/>
          <w:lang w:eastAsia="zh-CN"/>
        </w:rPr>
        <w:t>3GPP TSG-RAN WG4 Meeting # 109</w:t>
      </w:r>
      <w:r>
        <w:rPr>
          <w:rFonts w:hint="eastAsia" w:ascii="Arial" w:hAnsi="Arial" w:eastAsia="宋体" w:cs="Arial"/>
          <w:b/>
          <w:sz w:val="24"/>
          <w:szCs w:val="24"/>
          <w:lang w:eastAsia="zh-CN"/>
        </w:rPr>
        <w:tab/>
      </w:r>
      <w:r>
        <w:rPr>
          <w:rFonts w:hint="eastAsia" w:ascii="Arial" w:hAnsi="Arial" w:eastAsia="宋体" w:cs="Arial"/>
          <w:b/>
          <w:sz w:val="24"/>
          <w:szCs w:val="24"/>
          <w:lang w:eastAsia="zh-CN"/>
        </w:rPr>
        <w:tab/>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R4-23</w:t>
      </w:r>
      <w:r>
        <w:rPr>
          <w:rFonts w:hint="eastAsia" w:ascii="Arial" w:hAnsi="Arial" w:cs="Arial"/>
          <w:b/>
          <w:sz w:val="24"/>
          <w:szCs w:val="24"/>
          <w:lang w:val="en-US" w:eastAsia="zh-CN"/>
        </w:rPr>
        <w:t>19302</w:t>
      </w:r>
    </w:p>
    <w:p>
      <w:pPr>
        <w:tabs>
          <w:tab w:val="left" w:pos="1985"/>
        </w:tabs>
        <w:spacing w:before="0" w:beforeLines="0" w:after="0" w:afterLines="0" w:line="240" w:lineRule="auto"/>
        <w:ind w:left="1980" w:hanging="1980"/>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Chicago, US, November 13 – 17, 2023</w:t>
      </w:r>
    </w:p>
    <w:p>
      <w:pPr>
        <w:tabs>
          <w:tab w:val="left" w:pos="1985"/>
        </w:tabs>
        <w:spacing w:after="180"/>
        <w:ind w:left="1980" w:hanging="1980"/>
        <w:outlineLvl w:val="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trike w:val="0"/>
          <w:sz w:val="24"/>
          <w:szCs w:val="24"/>
          <w:lang w:val="en-US" w:eastAsia="zh-CN"/>
        </w:rPr>
        <w:t>8.24.2.4</w:t>
      </w:r>
      <w:bookmarkStart w:id="6" w:name="_GoBack"/>
      <w:bookmarkEnd w:id="6"/>
    </w:p>
    <w:p>
      <w:pPr>
        <w:tabs>
          <w:tab w:val="left" w:pos="1985"/>
        </w:tabs>
        <w:spacing w:after="180"/>
        <w:ind w:left="1980" w:hanging="1980"/>
        <w:outlineLvl w:val="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5"/>
        </w:tabs>
        <w:spacing w:after="180"/>
        <w:ind w:left="1980" w:hanging="1980"/>
        <w:outlineLvl w:val="0"/>
        <w:rPr>
          <w:rFonts w:hint="default" w:ascii="Arial" w:hAnsi="Arial" w:eastAsia="MS Mincho" w:cs="Arial"/>
          <w:b/>
          <w:strike w:val="0"/>
          <w:sz w:val="24"/>
          <w:szCs w:val="24"/>
          <w:lang w:val="en-US"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trike w:val="0"/>
          <w:sz w:val="24"/>
          <w:szCs w:val="24"/>
          <w:lang w:val="en-US" w:eastAsia="zh-CN"/>
        </w:rPr>
        <w:t>D</w:t>
      </w:r>
      <w:r>
        <w:rPr>
          <w:rFonts w:hint="default" w:ascii="Arial" w:hAnsi="Arial" w:eastAsia="MS Mincho" w:cs="Arial"/>
          <w:b/>
          <w:strike w:val="0"/>
          <w:sz w:val="24"/>
          <w:szCs w:val="24"/>
          <w:lang w:val="en-US" w:eastAsia="en-US"/>
        </w:rPr>
        <w:t xml:space="preserve">iscussion on </w:t>
      </w:r>
      <w:r>
        <w:rPr>
          <w:rFonts w:hint="default" w:ascii="Arial" w:hAnsi="Arial" w:eastAsia="MS Mincho" w:cs="Arial"/>
          <w:b/>
          <w:bCs w:val="0"/>
          <w:sz w:val="24"/>
          <w:szCs w:val="24"/>
          <w:lang w:val="en-US" w:eastAsia="en-US"/>
        </w:rPr>
        <w:t>u</w:t>
      </w:r>
      <w:r>
        <w:rPr>
          <w:rFonts w:ascii="Arial" w:hAnsi="Arial" w:eastAsia="MS Mincho" w:cs="Arial"/>
          <w:b/>
          <w:bCs w:val="0"/>
          <w:sz w:val="24"/>
          <w:szCs w:val="24"/>
          <w:lang w:eastAsia="en-US"/>
        </w:rPr>
        <w:t>sing L3 measurement in L1 report</w:t>
      </w:r>
    </w:p>
    <w:p>
      <w:pPr>
        <w:tabs>
          <w:tab w:val="left" w:pos="1980"/>
        </w:tabs>
        <w:spacing w:after="180"/>
        <w:ind w:left="1980" w:hanging="1980"/>
        <w:outlineLvl w:val="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ind w:left="510" w:hanging="510"/>
      </w:pPr>
      <w:r>
        <w:t>Introduction</w:t>
      </w:r>
    </w:p>
    <w:p>
      <w:pPr>
        <w:rPr>
          <w:sz w:val="21"/>
          <w:szCs w:val="21"/>
          <w:lang w:val="en-CA"/>
        </w:rPr>
      </w:pPr>
      <w:r>
        <w:rPr>
          <w:sz w:val="21"/>
          <w:szCs w:val="21"/>
          <w:lang w:val="en-CA"/>
        </w:rPr>
        <w:t>In previous meeting following agreement are made for UE L1 measurement behaviour.</w:t>
      </w:r>
    </w:p>
    <w:p>
      <w:pPr>
        <w:pStyle w:val="34"/>
        <w:numPr>
          <w:ilvl w:val="0"/>
          <w:numId w:val="4"/>
        </w:numPr>
        <w:spacing w:after="120"/>
        <w:contextualSpacing w:val="0"/>
        <w:rPr>
          <w:i/>
          <w:iCs/>
          <w:sz w:val="21"/>
          <w:szCs w:val="21"/>
        </w:rPr>
      </w:pPr>
      <w:r>
        <w:rPr>
          <w:i/>
          <w:iCs/>
          <w:sz w:val="21"/>
          <w:szCs w:val="21"/>
        </w:rPr>
        <w:t>Baseline: UE is NOT expected to use L3 measurement results for intra-frequency or inter-frequency L1 measurement report</w:t>
      </w:r>
    </w:p>
    <w:p>
      <w:pPr>
        <w:pStyle w:val="34"/>
        <w:numPr>
          <w:ilvl w:val="1"/>
          <w:numId w:val="4"/>
        </w:numPr>
        <w:spacing w:after="120"/>
        <w:contextualSpacing w:val="0"/>
        <w:rPr>
          <w:i/>
          <w:iCs/>
          <w:sz w:val="21"/>
          <w:szCs w:val="21"/>
        </w:rPr>
      </w:pPr>
      <w:r>
        <w:rPr>
          <w:i/>
          <w:iCs/>
          <w:sz w:val="21"/>
          <w:szCs w:val="21"/>
        </w:rPr>
        <w:t>UE shall support L1 measurements for at least [2 or 3] neighbouring cells</w:t>
      </w:r>
    </w:p>
    <w:p>
      <w:pPr>
        <w:pStyle w:val="34"/>
        <w:numPr>
          <w:ilvl w:val="0"/>
          <w:numId w:val="4"/>
        </w:numPr>
        <w:spacing w:after="120"/>
        <w:contextualSpacing w:val="0"/>
        <w:rPr>
          <w:i/>
          <w:iCs/>
          <w:sz w:val="21"/>
          <w:szCs w:val="21"/>
        </w:rPr>
      </w:pPr>
      <w:r>
        <w:rPr>
          <w:i/>
          <w:iCs/>
          <w:sz w:val="21"/>
          <w:szCs w:val="21"/>
        </w:rPr>
        <w:t>Introduce optional UE support to use L3 measurement results for intra-frequency or inter-frequency L1 measurement report</w:t>
      </w:r>
    </w:p>
    <w:p>
      <w:pPr>
        <w:pStyle w:val="34"/>
        <w:numPr>
          <w:ilvl w:val="1"/>
          <w:numId w:val="4"/>
        </w:numPr>
        <w:spacing w:after="120"/>
        <w:contextualSpacing w:val="0"/>
        <w:rPr>
          <w:i/>
          <w:iCs/>
          <w:sz w:val="21"/>
          <w:szCs w:val="21"/>
        </w:rPr>
      </w:pPr>
      <w:r>
        <w:rPr>
          <w:i/>
          <w:iCs/>
          <w:sz w:val="21"/>
          <w:szCs w:val="21"/>
        </w:rPr>
        <w:t>Note 1: No impact on RAN1/2 design is expected</w:t>
      </w:r>
    </w:p>
    <w:p>
      <w:pPr>
        <w:pStyle w:val="34"/>
        <w:numPr>
          <w:ilvl w:val="1"/>
          <w:numId w:val="4"/>
        </w:numPr>
        <w:rPr>
          <w:sz w:val="21"/>
          <w:szCs w:val="21"/>
          <w:lang w:val="en-CA"/>
        </w:rPr>
      </w:pPr>
      <w:r>
        <w:rPr>
          <w:i/>
          <w:iCs/>
          <w:sz w:val="21"/>
          <w:szCs w:val="21"/>
        </w:rPr>
        <w:t>Note 2: the principles of the solution need to be agreed in RAN4 #108 meetings and the mechanism can be removed if no consensus reached on solution</w:t>
      </w:r>
    </w:p>
    <w:p>
      <w:pPr>
        <w:spacing w:after="120"/>
        <w:rPr>
          <w:sz w:val="22"/>
          <w:szCs w:val="22"/>
          <w:lang w:val="en-CA"/>
        </w:rPr>
      </w:pPr>
      <w:r>
        <w:rPr>
          <w:sz w:val="21"/>
          <w:szCs w:val="21"/>
          <w:lang w:val="en-CA"/>
        </w:rPr>
        <w:t>Further in RAN4#108, RAN4 agreed on the following way forward.</w:t>
      </w:r>
    </w:p>
    <w:p>
      <w:pPr>
        <w:spacing w:after="120"/>
        <w:rPr>
          <w:bCs/>
          <w:i/>
          <w:iCs/>
        </w:rPr>
      </w:pPr>
      <w:r>
        <w:rPr>
          <w:bCs/>
          <w:i/>
          <w:iCs/>
        </w:rPr>
        <w:t xml:space="preserve">&lt; Agreement &gt;: Introduce optional UE support to use L3 measurement results for intra-frequency and inter-frequency L1 measurement report. </w:t>
      </w:r>
    </w:p>
    <w:p>
      <w:pPr>
        <w:spacing w:after="120"/>
        <w:ind w:left="210" w:leftChars="100"/>
        <w:rPr>
          <w:rFonts w:eastAsiaTheme="minorEastAsia"/>
          <w:bCs/>
          <w:i/>
          <w:iCs/>
          <w:lang w:eastAsia="zh-CN"/>
        </w:rPr>
      </w:pPr>
      <w:r>
        <w:rPr>
          <w:rFonts w:eastAsiaTheme="minorEastAsia"/>
          <w:bCs/>
          <w:i/>
          <w:iCs/>
          <w:lang w:eastAsia="zh-CN"/>
        </w:rPr>
        <w:t>Note: the solution will be removed from the WI scope if all details and CRs are not finalized in RAN4#109. The solution will be removed from the WI scope if there is impact on RAN1/2.</w:t>
      </w:r>
    </w:p>
    <w:p>
      <w:pPr>
        <w:spacing w:after="120"/>
        <w:rPr>
          <w:bCs/>
          <w:i/>
          <w:iCs/>
        </w:rPr>
      </w:pPr>
      <w:r>
        <w:rPr>
          <w:bCs/>
          <w:i/>
          <w:iCs/>
        </w:rPr>
        <w:t xml:space="preserve">Option 1: </w:t>
      </w:r>
    </w:p>
    <w:p>
      <w:pPr>
        <w:spacing w:after="120"/>
        <w:ind w:left="210" w:leftChars="100"/>
        <w:rPr>
          <w:bCs/>
          <w:i/>
          <w:iCs/>
          <w:u w:val="single"/>
        </w:rPr>
      </w:pPr>
      <w:r>
        <w:rPr>
          <w:bCs/>
          <w:i/>
          <w:iCs/>
          <w:u w:val="single"/>
        </w:rPr>
        <w:t>UE Capability</w:t>
      </w:r>
    </w:p>
    <w:p>
      <w:pPr>
        <w:numPr>
          <w:ilvl w:val="1"/>
          <w:numId w:val="5"/>
        </w:numPr>
        <w:spacing w:after="120"/>
        <w:ind w:left="651" w:leftChars="310"/>
        <w:rPr>
          <w:bCs/>
          <w:i/>
          <w:iCs/>
        </w:rPr>
      </w:pPr>
      <w:r>
        <w:rPr>
          <w:bCs/>
          <w:i/>
          <w:iCs/>
        </w:rPr>
        <w:t>UE capability is introduced to use L3 measurement results for intra-frequency and inter-frequency L1 measurement report.</w:t>
      </w:r>
    </w:p>
    <w:p>
      <w:pPr>
        <w:numPr>
          <w:ilvl w:val="1"/>
          <w:numId w:val="5"/>
        </w:numPr>
        <w:spacing w:after="120"/>
        <w:ind w:left="651" w:leftChars="310"/>
        <w:rPr>
          <w:bCs/>
          <w:i/>
          <w:iCs/>
        </w:rPr>
      </w:pPr>
      <w:r>
        <w:rPr>
          <w:bCs/>
          <w:i/>
          <w:iCs/>
        </w:rPr>
        <w:t>If the number of cells to measure exceeds the L1 based LTM measurement capability, UE is allowed to perform L3 measurements and report them in L1 reporting format measurements.</w:t>
      </w:r>
    </w:p>
    <w:p>
      <w:pPr>
        <w:numPr>
          <w:ilvl w:val="1"/>
          <w:numId w:val="5"/>
        </w:numPr>
        <w:spacing w:after="120"/>
        <w:ind w:left="651" w:leftChars="310"/>
        <w:rPr>
          <w:bCs/>
          <w:i/>
          <w:iCs/>
        </w:rPr>
      </w:pPr>
      <w:r>
        <w:rPr>
          <w:bCs/>
          <w:i/>
          <w:iCs/>
        </w:rPr>
        <w:t>UE supporting the L3 measurements in L1 measurement format capability should support also the baseline L1 measurement capability.</w:t>
      </w:r>
    </w:p>
    <w:p>
      <w:pPr>
        <w:spacing w:after="120"/>
        <w:ind w:left="210" w:leftChars="100"/>
        <w:rPr>
          <w:bCs/>
          <w:i/>
          <w:iCs/>
          <w:u w:val="single"/>
        </w:rPr>
      </w:pPr>
      <w:r>
        <w:rPr>
          <w:bCs/>
          <w:i/>
          <w:iCs/>
          <w:u w:val="single"/>
        </w:rPr>
        <w:t>Measurement reporting</w:t>
      </w:r>
    </w:p>
    <w:p>
      <w:pPr>
        <w:numPr>
          <w:ilvl w:val="1"/>
          <w:numId w:val="5"/>
        </w:numPr>
        <w:spacing w:after="120"/>
        <w:ind w:left="651" w:leftChars="310"/>
        <w:rPr>
          <w:bCs/>
          <w:i/>
          <w:iCs/>
        </w:rPr>
      </w:pPr>
      <w:r>
        <w:rPr>
          <w:bCs/>
          <w:i/>
          <w:iCs/>
        </w:rPr>
        <w:t>UE reports based on L1 measurement configuration.</w:t>
      </w:r>
    </w:p>
    <w:p>
      <w:pPr>
        <w:numPr>
          <w:ilvl w:val="1"/>
          <w:numId w:val="5"/>
        </w:numPr>
        <w:spacing w:after="120"/>
        <w:ind w:left="651" w:leftChars="310"/>
        <w:rPr>
          <w:bCs/>
          <w:i/>
          <w:iCs/>
        </w:rPr>
      </w:pPr>
      <w:r>
        <w:rPr>
          <w:bCs/>
          <w:i/>
          <w:iCs/>
        </w:rPr>
        <w:t xml:space="preserve">Measurement report mapping: No changes to Table 10.1.6.1-1 are needed due to support L3 measurements in L1 measurement report. </w:t>
      </w:r>
    </w:p>
    <w:p>
      <w:pPr>
        <w:numPr>
          <w:ilvl w:val="1"/>
          <w:numId w:val="5"/>
        </w:numPr>
        <w:spacing w:after="120"/>
        <w:ind w:left="651" w:leftChars="310"/>
        <w:rPr>
          <w:bCs/>
          <w:i/>
          <w:iCs/>
        </w:rPr>
      </w:pPr>
      <w:r>
        <w:rPr>
          <w:bCs/>
          <w:i/>
          <w:iCs/>
        </w:rPr>
        <w:t>L3 and L1 measurements are not included in the same report, at least in rel-18</w:t>
      </w:r>
    </w:p>
    <w:p>
      <w:pPr>
        <w:spacing w:after="120"/>
        <w:ind w:left="210" w:leftChars="100"/>
        <w:rPr>
          <w:bCs/>
          <w:i/>
          <w:iCs/>
          <w:u w:val="single"/>
        </w:rPr>
      </w:pPr>
      <w:r>
        <w:rPr>
          <w:bCs/>
          <w:i/>
          <w:iCs/>
          <w:u w:val="single"/>
        </w:rPr>
        <w:t xml:space="preserve">Requirements </w:t>
      </w:r>
    </w:p>
    <w:p>
      <w:pPr>
        <w:numPr>
          <w:ilvl w:val="1"/>
          <w:numId w:val="5"/>
        </w:numPr>
        <w:spacing w:after="120"/>
        <w:ind w:left="651" w:leftChars="310"/>
        <w:rPr>
          <w:bCs/>
          <w:i/>
          <w:iCs/>
        </w:rPr>
      </w:pPr>
      <w:r>
        <w:rPr>
          <w:bCs/>
          <w:i/>
          <w:iCs/>
        </w:rPr>
        <w:t>L3 measurement requirements are followed, where applicable</w:t>
      </w:r>
    </w:p>
    <w:p>
      <w:pPr>
        <w:numPr>
          <w:ilvl w:val="1"/>
          <w:numId w:val="5"/>
        </w:numPr>
        <w:spacing w:after="120"/>
        <w:ind w:left="651" w:leftChars="310"/>
        <w:rPr>
          <w:bCs/>
          <w:i/>
          <w:iCs/>
        </w:rPr>
      </w:pPr>
      <w:r>
        <w:rPr>
          <w:bCs/>
          <w:i/>
          <w:iCs/>
        </w:rPr>
        <w:t xml:space="preserve">RAN4 to discuss accuracy requirement during performance part.  </w:t>
      </w:r>
    </w:p>
    <w:p>
      <w:pPr>
        <w:numPr>
          <w:ilvl w:val="1"/>
          <w:numId w:val="5"/>
        </w:numPr>
        <w:spacing w:after="120"/>
        <w:ind w:left="651" w:leftChars="310"/>
        <w:rPr>
          <w:bCs/>
          <w:i/>
          <w:iCs/>
        </w:rPr>
      </w:pPr>
      <w:r>
        <w:rPr>
          <w:bCs/>
          <w:i/>
          <w:iCs/>
        </w:rPr>
        <w:t>UEs capable of reporting L3 measurements in L1 report, number of frequency layers to measure for neighbouring cell follows the same requirements as L3 measurements.</w:t>
      </w:r>
    </w:p>
    <w:p>
      <w:pPr>
        <w:numPr>
          <w:ilvl w:val="2"/>
          <w:numId w:val="5"/>
        </w:numPr>
        <w:spacing w:after="120"/>
        <w:ind w:left="1092" w:leftChars="520"/>
        <w:rPr>
          <w:bCs/>
          <w:i/>
          <w:iCs/>
        </w:rPr>
      </w:pPr>
      <w:r>
        <w:rPr>
          <w:bCs/>
          <w:i/>
          <w:iCs/>
        </w:rPr>
        <w:t>As a baseline: Intra-frequency in clause 9.2, inter-frequency in clause 9.3</w:t>
      </w:r>
    </w:p>
    <w:p>
      <w:pPr>
        <w:numPr>
          <w:ilvl w:val="1"/>
          <w:numId w:val="5"/>
        </w:numPr>
        <w:spacing w:after="120"/>
        <w:ind w:left="651" w:leftChars="310"/>
        <w:rPr>
          <w:bCs/>
          <w:i/>
          <w:iCs/>
        </w:rPr>
      </w:pPr>
      <w:r>
        <w:rPr>
          <w:bCs/>
          <w:i/>
          <w:iCs/>
        </w:rPr>
        <w:t>TCI state activation is based on the reported L3 measurements in L1 measurement report.</w:t>
      </w:r>
    </w:p>
    <w:p>
      <w:pPr>
        <w:numPr>
          <w:ilvl w:val="2"/>
          <w:numId w:val="5"/>
        </w:numPr>
        <w:spacing w:after="120"/>
        <w:ind w:left="1092" w:leftChars="520"/>
        <w:rPr>
          <w:bCs/>
          <w:i/>
          <w:iCs/>
        </w:rPr>
      </w:pPr>
      <w:r>
        <w:rPr>
          <w:bCs/>
          <w:i/>
          <w:iCs/>
        </w:rPr>
        <w:t>In FR1, UE do not need additional SSB to meet transmit timing requirements for PRACH on neighbour cell if the L1-RSRP measurement period is with 160ms.</w:t>
      </w:r>
    </w:p>
    <w:p>
      <w:pPr>
        <w:numPr>
          <w:ilvl w:val="2"/>
          <w:numId w:val="5"/>
        </w:numPr>
        <w:spacing w:after="120"/>
        <w:ind w:left="1092" w:leftChars="520"/>
        <w:rPr>
          <w:bCs/>
          <w:i/>
          <w:iCs/>
        </w:rPr>
      </w:pPr>
      <w:r>
        <w:rPr>
          <w:bCs/>
          <w:i/>
          <w:iCs/>
        </w:rPr>
        <w:t>For FR2, UE may need additional SSB to meet the transmit timing requirements for PRACH on neighbour cell.</w:t>
      </w:r>
    </w:p>
    <w:p>
      <w:pPr>
        <w:numPr>
          <w:ilvl w:val="1"/>
          <w:numId w:val="5"/>
        </w:numPr>
        <w:spacing w:after="120"/>
        <w:ind w:left="651" w:leftChars="310"/>
        <w:rPr>
          <w:bCs/>
          <w:i/>
          <w:iCs/>
        </w:rPr>
      </w:pPr>
      <w:r>
        <w:rPr>
          <w:bCs/>
          <w:i/>
          <w:iCs/>
        </w:rPr>
        <w:t>Similar to baseline framework, L1 measurement format derived using L3 measurement results are reported in UCI. Same number of M and L applies. RAN4 will specify RRM requirements for the following cases</w:t>
      </w:r>
    </w:p>
    <w:p>
      <w:pPr>
        <w:numPr>
          <w:ilvl w:val="2"/>
          <w:numId w:val="5"/>
        </w:numPr>
        <w:spacing w:after="120"/>
        <w:ind w:left="1092" w:leftChars="520"/>
        <w:rPr>
          <w:bCs/>
          <w:i/>
          <w:iCs/>
        </w:rPr>
      </w:pPr>
      <w:r>
        <w:rPr>
          <w:bCs/>
          <w:i/>
          <w:iCs/>
        </w:rPr>
        <w:t>RTD between cells smaller than and larger than CP scenarios are supported.</w:t>
      </w:r>
    </w:p>
    <w:p>
      <w:pPr>
        <w:numPr>
          <w:ilvl w:val="2"/>
          <w:numId w:val="5"/>
        </w:numPr>
        <w:spacing w:after="120"/>
        <w:ind w:left="1092" w:leftChars="520"/>
        <w:rPr>
          <w:bCs/>
          <w:i/>
          <w:iCs/>
        </w:rPr>
      </w:pPr>
      <w:r>
        <w:rPr>
          <w:bCs/>
          <w:i/>
          <w:iCs/>
        </w:rPr>
        <w:t>Rx SNR (i.e., the side condition) is below -3dB but above -6dB.</w:t>
      </w:r>
    </w:p>
    <w:p>
      <w:pPr>
        <w:numPr>
          <w:ilvl w:val="1"/>
          <w:numId w:val="5"/>
        </w:numPr>
        <w:spacing w:after="120"/>
        <w:ind w:left="651" w:leftChars="310"/>
        <w:rPr>
          <w:bCs/>
          <w:i/>
          <w:iCs/>
        </w:rPr>
      </w:pPr>
      <w:r>
        <w:rPr>
          <w:bCs/>
          <w:i/>
          <w:iCs/>
        </w:rPr>
        <w:t>FFS for cell switch delay components.</w:t>
      </w:r>
    </w:p>
    <w:p>
      <w:pPr>
        <w:numPr>
          <w:ilvl w:val="2"/>
          <w:numId w:val="5"/>
        </w:numPr>
        <w:spacing w:after="120"/>
        <w:ind w:left="1092" w:leftChars="520"/>
        <w:rPr>
          <w:bCs/>
          <w:i/>
          <w:iCs/>
        </w:rPr>
      </w:pPr>
      <w:r>
        <w:rPr>
          <w:bCs/>
          <w:i/>
          <w:iCs/>
        </w:rPr>
        <w:t>For FR1 and FR2, whether UE need additional SSB for acquiring timing (if the TCI state is activated) is FFS.</w:t>
      </w:r>
    </w:p>
    <w:p>
      <w:pPr>
        <w:numPr>
          <w:ilvl w:val="1"/>
          <w:numId w:val="5"/>
        </w:numPr>
        <w:spacing w:after="120"/>
        <w:ind w:left="651" w:leftChars="310"/>
        <w:rPr>
          <w:bCs/>
          <w:i/>
          <w:iCs/>
        </w:rPr>
      </w:pPr>
      <w:r>
        <w:rPr>
          <w:bCs/>
          <w:i/>
          <w:iCs/>
        </w:rPr>
        <w:t>Known and unknown cell are supported.</w:t>
      </w:r>
    </w:p>
    <w:p>
      <w:pPr>
        <w:pStyle w:val="55"/>
        <w:tabs>
          <w:tab w:val="left" w:pos="567"/>
          <w:tab w:val="clear" w:pos="1985"/>
        </w:tabs>
        <w:adjustRightInd w:val="0"/>
        <w:ind w:left="510" w:hanging="510"/>
        <w:rPr>
          <w:rFonts w:eastAsia="Times New Roman"/>
        </w:rPr>
      </w:pPr>
      <w:r>
        <w:rPr>
          <w:rFonts w:hint="eastAsia"/>
        </w:rPr>
        <w:t>Discussion</w:t>
      </w:r>
    </w:p>
    <w:p>
      <w:pPr>
        <w:spacing w:before="157" w:beforeLines="50" w:after="157" w:afterLines="50"/>
        <w:rPr>
          <w:rFonts w:hint="eastAsia"/>
          <w:lang w:val="en-US" w:eastAsia="zh-CN"/>
        </w:rPr>
      </w:pPr>
      <w:r>
        <w:rPr>
          <w:rFonts w:hint="eastAsia"/>
          <w:lang w:val="en-US" w:eastAsia="zh-CN"/>
        </w:rPr>
        <w:t xml:space="preserve">For the optional UE that support to use L3 measurement results for intra-frequency and inter-frequency L1 measurement report, we have discussed in many meetings and it should be confirmed in RAN4#109 meeting. Therefore, we will express our views on remain issues. </w:t>
      </w:r>
    </w:p>
    <w:p>
      <w:pPr>
        <w:spacing w:before="157" w:beforeLines="50" w:after="157" w:afterLines="50"/>
        <w:rPr>
          <w:rFonts w:hint="eastAsia"/>
          <w:lang w:val="en-US" w:eastAsia="zh-CN"/>
        </w:rPr>
      </w:pPr>
      <w:r>
        <w:rPr>
          <w:rFonts w:hint="eastAsia"/>
          <w:lang w:val="en-US" w:eastAsia="zh-CN"/>
        </w:rPr>
        <w:t xml:space="preserve">We support to introduce the scheme that derive L1-RSRP from L3-RSRP in L1-RSRP report without performing any L1-RSRP measurement because some UEs which can support limited number of cells to be measured. As we discussed before, UE shall support L1 measurements for at least [2 or 3] neighbouring cells. That means as a baseline UE capability, UE may at most perform LTM L1 measurement on 2 or 3 neighbour cells and it maybe not enough.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rPr>
                <w:b/>
                <w:u w:val="single"/>
                <w:lang w:eastAsia="ko-KR"/>
              </w:rPr>
            </w:pPr>
            <w:r>
              <w:rPr>
                <w:b/>
                <w:u w:val="single"/>
                <w:lang w:eastAsia="ko-KR"/>
              </w:rPr>
              <w:t>Issue 4-1-1: UE Capability</w:t>
            </w:r>
          </w:p>
          <w:p>
            <w:pPr>
              <w:pStyle w:val="34"/>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4"/>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pPr>
              <w:pStyle w:val="34"/>
              <w:numPr>
                <w:ilvl w:val="2"/>
                <w:numId w:val="4"/>
              </w:numPr>
              <w:spacing w:after="120"/>
              <w:ind w:firstLineChars="0"/>
              <w:rPr>
                <w:rFonts w:eastAsia="宋体"/>
                <w:szCs w:val="24"/>
                <w:lang w:eastAsia="zh-CN"/>
              </w:rPr>
            </w:pPr>
            <w:r>
              <w:rPr>
                <w:rFonts w:eastAsia="宋体"/>
                <w:szCs w:val="24"/>
                <w:lang w:eastAsia="zh-CN"/>
              </w:rPr>
              <w:t>UE capability is introduced to use L3 measurement results for intra-frequency and inter-frequency L1 measurement report</w:t>
            </w:r>
          </w:p>
          <w:p>
            <w:pPr>
              <w:pStyle w:val="34"/>
              <w:numPr>
                <w:ilvl w:val="2"/>
                <w:numId w:val="4"/>
              </w:numPr>
              <w:spacing w:after="120"/>
              <w:ind w:firstLineChars="0"/>
              <w:rPr>
                <w:rFonts w:eastAsia="宋体"/>
                <w:szCs w:val="24"/>
                <w:lang w:eastAsia="zh-CN"/>
              </w:rPr>
            </w:pPr>
            <w:r>
              <w:rPr>
                <w:rFonts w:eastAsia="宋体"/>
                <w:szCs w:val="24"/>
                <w:lang w:eastAsia="zh-CN"/>
              </w:rPr>
              <w:t>If the number of cells to measure exceeds the L1 based LTM measurement capability, UE is allowed to perform L3 measurements and report them in L1 reporting format.</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UE supporting the L3 measurements in L1 measurement format capability should support also the baseline L1 measurement capability</w:t>
            </w:r>
          </w:p>
          <w:p>
            <w:pPr>
              <w:pStyle w:val="34"/>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 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threshold/mechanism how to determine the conditions are met or not.</w:t>
            </w:r>
          </w:p>
          <w:p>
            <w:pPr>
              <w:pStyle w:val="34"/>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 xml:space="preserve">ption 3 (Apple): </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From RAN4 requirements point of view, RAN4 shall not use L3 measurement results for L1 measurement report, including intra-frequency and inter-frequency.</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benefits of LTM mainly includes the fact that UE can do pre-sync with target cell, including T/F tracking, fine beam training, TA preparation and etc, before leaving the source serving cell. However, using L3 measurement results for L1 reporting does not provide any benefit on these aspects.</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using L3 measurement in L1 report does not provide any additional information on top of existing L3 measurement report. If the concern is only for CU/DU signal exchange, it can be done in RAN2/3 without changing UE measurement behavior.</w:t>
            </w:r>
          </w:p>
          <w:p>
            <w:pPr>
              <w:pStyle w:val="34"/>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 (QC):</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agree to support L3 RSRP measurement based LTM cell switch feature by removing LTM L1 RSRP measurement/report from the prerequisite for LTM cell switch feature.</w:t>
            </w:r>
          </w:p>
          <w:p>
            <w:pPr>
              <w:pStyle w:val="34"/>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34"/>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pPr>
              <w:pStyle w:val="34"/>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spacing w:before="157" w:beforeLines="50" w:after="157" w:afterLines="50"/>
        <w:rPr>
          <w:rFonts w:eastAsia="宋体"/>
          <w:lang w:eastAsia="zh-CN"/>
        </w:rPr>
      </w:pPr>
      <w:r>
        <w:rPr>
          <w:rFonts w:hint="eastAsia"/>
          <w:lang w:val="en-US" w:eastAsia="zh-CN"/>
        </w:rPr>
        <w:t xml:space="preserve">In last meeting, some companies proposed solutions to solve this issue. As mentioned in discussion paper, </w:t>
      </w:r>
      <w:r>
        <w:rPr>
          <w:rFonts w:hint="default" w:eastAsia="宋体"/>
          <w:lang w:val="en-US" w:eastAsia="zh-CN"/>
        </w:rPr>
        <w:t>it is difficult to decide which cell that UE should select from all detected cells to perform L1 measurement</w:t>
      </w:r>
      <w:r>
        <w:rPr>
          <w:rFonts w:hint="eastAsia"/>
          <w:lang w:val="en-US" w:eastAsia="zh-CN"/>
        </w:rPr>
        <w:t xml:space="preserve"> without NW indication</w:t>
      </w:r>
      <w:r>
        <w:rPr>
          <w:rFonts w:hint="default" w:eastAsia="宋体"/>
          <w:lang w:val="en-US" w:eastAsia="zh-CN"/>
        </w:rPr>
        <w:t>.</w:t>
      </w:r>
      <w:r>
        <w:rPr>
          <w:rFonts w:hint="eastAsia"/>
          <w:lang w:val="en-US" w:eastAsia="zh-CN"/>
        </w:rPr>
        <w:t xml:space="preserve"> Therefore, in order to </w:t>
      </w:r>
      <w:r>
        <w:rPr>
          <w:rFonts w:eastAsia="宋体"/>
          <w:lang w:eastAsia="zh-CN"/>
        </w:rPr>
        <w:t>guarantee measurement performance based on L1 measurements</w:t>
      </w:r>
      <w:r>
        <w:rPr>
          <w:rFonts w:hint="eastAsia"/>
          <w:lang w:val="en-US" w:eastAsia="zh-CN"/>
        </w:rPr>
        <w:t xml:space="preserve">, </w:t>
      </w:r>
      <w:r>
        <w:rPr>
          <w:rFonts w:eastAsia="宋体"/>
          <w:lang w:eastAsia="zh-CN"/>
        </w:rPr>
        <w:t>UE supporting this feature will automatically switch to the fall-back mode of reporting L3 measurements in L1 report.</w:t>
      </w:r>
    </w:p>
    <w:p>
      <w:pPr>
        <w:spacing w:before="157" w:beforeLines="50" w:after="157" w:afterLines="50"/>
        <w:rPr>
          <w:rFonts w:hint="default" w:eastAsia="宋体"/>
          <w:lang w:val="en-US" w:eastAsia="zh-CN"/>
        </w:rPr>
      </w:pPr>
      <w:r>
        <w:rPr>
          <w:rFonts w:hint="eastAsia"/>
          <w:b/>
          <w:bCs/>
          <w:lang w:val="en-US" w:eastAsia="zh-CN"/>
        </w:rPr>
        <w:t>Proposal 1</w:t>
      </w:r>
      <w:r>
        <w:rPr>
          <w:rFonts w:eastAsia="宋体"/>
          <w:b/>
          <w:bCs/>
          <w:lang w:eastAsia="zh-CN"/>
        </w:rPr>
        <w:t>: 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threshold/mechanism how to determine the conditions are met or not.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5" w:hRule="atLeast"/>
        </w:trPr>
        <w:tc>
          <w:tcPr>
            <w:tcW w:w="9858" w:type="dxa"/>
          </w:tcPr>
          <w:p>
            <w:pPr>
              <w:rPr>
                <w:b/>
                <w:u w:val="single"/>
                <w:lang w:eastAsia="ko-KR"/>
              </w:rPr>
            </w:pPr>
            <w:r>
              <w:rPr>
                <w:b/>
                <w:u w:val="single"/>
                <w:lang w:eastAsia="ko-KR"/>
              </w:rPr>
              <w:t>Issue 4-1-2: Measurement reporting</w:t>
            </w:r>
          </w:p>
          <w:p>
            <w:pPr>
              <w:pStyle w:val="34"/>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34"/>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QC): </w:t>
            </w:r>
          </w:p>
          <w:p>
            <w:pPr>
              <w:pStyle w:val="34"/>
              <w:numPr>
                <w:ilvl w:val="2"/>
                <w:numId w:val="4"/>
              </w:numPr>
              <w:spacing w:after="120"/>
              <w:ind w:firstLineChars="0"/>
              <w:rPr>
                <w:rFonts w:eastAsia="宋体"/>
                <w:szCs w:val="24"/>
                <w:lang w:eastAsia="zh-CN"/>
              </w:rPr>
            </w:pPr>
            <w:r>
              <w:rPr>
                <w:rFonts w:eastAsia="宋体"/>
                <w:szCs w:val="24"/>
                <w:lang w:eastAsia="zh-CN"/>
              </w:rPr>
              <w:t>UE reports based on L1 measurement configuration</w:t>
            </w:r>
          </w:p>
          <w:p>
            <w:pPr>
              <w:pStyle w:val="34"/>
              <w:numPr>
                <w:ilvl w:val="2"/>
                <w:numId w:val="4"/>
              </w:numPr>
              <w:spacing w:after="120"/>
              <w:ind w:firstLineChars="0"/>
              <w:rPr>
                <w:rFonts w:eastAsia="宋体"/>
                <w:szCs w:val="24"/>
                <w:lang w:eastAsia="zh-CN"/>
              </w:rPr>
            </w:pPr>
            <w:r>
              <w:rPr>
                <w:rFonts w:eastAsia="宋体"/>
                <w:szCs w:val="24"/>
                <w:lang w:eastAsia="zh-CN"/>
              </w:rPr>
              <w:t>Measurement report mapping: No changes to Table 10.1.6.1-1 are needed due to support of L3 measurements in L1 measurement report.</w:t>
            </w:r>
          </w:p>
          <w:p>
            <w:pPr>
              <w:pStyle w:val="34"/>
              <w:numPr>
                <w:ilvl w:val="2"/>
                <w:numId w:val="4"/>
              </w:numPr>
              <w:spacing w:after="120"/>
              <w:ind w:firstLineChars="0"/>
              <w:rPr>
                <w:rFonts w:eastAsia="宋体"/>
                <w:szCs w:val="24"/>
                <w:lang w:eastAsia="zh-CN"/>
              </w:rPr>
            </w:pPr>
            <w:r>
              <w:rPr>
                <w:rFonts w:eastAsia="宋体"/>
                <w:szCs w:val="24"/>
                <w:lang w:eastAsia="zh-CN"/>
              </w:rPr>
              <w:t>L3 and L1 measurements are not included in the same report, at least in rel-18</w:t>
            </w:r>
          </w:p>
          <w:p>
            <w:pPr>
              <w:pStyle w:val="34"/>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eastAsia="zh-CN"/>
              </w:rPr>
              <w:t>O</w:t>
            </w:r>
            <w:r>
              <w:rPr>
                <w:rFonts w:eastAsia="宋体"/>
                <w:szCs w:val="24"/>
                <w:lang w:eastAsia="zh-CN"/>
              </w:rPr>
              <w:t>ption 2 (Ericsson):</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agree that the L1-RSRP report sent to NW can contain L1-RSRP derived from L1 measurement and L1-RSRP derived from L3 measurement results.</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One bit field can be introduced in the measurement report to distinguish whether L1-RSRP is measured or L1-RSRP derived. Detailed signalling can be left to RAN1/RAN2.</w:t>
            </w:r>
          </w:p>
          <w:p>
            <w:pPr>
              <w:pStyle w:val="34"/>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 to indicate whether UE should report a L1 based report alone or report containing L1 and L3 results.</w:t>
            </w:r>
          </w:p>
          <w:p>
            <w:pPr>
              <w:pStyle w:val="34"/>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spacing w:before="157" w:beforeLines="50" w:after="157" w:afterLines="50"/>
        <w:rPr>
          <w:rFonts w:hint="eastAsia"/>
          <w:szCs w:val="24"/>
          <w:lang w:val="en-US" w:eastAsia="zh-CN"/>
        </w:rPr>
      </w:pPr>
      <w:r>
        <w:rPr>
          <w:rFonts w:hint="eastAsia"/>
          <w:lang w:val="en-US" w:eastAsia="zh-CN"/>
        </w:rPr>
        <w:t xml:space="preserve">As for measuremrnt report, we prefer </w:t>
      </w:r>
      <w:r>
        <w:rPr>
          <w:rFonts w:eastAsia="宋体"/>
          <w:szCs w:val="24"/>
          <w:lang w:eastAsia="zh-CN"/>
        </w:rPr>
        <w:t>L3 and L1 measurements are not included in the same report</w:t>
      </w:r>
      <w:r>
        <w:rPr>
          <w:rFonts w:hint="eastAsia" w:eastAsia="宋体"/>
          <w:szCs w:val="24"/>
          <w:lang w:val="en-US" w:eastAsia="zh-CN"/>
        </w:rPr>
        <w:t xml:space="preserve">. For option2, if </w:t>
      </w:r>
      <w:r>
        <w:rPr>
          <w:rFonts w:eastAsia="宋体"/>
          <w:szCs w:val="24"/>
          <w:lang w:eastAsia="zh-CN"/>
        </w:rPr>
        <w:t>the L1-RSRP report sent to NW can contain L1-RSRP derived from L1 measurement and L1-RSRP derived from L3 measurement results</w:t>
      </w:r>
      <w:r>
        <w:rPr>
          <w:rFonts w:hint="eastAsia"/>
          <w:szCs w:val="24"/>
          <w:lang w:val="en-US" w:eastAsia="zh-CN"/>
        </w:rPr>
        <w:t>, it needs one bit to indicate and d</w:t>
      </w:r>
      <w:r>
        <w:rPr>
          <w:rFonts w:eastAsia="宋体"/>
          <w:szCs w:val="24"/>
          <w:lang w:eastAsia="zh-CN"/>
        </w:rPr>
        <w:t xml:space="preserve">etailed signalling </w:t>
      </w:r>
      <w:r>
        <w:rPr>
          <w:rFonts w:hint="eastAsia"/>
          <w:szCs w:val="24"/>
          <w:lang w:val="en-US" w:eastAsia="zh-CN"/>
        </w:rPr>
        <w:t>will</w:t>
      </w:r>
      <w:r>
        <w:rPr>
          <w:rFonts w:eastAsia="宋体"/>
          <w:szCs w:val="24"/>
          <w:lang w:eastAsia="zh-CN"/>
        </w:rPr>
        <w:t xml:space="preserve"> be left to RAN1/RAN2</w:t>
      </w:r>
      <w:r>
        <w:rPr>
          <w:rFonts w:hint="eastAsia"/>
          <w:szCs w:val="24"/>
          <w:lang w:val="en-US" w:eastAsia="zh-CN"/>
        </w:rPr>
        <w:t>. However, we should note that the solution will be removed from the WI scope if there is impact on RAN1/2. Based on this, we prefer to support option1.</w:t>
      </w:r>
    </w:p>
    <w:p>
      <w:pPr>
        <w:pStyle w:val="95"/>
        <w:numPr>
          <w:ilvl w:val="-1"/>
          <w:numId w:val="0"/>
        </w:numPr>
        <w:ind w:left="0" w:firstLine="0"/>
      </w:pPr>
      <w:bookmarkStart w:id="2" w:name="_Toc146740774"/>
      <w:r>
        <w:rPr>
          <w:rFonts w:hint="eastAsia"/>
          <w:lang w:val="en-US" w:eastAsia="zh-CN"/>
        </w:rPr>
        <w:t xml:space="preserve">Proposal 2: </w:t>
      </w:r>
      <w:r>
        <w:t>Measurement reporting</w:t>
      </w:r>
      <w:bookmarkEnd w:id="2"/>
      <w:r>
        <w:t xml:space="preserve"> </w:t>
      </w:r>
    </w:p>
    <w:p>
      <w:pPr>
        <w:pStyle w:val="95"/>
        <w:numPr>
          <w:ilvl w:val="1"/>
          <w:numId w:val="3"/>
        </w:numPr>
      </w:pPr>
      <w:bookmarkStart w:id="3" w:name="_Toc146740775"/>
      <w:r>
        <w:t>UE reports based on L1 measurement configuration</w:t>
      </w:r>
      <w:bookmarkEnd w:id="3"/>
      <w:r>
        <w:t xml:space="preserve"> </w:t>
      </w:r>
    </w:p>
    <w:p>
      <w:pPr>
        <w:pStyle w:val="95"/>
        <w:numPr>
          <w:ilvl w:val="1"/>
          <w:numId w:val="3"/>
        </w:numPr>
      </w:pPr>
      <w:bookmarkStart w:id="4" w:name="_Toc146740776"/>
      <w:r>
        <w:t>Measurement report mapping: No changes to Table 10.1.6.1-1 are needed due to support of L3 measurements in L1 measurement report.</w:t>
      </w:r>
      <w:bookmarkEnd w:id="4"/>
      <w:r>
        <w:t xml:space="preserve"> </w:t>
      </w:r>
    </w:p>
    <w:p>
      <w:pPr>
        <w:pStyle w:val="95"/>
        <w:numPr>
          <w:ilvl w:val="1"/>
          <w:numId w:val="3"/>
        </w:numPr>
        <w:rPr>
          <w:rFonts w:hint="default"/>
          <w:lang w:val="en-US" w:eastAsia="zh-CN"/>
        </w:rPr>
      </w:pPr>
      <w:bookmarkStart w:id="5" w:name="_Toc146740777"/>
      <w:r>
        <w:t>L3 and L1 measurements are not included in the same report, at least in rel-18</w:t>
      </w:r>
      <w:bookmarkEnd w:id="5"/>
      <w:r>
        <w:rPr>
          <w:rFonts w:hint="eastAsia"/>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5" w:hRule="atLeast"/>
        </w:trPr>
        <w:tc>
          <w:tcPr>
            <w:tcW w:w="9858" w:type="dxa"/>
          </w:tcPr>
          <w:p>
            <w:pPr>
              <w:spacing w:after="120"/>
              <w:rPr>
                <w:rFonts w:ascii="Arial" w:hAnsi="Arial" w:cs="Arial"/>
                <w:b/>
              </w:rPr>
            </w:pPr>
            <w:r>
              <w:rPr>
                <w:rFonts w:ascii="Arial" w:hAnsi="Arial" w:cs="Arial"/>
                <w:b/>
              </w:rPr>
              <w:t xml:space="preserve">1. Overall Description: </w:t>
            </w:r>
          </w:p>
          <w:p>
            <w:pPr>
              <w:spacing w:after="120"/>
              <w:rPr>
                <w:rFonts w:ascii="Arial" w:hAnsi="Arial" w:cs="Arial"/>
              </w:rPr>
            </w:pPr>
            <w:r>
              <w:rPr>
                <w:rFonts w:ascii="Arial" w:hAnsi="Arial" w:cs="Arial"/>
              </w:rPr>
              <w:t>RAN2 thanks RAN1 for the higher-layer parameter list received in R2-2309434 and, according to the received list has made the following agreements:</w:t>
            </w:r>
          </w:p>
          <w:p>
            <w:pPr>
              <w:pBdr>
                <w:top w:val="single" w:color="auto" w:sz="4" w:space="1"/>
                <w:left w:val="single" w:color="auto" w:sz="4" w:space="0"/>
                <w:bottom w:val="single" w:color="auto" w:sz="4" w:space="1"/>
                <w:right w:val="single" w:color="auto" w:sz="4" w:space="4"/>
              </w:pBdr>
              <w:spacing w:after="120"/>
              <w:rPr>
                <w:rFonts w:ascii="Arial" w:hAnsi="Arial" w:cs="Arial"/>
              </w:rPr>
            </w:pPr>
            <w:r>
              <w:rPr>
                <w:rFonts w:ascii="Arial" w:hAnsi="Arial" w:cs="Arial"/>
              </w:rPr>
              <w:t>1. For the model of CSI report configuration, RAN2 to implement Option2 (i.e., introduce ltm-CSI-ReportConfig and not reuse CSI-ReportConfig) as in current RRC running CR.</w:t>
            </w:r>
          </w:p>
          <w:p>
            <w:pPr>
              <w:pBdr>
                <w:top w:val="single" w:color="auto" w:sz="4" w:space="1"/>
                <w:left w:val="single" w:color="auto" w:sz="4" w:space="0"/>
                <w:bottom w:val="single" w:color="auto" w:sz="4" w:space="1"/>
                <w:right w:val="single" w:color="auto" w:sz="4" w:space="4"/>
              </w:pBdr>
              <w:spacing w:after="120"/>
              <w:rPr>
                <w:rFonts w:ascii="Arial" w:hAnsi="Arial" w:cs="Arial"/>
              </w:rPr>
            </w:pPr>
            <w:r>
              <w:rPr>
                <w:rFonts w:ascii="Arial" w:hAnsi="Arial" w:cs="Arial"/>
              </w:rPr>
              <w:t>2. For the model of RS configuration, RAN2 to follow what is indicated by RAN1 in the parameter list.</w:t>
            </w:r>
          </w:p>
          <w:p>
            <w:pPr>
              <w:pBdr>
                <w:top w:val="single" w:color="auto" w:sz="4" w:space="1"/>
                <w:left w:val="single" w:color="auto" w:sz="4" w:space="0"/>
                <w:bottom w:val="single" w:color="auto" w:sz="4" w:space="1"/>
                <w:right w:val="single" w:color="auto" w:sz="4" w:space="4"/>
              </w:pBdr>
              <w:spacing w:after="120"/>
              <w:rPr>
                <w:rFonts w:ascii="Arial" w:hAnsi="Arial" w:cs="Arial"/>
              </w:rPr>
            </w:pPr>
            <w:r>
              <w:rPr>
                <w:rFonts w:ascii="Arial" w:hAnsi="Arial" w:cs="Arial"/>
              </w:rPr>
              <w:t>3. The LTM CSI resource configuration is generated by the CU.</w:t>
            </w:r>
          </w:p>
          <w:p>
            <w:pPr>
              <w:pBdr>
                <w:top w:val="single" w:color="auto" w:sz="4" w:space="1"/>
                <w:left w:val="single" w:color="auto" w:sz="4" w:space="0"/>
                <w:bottom w:val="single" w:color="auto" w:sz="4" w:space="1"/>
                <w:right w:val="single" w:color="auto" w:sz="4" w:space="4"/>
              </w:pBdr>
              <w:spacing w:after="120"/>
              <w:rPr>
                <w:rFonts w:ascii="Arial" w:hAnsi="Arial" w:cs="Arial"/>
              </w:rPr>
            </w:pPr>
            <w:r>
              <w:rPr>
                <w:rFonts w:ascii="Arial" w:hAnsi="Arial" w:cs="Arial"/>
              </w:rPr>
              <w:t>4. The list of LTM CSI resource configuration is common for all the LTM candidate cells (as in current RRC running CR).</w:t>
            </w:r>
          </w:p>
          <w:p>
            <w:pPr>
              <w:pBdr>
                <w:top w:val="single" w:color="auto" w:sz="4" w:space="1"/>
                <w:left w:val="single" w:color="auto" w:sz="4" w:space="0"/>
                <w:bottom w:val="single" w:color="auto" w:sz="4" w:space="1"/>
                <w:right w:val="single" w:color="auto" w:sz="4" w:space="4"/>
              </w:pBdr>
              <w:spacing w:after="120"/>
              <w:rPr>
                <w:rFonts w:ascii="Arial" w:hAnsi="Arial" w:cs="Arial"/>
              </w:rPr>
            </w:pPr>
            <w:r>
              <w:rPr>
                <w:rFonts w:ascii="Arial" w:hAnsi="Arial" w:cs="Arial"/>
              </w:rPr>
              <w:t>5. RAN2 assumes that network can include the field spCellInclusion only if the SpCell is an LTM candidate cell.</w:t>
            </w:r>
          </w:p>
          <w:p>
            <w:pPr>
              <w:spacing w:after="120"/>
              <w:rPr>
                <w:rFonts w:ascii="Arial" w:hAnsi="Arial" w:cs="Arial"/>
              </w:rPr>
            </w:pPr>
          </w:p>
          <w:p>
            <w:pPr>
              <w:spacing w:after="120"/>
              <w:rPr>
                <w:rFonts w:ascii="Arial" w:hAnsi="Arial" w:cs="Arial"/>
              </w:rPr>
            </w:pPr>
            <w:r>
              <w:rPr>
                <w:rFonts w:ascii="Arial" w:hAnsi="Arial" w:cs="Arial"/>
              </w:rPr>
              <w:t>RAN2, further discussed what information are needed at the UE in order to perform L1 measurements and has the following question to RAN1 and RAN4:</w:t>
            </w:r>
          </w:p>
          <w:p>
            <w:pPr>
              <w:spacing w:after="120"/>
              <w:rPr>
                <w:rFonts w:ascii="Arial" w:hAnsi="Arial" w:cs="Arial"/>
              </w:rPr>
            </w:pPr>
            <w:r>
              <w:rPr>
                <w:rFonts w:ascii="Arial" w:hAnsi="Arial" w:cs="Arial"/>
                <w:b/>
                <w:bCs/>
              </w:rPr>
              <w:t>Question</w:t>
            </w:r>
            <w:r>
              <w:rPr>
                <w:rFonts w:ascii="Arial" w:hAnsi="Arial" w:cs="Arial"/>
              </w:rPr>
              <w:t xml:space="preserve">: Does the UE need to know the SMTC of LTM candidate cells in order to perform L1 measurements (so that it needs to be included in the RS configuration)?  </w:t>
            </w:r>
          </w:p>
          <w:p>
            <w:pPr>
              <w:spacing w:after="120"/>
              <w:rPr>
                <w:rFonts w:ascii="Arial" w:hAnsi="Arial" w:cs="Arial"/>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RAN1 and RAN4 groups.</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kindly asks RAN1 and RAN4 to </w:t>
            </w:r>
            <w:r>
              <w:rPr>
                <w:rFonts w:ascii="Arial" w:hAnsi="Arial" w:eastAsia="Malgun Gothic"/>
                <w:iCs/>
                <w:lang w:val="en-US"/>
              </w:rPr>
              <w:t>take the above information into account and provide feedback on whether the SMTC should be included in the RS configuration</w:t>
            </w:r>
            <w:r>
              <w:rPr>
                <w:rFonts w:ascii="Arial" w:hAnsi="Arial" w:cs="Arial"/>
              </w:rPr>
              <w:t>.</w:t>
            </w:r>
          </w:p>
          <w:p>
            <w:pPr>
              <w:pStyle w:val="34"/>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In this meeting, we should discuss the question proposed by RAN2 whether the SMTC should be included in the RS configuration</w:t>
      </w:r>
      <w:r>
        <w:rPr>
          <w:rFonts w:hint="eastAsia" w:ascii="Times New Roman" w:hAnsi="Times New Roman" w:cs="Times New Roman"/>
          <w:szCs w:val="21"/>
          <w:lang w:val="en-US" w:eastAsia="zh-CN"/>
        </w:rPr>
        <w:t xml:space="preserve"> [2]</w:t>
      </w:r>
      <w:r>
        <w:rPr>
          <w:rFonts w:hint="default" w:ascii="Times New Roman" w:hAnsi="Times New Roman" w:cs="Times New Roman"/>
          <w:szCs w:val="21"/>
          <w:lang w:val="en-US" w:eastAsia="zh-CN"/>
        </w:rPr>
        <w:t>. In the previous conclusion of RAN1, it was mentioned that the time-domain information of SSB is obtained through SMTC. Ultimately, RAN1 determines the position of SSB based on SSB period and SSBinburst. Based on this, it may not be necessary to include SMTC in the RS configuration for RAN1. Therefore, we should discuss whether the SMTC should be included in the RS configuration from RAN4’s perspective. In our understanding, if only consider how to get SSB index, there is no need to to know the SMTC of LTM candidate cells in order to perform L1 measurements at least for baseline UE. We are open for this issue.</w:t>
      </w:r>
    </w:p>
    <w:p>
      <w:pPr>
        <w:pStyle w:val="95"/>
        <w:numPr>
          <w:ilvl w:val="0"/>
          <w:numId w:val="0"/>
        </w:numPr>
        <w:rPr>
          <w:rFonts w:hint="default" w:cs="Times New Roman"/>
          <w:sz w:val="21"/>
          <w:szCs w:val="21"/>
          <w:lang w:val="en-US" w:eastAsia="zh-CN"/>
        </w:rPr>
      </w:pPr>
      <w:r>
        <w:rPr>
          <w:rFonts w:hint="default" w:cs="Times New Roman"/>
          <w:sz w:val="21"/>
          <w:szCs w:val="21"/>
          <w:lang w:val="en-US" w:eastAsia="zh-CN"/>
        </w:rPr>
        <w:t>Proposal 3: RAN4 should discuss whether the SMTC should be included in the RS configuration from RAN4’s perspective.</w:t>
      </w:r>
      <w:r>
        <w:rPr>
          <w:rFonts w:cs="Times New Roman"/>
          <w:sz w:val="21"/>
          <w:szCs w:val="21"/>
        </w:rPr>
        <w:t xml:space="preserve"> </w:t>
      </w:r>
    </w:p>
    <w:p>
      <w:pPr>
        <w:pStyle w:val="55"/>
        <w:tabs>
          <w:tab w:val="left" w:pos="567"/>
          <w:tab w:val="clear" w:pos="1985"/>
        </w:tabs>
        <w:adjustRightInd w:val="0"/>
        <w:ind w:left="510" w:hanging="510"/>
      </w:pPr>
      <w:r>
        <w:t>Conclusions</w:t>
      </w:r>
    </w:p>
    <w:p>
      <w:pPr>
        <w:rPr>
          <w:rFonts w:hint="eastAsia" w:eastAsia="宋体" w:cs="Times New Roman"/>
          <w:b w:val="0"/>
          <w:bCs w:val="0"/>
          <w:sz w:val="20"/>
          <w:szCs w:val="20"/>
          <w:lang w:val="en-US" w:eastAsia="zh-CN"/>
        </w:rPr>
      </w:pPr>
      <w:r>
        <w:rPr>
          <w:rFonts w:hint="default" w:ascii="Times New Roman" w:hAnsi="Times New Roman" w:cs="Times New Roman"/>
          <w:sz w:val="20"/>
          <w:szCs w:val="20"/>
          <w:lang w:val="en-CA"/>
        </w:rPr>
        <w:t>In this contribution</w:t>
      </w:r>
      <w:r>
        <w:rPr>
          <w:rFonts w:hint="default" w:ascii="Times New Roman" w:hAnsi="Times New Roman" w:cs="Times New Roman"/>
          <w:b/>
          <w:bCs/>
          <w:sz w:val="20"/>
          <w:szCs w:val="20"/>
        </w:rPr>
        <w:t xml:space="preserve">, </w:t>
      </w:r>
      <w:r>
        <w:rPr>
          <w:rFonts w:hint="default" w:ascii="Times New Roman" w:hAnsi="Times New Roman" w:cs="Times New Roman"/>
          <w:b w:val="0"/>
          <w:bCs w:val="0"/>
          <w:sz w:val="20"/>
          <w:szCs w:val="20"/>
        </w:rPr>
        <w:t xml:space="preserve">we put forward the following proposals on </w:t>
      </w:r>
      <w:r>
        <w:rPr>
          <w:rFonts w:hint="default" w:ascii="Times New Roman" w:hAnsi="Times New Roman" w:cs="Times New Roman"/>
          <w:b w:val="0"/>
          <w:bCs w:val="0"/>
          <w:sz w:val="20"/>
          <w:szCs w:val="20"/>
          <w:lang w:val="en-US" w:eastAsia="zh-CN"/>
        </w:rPr>
        <w:t>u</w:t>
      </w:r>
      <w:r>
        <w:rPr>
          <w:rFonts w:hint="default" w:ascii="Times New Roman" w:hAnsi="Times New Roman" w:cs="Times New Roman"/>
          <w:b w:val="0"/>
          <w:bCs w:val="0"/>
          <w:sz w:val="20"/>
          <w:szCs w:val="20"/>
          <w:lang w:eastAsia="en-US"/>
        </w:rPr>
        <w:t>sing L3 measurement in L1 report</w:t>
      </w:r>
      <w:r>
        <w:rPr>
          <w:rFonts w:hint="eastAsia" w:cs="Times New Roman"/>
          <w:b w:val="0"/>
          <w:bCs w:val="0"/>
          <w:sz w:val="20"/>
          <w:szCs w:val="20"/>
          <w:lang w:val="en-US" w:eastAsia="zh-CN"/>
        </w:rPr>
        <w:t>.</w:t>
      </w:r>
    </w:p>
    <w:p>
      <w:pPr>
        <w:pStyle w:val="95"/>
        <w:numPr>
          <w:ilvl w:val="0"/>
          <w:numId w:val="0"/>
        </w:numPr>
        <w:rPr>
          <w:rFonts w:hint="eastAsia" w:cs="Times New Roman"/>
          <w:b w:val="0"/>
          <w:bCs w:val="0"/>
          <w:sz w:val="20"/>
          <w:szCs w:val="20"/>
          <w:lang w:val="en-US" w:eastAsia="zh-CN"/>
        </w:rPr>
      </w:pPr>
      <w:r>
        <w:rPr>
          <w:rFonts w:hint="default" w:ascii="Times New Roman" w:hAnsi="Times New Roman"/>
          <w:b/>
          <w:bCs w:val="0"/>
          <w:lang w:val="en-US" w:eastAsia="zh-CN"/>
        </w:rPr>
        <w:t>Proposal 1</w:t>
      </w:r>
      <w:r>
        <w:rPr>
          <w:rFonts w:ascii="Times New Roman" w:hAnsi="Times New Roman" w:eastAsia="黑体"/>
          <w:b/>
          <w:bCs w:val="0"/>
          <w:lang w:eastAsia="zh-CN"/>
        </w:rPr>
        <w:t>: 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threshold/mechanism how to determine the conditions are met or not.</w:t>
      </w:r>
    </w:p>
    <w:p>
      <w:pPr>
        <w:pStyle w:val="95"/>
        <w:numPr>
          <w:ilvl w:val="-1"/>
          <w:numId w:val="0"/>
        </w:numPr>
        <w:ind w:left="0" w:firstLine="0"/>
      </w:pPr>
      <w:r>
        <w:rPr>
          <w:rFonts w:hint="eastAsia"/>
          <w:lang w:val="en-US" w:eastAsia="zh-CN"/>
        </w:rPr>
        <w:t xml:space="preserve">Proposal 2: </w:t>
      </w:r>
      <w:r>
        <w:t xml:space="preserve">Measurement reporting </w:t>
      </w:r>
    </w:p>
    <w:p>
      <w:pPr>
        <w:pStyle w:val="95"/>
        <w:numPr>
          <w:ilvl w:val="1"/>
          <w:numId w:val="3"/>
        </w:numPr>
      </w:pPr>
      <w:r>
        <w:t xml:space="preserve">UE reports based on L1 measurement configuration </w:t>
      </w:r>
    </w:p>
    <w:p>
      <w:pPr>
        <w:pStyle w:val="95"/>
        <w:numPr>
          <w:ilvl w:val="1"/>
          <w:numId w:val="3"/>
        </w:numPr>
      </w:pPr>
      <w:r>
        <w:t xml:space="preserve">Measurement report mapping: No changes to Table 10.1.6.1-1 are needed due to support of L3 measurements in L1 measurement report. </w:t>
      </w:r>
    </w:p>
    <w:p>
      <w:pPr>
        <w:pStyle w:val="95"/>
        <w:numPr>
          <w:ilvl w:val="1"/>
          <w:numId w:val="3"/>
        </w:numPr>
        <w:rPr>
          <w:rFonts w:hint="default"/>
          <w:lang w:val="en-US" w:eastAsia="zh-CN"/>
        </w:rPr>
      </w:pPr>
      <w:r>
        <w:t>L3 and L1 measurements are not included in the same report, at least in rel-18</w:t>
      </w:r>
      <w:r>
        <w:rPr>
          <w:rFonts w:hint="eastAsia"/>
          <w:lang w:val="en-US" w:eastAsia="zh-CN"/>
        </w:rPr>
        <w:t>.</w:t>
      </w:r>
    </w:p>
    <w:p>
      <w:pPr>
        <w:pStyle w:val="95"/>
        <w:numPr>
          <w:ilvl w:val="0"/>
          <w:numId w:val="0"/>
        </w:numPr>
        <w:rPr>
          <w:rFonts w:hint="default"/>
          <w:lang w:val="en-US" w:eastAsia="zh-CN"/>
        </w:rPr>
      </w:pPr>
      <w:r>
        <w:rPr>
          <w:rFonts w:hint="eastAsia"/>
          <w:lang w:val="en-US" w:eastAsia="zh-CN"/>
        </w:rPr>
        <w:t>Proposal 3: RAN4 should discuss whether the SMTC should be included in the RS configuration from RAN4</w:t>
      </w:r>
      <w:r>
        <w:rPr>
          <w:rFonts w:hint="default"/>
          <w:lang w:val="en-US" w:eastAsia="zh-CN"/>
        </w:rPr>
        <w:t>’</w:t>
      </w:r>
      <w:r>
        <w:rPr>
          <w:rFonts w:hint="eastAsia"/>
          <w:lang w:val="en-US" w:eastAsia="zh-CN"/>
        </w:rPr>
        <w:t>s perspective.</w:t>
      </w:r>
      <w:r>
        <w:t xml:space="preserve"> </w:t>
      </w:r>
    </w:p>
    <w:p>
      <w:pPr>
        <w:pStyle w:val="55"/>
        <w:tabs>
          <w:tab w:val="left" w:pos="567"/>
          <w:tab w:val="clear" w:pos="1985"/>
        </w:tabs>
        <w:adjustRightInd w:val="0"/>
        <w:ind w:left="510" w:hanging="510"/>
      </w:pPr>
      <w:r>
        <w:t>References</w:t>
      </w:r>
    </w:p>
    <w:p>
      <w:pPr>
        <w:pStyle w:val="53"/>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R4-231</w:t>
      </w:r>
      <w:r>
        <w:rPr>
          <w:rFonts w:hint="eastAsia"/>
          <w:sz w:val="21"/>
          <w:szCs w:val="21"/>
          <w:lang w:val="en-US" w:eastAsia="zh-CN"/>
        </w:rPr>
        <w:t>7330</w:t>
      </w:r>
      <w:r>
        <w:rPr>
          <w:rFonts w:hint="default"/>
          <w:sz w:val="21"/>
          <w:szCs w:val="21"/>
          <w:lang w:val="en-US" w:eastAsia="zh-CN"/>
        </w:rPr>
        <w:t>, WF on NR mobility enhancements (part 1), MediaTek Inc.</w:t>
      </w:r>
    </w:p>
    <w:p>
      <w:pPr>
        <w:pStyle w:val="53"/>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R2-2311333</w:t>
      </w:r>
      <w:r>
        <w:rPr>
          <w:rFonts w:hint="eastAsia"/>
          <w:sz w:val="21"/>
          <w:szCs w:val="21"/>
          <w:lang w:val="en-US" w:eastAsia="zh-CN"/>
        </w:rPr>
        <w:t>, LS on L1 measurements for LTM, RAN2</w:t>
      </w: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0"/>
      </w:rPr>
    </w:lvl>
    <w:lvl w:ilvl="1" w:tentative="0">
      <w:start w:val="1"/>
      <w:numFmt w:val="lowerRoman"/>
      <w:lvlText w:val="%2."/>
      <w:lvlJc w:val="righ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6E9626C"/>
    <w:multiLevelType w:val="multilevel"/>
    <w:tmpl w:val="56E9626C"/>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616DA"/>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25051"/>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A3363C"/>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1817"/>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5624E"/>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13F32"/>
    <w:rsid w:val="2A49761F"/>
    <w:rsid w:val="2A4C74B8"/>
    <w:rsid w:val="2A4F49D1"/>
    <w:rsid w:val="2A500712"/>
    <w:rsid w:val="2A541B0A"/>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0731FF"/>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515B0E"/>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3E6C89"/>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3B09"/>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EB0E58"/>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CF649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192FD7"/>
    <w:rsid w:val="6B21318E"/>
    <w:rsid w:val="6B254FA3"/>
    <w:rsid w:val="6B285741"/>
    <w:rsid w:val="6B340EF1"/>
    <w:rsid w:val="6B3D06AC"/>
    <w:rsid w:val="6B444BB7"/>
    <w:rsid w:val="6B447945"/>
    <w:rsid w:val="6B472052"/>
    <w:rsid w:val="6B4B2C3B"/>
    <w:rsid w:val="6B4E4A00"/>
    <w:rsid w:val="6B5256F3"/>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427F"/>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87444"/>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038AF"/>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25</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2023-11-03T08:13:01Z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EB425275E1304C548FF39FC121034647</vt:lpwstr>
  </property>
</Properties>
</file>