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8"/>
          <w:lang w:val="en-US" w:eastAsia="zh-CN"/>
        </w:rPr>
      </w:pPr>
      <w:bookmarkStart w:id="0" w:name="DocumentFor"/>
      <w:bookmarkEnd w:id="0"/>
      <w:bookmarkStart w:id="1" w:name="Title"/>
      <w:bookmarkEnd w:id="1"/>
      <w:r>
        <w:rPr>
          <w:rFonts w:hint="default" w:ascii="Arial" w:hAnsi="Arial" w:cs="Arial"/>
          <w:b/>
          <w:bCs/>
          <w:sz w:val="24"/>
          <w:szCs w:val="28"/>
          <w:lang w:val="en-US" w:eastAsia="zh-CN"/>
        </w:rPr>
        <w:t>3GPP TSG-RAN WG4 Meeting # 109</w:t>
      </w:r>
      <w:r>
        <w:rPr>
          <w:rFonts w:hint="default" w:ascii="Arial" w:hAnsi="Arial" w:cs="Arial"/>
          <w:b/>
          <w:bCs/>
          <w:sz w:val="24"/>
          <w:szCs w:val="28"/>
          <w:lang w:val="en-US" w:eastAsia="zh-CN"/>
        </w:rPr>
        <w:tab/>
      </w:r>
      <w:r>
        <w:rPr>
          <w:rFonts w:hint="default" w:ascii="Arial" w:hAnsi="Arial" w:cs="Arial"/>
          <w:b/>
          <w:bCs/>
          <w:sz w:val="24"/>
          <w:szCs w:val="28"/>
          <w:lang w:val="en-US" w:eastAsia="zh-CN"/>
        </w:rPr>
        <w:tab/>
      </w:r>
      <w:r>
        <w:rPr>
          <w:rFonts w:hint="default" w:ascii="Arial" w:hAnsi="Arial" w:cs="Arial"/>
          <w:b/>
          <w:bCs/>
          <w:sz w:val="24"/>
          <w:szCs w:val="28"/>
          <w:lang w:val="en-US" w:eastAsia="zh-CN"/>
        </w:rPr>
        <w:tab/>
      </w:r>
      <w:r>
        <w:rPr>
          <w:rFonts w:hint="default" w:ascii="Arial" w:hAnsi="Arial" w:cs="Arial"/>
          <w:b/>
          <w:bCs/>
          <w:sz w:val="24"/>
          <w:szCs w:val="28"/>
          <w:lang w:val="en-US" w:eastAsia="zh-CN"/>
        </w:rPr>
        <w:tab/>
      </w:r>
      <w:r>
        <w:rPr>
          <w:rFonts w:hint="eastAsia" w:ascii="Arial" w:hAnsi="Arial" w:cs="Arial"/>
          <w:b/>
          <w:bCs/>
          <w:sz w:val="24"/>
          <w:szCs w:val="28"/>
          <w:lang w:val="en-US" w:eastAsia="zh-CN"/>
        </w:rPr>
        <w:tab/>
        <w:t/>
      </w:r>
      <w:r>
        <w:rPr>
          <w:rFonts w:hint="eastAsia" w:ascii="Arial" w:hAnsi="Arial" w:cs="Arial"/>
          <w:b/>
          <w:bCs/>
          <w:sz w:val="24"/>
          <w:szCs w:val="28"/>
          <w:lang w:val="en-US" w:eastAsia="zh-CN"/>
        </w:rPr>
        <w:tab/>
        <w:t/>
      </w:r>
      <w:r>
        <w:rPr>
          <w:rFonts w:hint="eastAsia" w:ascii="Arial" w:hAnsi="Arial" w:cs="Arial"/>
          <w:b/>
          <w:bCs/>
          <w:sz w:val="24"/>
          <w:szCs w:val="28"/>
          <w:lang w:val="en-US" w:eastAsia="zh-CN"/>
        </w:rPr>
        <w:tab/>
        <w:t/>
      </w:r>
      <w:r>
        <w:rPr>
          <w:rFonts w:hint="eastAsia" w:ascii="Arial" w:hAnsi="Arial" w:cs="Arial"/>
          <w:b/>
          <w:bCs/>
          <w:sz w:val="24"/>
          <w:szCs w:val="28"/>
          <w:lang w:val="en-US" w:eastAsia="zh-CN"/>
        </w:rPr>
        <w:tab/>
        <w:t/>
      </w:r>
      <w:r>
        <w:rPr>
          <w:rFonts w:hint="eastAsia" w:ascii="Arial" w:hAnsi="Arial" w:cs="Arial"/>
          <w:b/>
          <w:bCs/>
          <w:sz w:val="24"/>
          <w:szCs w:val="28"/>
          <w:lang w:val="en-US" w:eastAsia="zh-CN"/>
        </w:rPr>
        <w:tab/>
        <w:t/>
      </w:r>
      <w:r>
        <w:rPr>
          <w:rFonts w:hint="eastAsia" w:ascii="Arial" w:hAnsi="Arial" w:cs="Arial"/>
          <w:b/>
          <w:bCs/>
          <w:sz w:val="24"/>
          <w:szCs w:val="28"/>
          <w:lang w:val="en-US" w:eastAsia="zh-CN"/>
        </w:rPr>
        <w:tab/>
      </w:r>
      <w:r>
        <w:rPr>
          <w:rFonts w:hint="default" w:ascii="Arial" w:hAnsi="Arial" w:cs="Arial"/>
          <w:b/>
          <w:bCs/>
          <w:sz w:val="24"/>
          <w:szCs w:val="28"/>
          <w:lang w:val="en-US" w:eastAsia="zh-CN"/>
        </w:rPr>
        <w:t>R4-2318926</w:t>
      </w:r>
    </w:p>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Chicago, US, November 13 – 17, 2023</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SBFD BS RF requirement</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lang w:val="en-US" w:eastAsia="zh-CN"/>
        </w:rPr>
        <w:t xml:space="preserve">In last meeting, </w:t>
      </w:r>
      <w:r>
        <w:rPr>
          <w:rFonts w:ascii="Times New Roman" w:hAnsi="Times New Roman"/>
          <w:sz w:val="20"/>
        </w:rPr>
        <w:t>A WF</w:t>
      </w:r>
      <w:r>
        <w:rPr>
          <w:rFonts w:hint="eastAsia" w:ascii="Times New Roman" w:hAnsi="Times New Roman"/>
          <w:sz w:val="20"/>
          <w:lang w:val="en-US" w:eastAsia="zh-CN"/>
        </w:rPr>
        <w:t xml:space="preserve"> on SBFD BS RF requirement</w:t>
      </w:r>
      <w:r>
        <w:rPr>
          <w:rFonts w:ascii="Times New Roman" w:hAnsi="Times New Roman"/>
          <w:sz w:val="20"/>
        </w:rPr>
        <w:t xml:space="preserve"> has been approved</w:t>
      </w:r>
      <w:r>
        <w:rPr>
          <w:rFonts w:hint="eastAsia" w:ascii="Times New Roman" w:hAnsi="Times New Roman"/>
          <w:sz w:val="20"/>
          <w:lang w:val="en-US" w:eastAsia="zh-CN"/>
        </w:rPr>
        <w:t xml:space="preserve">[1]. </w:t>
      </w:r>
      <w:r>
        <w:rPr>
          <w:rFonts w:ascii="Times New Roman" w:hAnsi="Times New Roman"/>
          <w:sz w:val="20"/>
        </w:rPr>
        <w:t xml:space="preserve">In this contribution, </w:t>
      </w:r>
      <w:r>
        <w:rPr>
          <w:rFonts w:hint="eastAsia" w:ascii="Times New Roman" w:hAnsi="Times New Roman"/>
          <w:sz w:val="20"/>
          <w:lang w:val="en-US" w:eastAsia="zh-CN"/>
        </w:rPr>
        <w:t>we continue discuss remaining issues</w:t>
      </w:r>
      <w:r>
        <w:rPr>
          <w:rFonts w:ascii="Times New Roman" w:hAnsi="Times New Roman"/>
          <w:sz w:val="20"/>
        </w:rPr>
        <w:t>.</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last meeting,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approved that at study item focus on discussing which legacy requirements are still applicable, which legacy requirements are not applicable and which new requirements are needed. If there is still time left in R18, we can discuss the candidate range for RF requirement and the methodology of requirements introduction. Following list our suggestions for remaining RF requirements.</w:t>
      </w:r>
    </w:p>
    <w:p>
      <w:pPr>
        <w:pStyle w:val="4"/>
        <w:numPr>
          <w:ilvl w:val="1"/>
          <w:numId w:val="1"/>
        </w:numPr>
        <w:bidi w:val="0"/>
        <w:ind w:leftChars="0"/>
        <w:rPr>
          <w:rFonts w:hint="eastAsia" w:cs="Times New Roman"/>
          <w:lang w:val="en-US" w:eastAsia="zh-CN"/>
        </w:rPr>
      </w:pPr>
      <w:r>
        <w:rPr>
          <w:rFonts w:hint="eastAsia" w:cs="Times New Roman"/>
          <w:lang w:val="en-US" w:eastAsia="zh-CN"/>
        </w:rPr>
        <w:t>Total power dynamic range</w:t>
      </w:r>
    </w:p>
    <w:p>
      <w:pPr>
        <w:rPr>
          <w:rFonts w:hint="eastAsia" w:ascii="Times New Roman" w:hAnsi="Times New Roman"/>
          <w:b w:val="0"/>
          <w:bCs w:val="0"/>
          <w:sz w:val="20"/>
          <w:szCs w:val="20"/>
          <w:lang w:val="en-US" w:eastAsia="zh-CN"/>
        </w:rPr>
      </w:pPr>
      <w:r>
        <w:rPr>
          <w:rFonts w:hint="default" w:ascii="Times New Roman" w:hAnsi="Times New Roman" w:cs="Times New Roman"/>
          <w:sz w:val="20"/>
          <w:szCs w:val="20"/>
          <w:lang w:val="en-US" w:eastAsia="zh-CN"/>
        </w:rPr>
        <w:t>Following capture last meeting WF:</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keepNext w:val="0"/>
              <w:keepLines w:val="0"/>
              <w:pageBreakBefore w:val="0"/>
              <w:widowControl w:val="0"/>
              <w:numPr>
                <w:ilvl w:val="0"/>
                <w:numId w:val="2"/>
              </w:numPr>
              <w:kinsoku/>
              <w:wordWrap/>
              <w:overflowPunct/>
              <w:topLinePunct w:val="0"/>
              <w:autoSpaceDE/>
              <w:autoSpaceDN/>
              <w:bidi w:val="0"/>
              <w:adjustRightInd/>
              <w:snapToGrid/>
              <w:spacing w:before="120" w:after="120" w:line="260" w:lineRule="auto"/>
              <w:ind w:left="0" w:leftChars="0" w:firstLine="0"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b w:val="0"/>
                <w:bCs w:val="0"/>
                <w:sz w:val="20"/>
                <w:szCs w:val="20"/>
                <w:highlight w:val="none"/>
                <w:vertAlign w:val="baseline"/>
                <w:lang w:val="en-US" w:eastAsia="zh-CN"/>
              </w:rPr>
              <w:t>The requirement limit for the total power dynamic range for SBFD slots is not as yet agreed. Contributions proposing a requirement limit are encouraged.</w:t>
            </w:r>
          </w:p>
        </w:tc>
      </w:tr>
    </w:tbl>
    <w:p>
      <w:pPr>
        <w:numPr>
          <w:ilvl w:val="0"/>
          <w:numId w:val="0"/>
        </w:numPr>
        <w:ind w:leftChars="0"/>
        <w:rPr>
          <w:rFonts w:hint="default"/>
          <w:lang w:val="en-US" w:eastAsia="zh-CN"/>
        </w:rPr>
      </w:pPr>
    </w:p>
    <w:p>
      <w:pPr>
        <w:numPr>
          <w:ilvl w:val="0"/>
          <w:numId w:val="3"/>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propose that dynamic range corresponds to the SBFD total max power divide average non-SBFD per-RB-power in dB scale with following in mind that per-RB-power of SBFD gNB would be the same as that of non-SBFD gNB because even when part of antenna array is utilized, power could be increased for SBFD BS to meet above same target per-RB-power as non-SBFD slots. But this means required total Tx power could be larger for that of non-SBFD gNB when almost all RB are configured for SBFD DL, e.g. only reserve 1 UL PRB. This total Tx power may be hard to achieve especially for the SBFD implementation with same number of antenna element as non-SBFD but splitting half for Tx and half for Rx.</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It is reasonable to expect that Tx power for each DL RB of SBFD is the same among all SBFD DL RB configuration. In theory total dynamic range equals to 10*log10(total utilized DL RB number). we can assume typical guard band between DL-UL SBFD for RF definition and derive total power dynamic range. In this way guard band is implicitly defined.</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Observation 1: further discussion in work phase is needed regarding whether RAN4 could assume some typical D-U and U-D guard band for total power dynamic range RF requirements definition in work phase.</w:t>
      </w:r>
    </w:p>
    <w:p>
      <w:pPr>
        <w:pStyle w:val="4"/>
        <w:numPr>
          <w:ilvl w:val="0"/>
          <w:numId w:val="0"/>
        </w:numPr>
        <w:bidi w:val="0"/>
        <w:ind w:leftChars="0"/>
        <w:rPr>
          <w:rFonts w:hint="default"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2</w:t>
      </w:r>
      <w:r>
        <w:rPr>
          <w:rFonts w:hint="eastAsia" w:ascii="Arial" w:hAnsi="Arial" w:cs="Times New Roman"/>
          <w:lang w:val="en-US" w:eastAsia="zh-CN"/>
        </w:rPr>
        <w:t xml:space="preserve"> Tx inter</w:t>
      </w:r>
      <w:r>
        <w:rPr>
          <w:rFonts w:hint="eastAsia" w:cs="Times New Roman"/>
          <w:lang w:val="en-US" w:eastAsia="zh-CN"/>
        </w:rPr>
        <w:t>-</w:t>
      </w:r>
      <w:r>
        <w:rPr>
          <w:rFonts w:hint="eastAsia" w:ascii="Arial" w:hAnsi="Arial" w:cs="Times New Roman"/>
          <w:lang w:val="en-US" w:eastAsia="zh-CN"/>
        </w:rPr>
        <w:t>modulation requirements</w:t>
      </w:r>
    </w:p>
    <w:p>
      <w:pPr>
        <w:rPr>
          <w:rFonts w:hint="eastAsia" w:ascii="Times New Roman" w:hAnsi="Times New Roman"/>
          <w:b w:val="0"/>
          <w:bCs w:val="0"/>
          <w:sz w:val="20"/>
          <w:szCs w:val="20"/>
          <w:lang w:val="en-US" w:eastAsia="zh-CN"/>
        </w:rPr>
      </w:pPr>
      <w:r>
        <w:rPr>
          <w:rFonts w:hint="default" w:ascii="Times New Roman" w:hAnsi="Times New Roman" w:cs="Times New Roman"/>
          <w:sz w:val="20"/>
          <w:szCs w:val="20"/>
          <w:lang w:val="en-US" w:eastAsia="zh-CN"/>
        </w:rPr>
        <w:t>Following capture last meeting WF:</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numPr>
                <w:ilvl w:val="0"/>
                <w:numId w:val="4"/>
              </w:numPr>
              <w:overflowPunct/>
              <w:autoSpaceDE/>
              <w:autoSpaceDN/>
              <w:adjustRightInd/>
              <w:spacing w:before="120" w:after="120" w:line="259" w:lineRule="auto"/>
              <w:ind w:left="512" w:leftChars="0"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b w:val="0"/>
                <w:bCs w:val="0"/>
                <w:sz w:val="20"/>
                <w:szCs w:val="20"/>
                <w:highlight w:val="none"/>
                <w:vertAlign w:val="baseline"/>
                <w:lang w:val="en-US" w:eastAsia="zh-CN"/>
              </w:rPr>
              <w:t xml:space="preserve">For transmitter intermodulation in SBFD slots, further contributions are encouraged to decide on one of the following options: </w:t>
            </w:r>
          </w:p>
          <w:p>
            <w:pPr>
              <w:pStyle w:val="24"/>
              <w:numPr>
                <w:ilvl w:val="1"/>
                <w:numId w:val="4"/>
              </w:numPr>
              <w:overflowPunct/>
              <w:autoSpaceDE/>
              <w:autoSpaceDN/>
              <w:adjustRightInd/>
              <w:spacing w:before="120" w:after="120" w:line="259" w:lineRule="auto"/>
              <w:ind w:left="932" w:leftChars="0"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b w:val="0"/>
                <w:bCs w:val="0"/>
                <w:sz w:val="20"/>
                <w:szCs w:val="20"/>
                <w:highlight w:val="none"/>
                <w:vertAlign w:val="baseline"/>
                <w:lang w:val="en-US" w:eastAsia="zh-CN"/>
              </w:rPr>
              <w:t>TX IM is not applied in SBFD slots</w:t>
            </w:r>
          </w:p>
          <w:p>
            <w:pPr>
              <w:pStyle w:val="24"/>
              <w:numPr>
                <w:ilvl w:val="1"/>
                <w:numId w:val="4"/>
              </w:numPr>
              <w:overflowPunct/>
              <w:autoSpaceDE/>
              <w:autoSpaceDN/>
              <w:adjustRightInd/>
              <w:spacing w:before="120" w:after="120" w:line="259" w:lineRule="auto"/>
              <w:ind w:left="932" w:leftChars="0"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b w:val="0"/>
                <w:bCs w:val="0"/>
                <w:sz w:val="20"/>
                <w:szCs w:val="20"/>
                <w:highlight w:val="none"/>
                <w:vertAlign w:val="baseline"/>
                <w:lang w:val="en-US" w:eastAsia="zh-CN"/>
              </w:rPr>
              <w:t>TX IM is applied in SBFD slots, but with a different interferer offset than 30dB</w:t>
            </w:r>
          </w:p>
          <w:p>
            <w:pPr>
              <w:pStyle w:val="24"/>
              <w:numPr>
                <w:ilvl w:val="1"/>
                <w:numId w:val="4"/>
              </w:numPr>
              <w:overflowPunct/>
              <w:autoSpaceDE/>
              <w:autoSpaceDN/>
              <w:adjustRightInd/>
              <w:spacing w:before="120" w:after="120" w:line="259" w:lineRule="auto"/>
              <w:ind w:left="932" w:leftChars="0"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b w:val="0"/>
                <w:bCs w:val="0"/>
                <w:sz w:val="20"/>
                <w:szCs w:val="20"/>
                <w:highlight w:val="none"/>
                <w:vertAlign w:val="baseline"/>
                <w:lang w:val="en-US" w:eastAsia="zh-CN"/>
              </w:rPr>
              <w:t>TX IM is applied in SBFD slots with 30dB interferer offset. SBFD RX requirements are not applicable when the TX IM interferer is applied.</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conducted Tx IMD, the interference source is assumed 30dB MCL away from Tx unit. If we reuse this same 30dB MCL assumption for SBFD case, SBFD receiver may be blocked, e.g. 46-30=19dBm. On the other hand, during self-interference analysis, typical spatial isolation for UMa, Umi are much larger than 30dB, e.g. 80dB. </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above option 3, if there is still SBFD Rx operation, receiver may be blocked which should be avoided rather than stating SBFD Rx requirements are not applicable. One alternative solution is to make Rx not available, which is equivalent to non-SBFD slot with no U configuration. From this point of view, Tx IMD testing at non-SBFD slot is already enough and Tx IM is not applied in SBFD slots.</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1: </w:t>
      </w:r>
      <w:r>
        <w:rPr>
          <w:rFonts w:hint="default" w:ascii="Times New Roman" w:hAnsi="Times New Roman" w:cs="Times New Roman"/>
          <w:b/>
          <w:bCs/>
          <w:sz w:val="20"/>
          <w:szCs w:val="20"/>
          <w:highlight w:val="none"/>
          <w:vertAlign w:val="baseline"/>
          <w:lang w:val="en-US" w:eastAsia="zh-CN"/>
        </w:rPr>
        <w:t>TX IM is not applied in SBFD slots</w:t>
      </w:r>
      <w:r>
        <w:rPr>
          <w:rFonts w:hint="eastAsia" w:ascii="Times New Roman" w:hAnsi="Times New Roman" w:cs="Times New Roman"/>
          <w:b/>
          <w:bCs/>
          <w:sz w:val="20"/>
          <w:szCs w:val="20"/>
          <w:highlight w:val="none"/>
          <w:vertAlign w:val="baseline"/>
          <w:lang w:val="en-US" w:eastAsia="zh-CN"/>
        </w:rPr>
        <w:t xml:space="preserve"> to avoid blocking receiver</w:t>
      </w:r>
      <w:r>
        <w:rPr>
          <w:rFonts w:hint="eastAsia" w:ascii="Times New Roman" w:hAnsi="Times New Roman"/>
          <w:b/>
          <w:bCs/>
          <w:sz w:val="20"/>
          <w:szCs w:val="20"/>
          <w:lang w:val="en-US" w:eastAsia="zh-CN"/>
        </w:rPr>
        <w:t xml:space="preserve">. But for testing, Tx IMD is still suggested to be tested in non-SBFD slot for the SBFD gNB.  </w:t>
      </w:r>
    </w:p>
    <w:p>
      <w:pPr>
        <w:pStyle w:val="4"/>
        <w:numPr>
          <w:ilvl w:val="0"/>
          <w:numId w:val="0"/>
        </w:numPr>
        <w:bidi w:val="0"/>
        <w:ind w:leftChars="0"/>
        <w:rPr>
          <w:rFonts w:hint="eastAsia"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3</w:t>
      </w:r>
      <w:r>
        <w:rPr>
          <w:rFonts w:hint="eastAsia" w:ascii="Arial" w:hAnsi="Arial" w:cs="Times New Roman"/>
          <w:lang w:val="en-US" w:eastAsia="zh-CN"/>
        </w:rPr>
        <w:t xml:space="preserve"> </w:t>
      </w:r>
      <w:r>
        <w:rPr>
          <w:rFonts w:hint="eastAsia" w:cs="Times New Roman"/>
          <w:lang w:val="en-US" w:eastAsia="zh-CN"/>
        </w:rPr>
        <w:t>C</w:t>
      </w:r>
      <w:r>
        <w:rPr>
          <w:rFonts w:hint="eastAsia" w:ascii="Arial" w:hAnsi="Arial" w:cs="Times New Roman"/>
          <w:lang w:val="en-US" w:eastAsia="zh-CN"/>
        </w:rPr>
        <w:t>o-location requirements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Following capture last meeting WF:</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numPr>
                <w:ilvl w:val="1"/>
                <w:numId w:val="4"/>
              </w:numPr>
              <w:spacing w:before="120" w:line="280" w:lineRule="atLeast"/>
              <w:ind w:left="1236" w:leftChars="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Co-location/co-existence: </w:t>
            </w:r>
          </w:p>
          <w:p>
            <w:pPr>
              <w:pStyle w:val="24"/>
              <w:numPr>
                <w:ilvl w:val="2"/>
                <w:numId w:val="4"/>
              </w:numPr>
              <w:spacing w:before="120" w:line="280" w:lineRule="atLeast"/>
              <w:ind w:left="1956" w:leftChars="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 Co-location requirement can’t use 30 dB coupling loss as the coupling loss assumption for SBFD capable gNB co-location related requirement.</w:t>
            </w:r>
          </w:p>
          <w:p>
            <w:pPr>
              <w:pStyle w:val="24"/>
              <w:numPr>
                <w:ilvl w:val="2"/>
                <w:numId w:val="4"/>
              </w:numPr>
              <w:spacing w:before="120" w:line="280" w:lineRule="atLeast"/>
              <w:ind w:left="1956" w:leftChars="0"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rPr>
              <w:t xml:space="preserve">Option 2: No update on existing requirements, it’s declaration basis whether BS need to follow the requirements. FFS whether applicable for SBFD symbols/slots. </w:t>
            </w:r>
          </w:p>
        </w:tc>
      </w:tr>
    </w:tbl>
    <w:p>
      <w:pPr>
        <w:rPr>
          <w:rFonts w:hint="default"/>
          <w:lang w:val="en-US" w:eastAsia="zh-CN"/>
        </w:rPr>
      </w:pPr>
    </w:p>
    <w:p>
      <w:pPr>
        <w:numPr>
          <w:ilvl w:val="0"/>
          <w:numId w:val="5"/>
        </w:numPr>
        <w:spacing w:after="180"/>
        <w:ind w:left="420" w:leftChars="0" w:hanging="420"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For inter-band co-location requirements ,i.e. between different operation bands</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30dB MCL, since legacy NR gNB could already support this co-located emission and blocking requirements,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 needed to further relax such co-located requirements especially when this co-location is declaration basis.</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legacy co-located requirements, there is no explicitly restriction of synchronized operation. In stead, our understanding is that synchronized or non-synchronized operation are both allowed for co-location requirements between different operation bands. For SBFD, the only difference is when receiving blocking signal from different band gNB, there is also additional self-interference. But anyway since self-interference is already reduced to be lower than 1dB desense. This self-interference could be avoided. Therefore,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OK not updating existing requirements even for SBFD slots/symbols.</w:t>
      </w:r>
    </w:p>
    <w:p>
      <w:pPr>
        <w:numPr>
          <w:ilvl w:val="0"/>
          <w:numId w:val="0"/>
        </w:numPr>
        <w:spacing w:after="180"/>
        <w:ind w:leftChars="0"/>
        <w:rPr>
          <w:rFonts w:hint="default" w:ascii="Times New Roman" w:hAnsi="Times New Roman" w:cs="Times New Roman"/>
          <w:b/>
          <w:bCs/>
          <w:sz w:val="20"/>
          <w:szCs w:val="20"/>
          <w:highlight w:val="none"/>
        </w:rPr>
      </w:pPr>
      <w:r>
        <w:rPr>
          <w:rFonts w:hint="eastAsia" w:ascii="Times New Roman" w:hAnsi="Times New Roman" w:cs="Times New Roman"/>
          <w:b/>
          <w:bCs/>
          <w:sz w:val="20"/>
          <w:szCs w:val="20"/>
          <w:lang w:val="en-US" w:eastAsia="zh-CN"/>
        </w:rPr>
        <w:t xml:space="preserve">Proposal 2: </w:t>
      </w:r>
      <w:r>
        <w:rPr>
          <w:rFonts w:hint="default" w:ascii="Times New Roman" w:hAnsi="Times New Roman" w:cs="Times New Roman"/>
          <w:b/>
          <w:bCs/>
          <w:sz w:val="20"/>
          <w:szCs w:val="20"/>
          <w:highlight w:val="none"/>
        </w:rPr>
        <w:t>No updat</w:t>
      </w:r>
      <w:r>
        <w:rPr>
          <w:rFonts w:hint="eastAsia" w:ascii="Times New Roman" w:hAnsi="Times New Roman" w:cs="Times New Roman"/>
          <w:b/>
          <w:bCs/>
          <w:sz w:val="20"/>
          <w:szCs w:val="20"/>
          <w:highlight w:val="none"/>
          <w:lang w:val="en-US" w:eastAsia="zh-CN"/>
        </w:rPr>
        <w:t>ing</w:t>
      </w:r>
      <w:r>
        <w:rPr>
          <w:rFonts w:hint="default" w:ascii="Times New Roman" w:hAnsi="Times New Roman" w:cs="Times New Roman"/>
          <w:b/>
          <w:bCs/>
          <w:sz w:val="20"/>
          <w:szCs w:val="20"/>
          <w:highlight w:val="none"/>
        </w:rPr>
        <w:t xml:space="preserve"> on existing </w:t>
      </w:r>
      <w:r>
        <w:rPr>
          <w:rFonts w:hint="eastAsia" w:ascii="Times New Roman" w:hAnsi="Times New Roman" w:cs="Times New Roman"/>
          <w:b/>
          <w:bCs/>
          <w:sz w:val="20"/>
          <w:szCs w:val="20"/>
          <w:highlight w:val="none"/>
          <w:lang w:val="en-US" w:eastAsia="zh-CN"/>
        </w:rPr>
        <w:t xml:space="preserve">inter-band co-location </w:t>
      </w:r>
      <w:r>
        <w:rPr>
          <w:rFonts w:hint="default" w:ascii="Times New Roman" w:hAnsi="Times New Roman" w:cs="Times New Roman"/>
          <w:b/>
          <w:bCs/>
          <w:sz w:val="20"/>
          <w:szCs w:val="20"/>
          <w:highlight w:val="none"/>
        </w:rPr>
        <w:t xml:space="preserve">requirements, </w:t>
      </w:r>
      <w:r>
        <w:rPr>
          <w:rFonts w:hint="eastAsia" w:ascii="Times New Roman" w:hAnsi="Times New Roman" w:cs="Times New Roman"/>
          <w:b/>
          <w:bCs/>
          <w:sz w:val="20"/>
          <w:szCs w:val="20"/>
          <w:highlight w:val="none"/>
          <w:lang w:val="en-US" w:eastAsia="zh-CN"/>
        </w:rPr>
        <w:t xml:space="preserve">Manufacturer will declare whether support co-location requirements in </w:t>
      </w:r>
      <w:r>
        <w:rPr>
          <w:rFonts w:hint="default" w:ascii="Times New Roman" w:hAnsi="Times New Roman" w:cs="Times New Roman"/>
          <w:b/>
          <w:bCs/>
          <w:sz w:val="20"/>
          <w:szCs w:val="20"/>
          <w:highlight w:val="none"/>
        </w:rPr>
        <w:t>SBFD symbols/slots</w:t>
      </w:r>
    </w:p>
    <w:p>
      <w:pPr>
        <w:numPr>
          <w:ilvl w:val="0"/>
          <w:numId w:val="6"/>
        </w:numPr>
        <w:spacing w:after="180"/>
        <w:ind w:left="420" w:leftChars="0" w:hanging="420"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For intra-band adjacent carrier co-location requirement, i.e. co-location ACLR and ACS</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legacy NR network, ACLR and ACS are derived based on 100% grid shift which is the worst case compared with all other grid shift values. So there is no additional co-location requirements in NR spec. For SBFD network, adjacent-channel co-existence simulation only focus on not less than 10% grid shift values and 0% grid shift is avoided. But the Common understanding is that 0% grid shift is the worst case. So it seems co-location ACLR/ACS requirements are needed.</w:t>
      </w:r>
    </w:p>
    <w:p>
      <w:pPr>
        <w:numPr>
          <w:ilvl w:val="0"/>
          <w:numId w:val="0"/>
        </w:numPr>
        <w:spacing w:after="180"/>
        <w:ind w:leftChars="0"/>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If we still use 30dB or even 50dB co-location CLI assumption, adjacent channel co-location seems not feasible when BS-BS CLI occurs between networks using different SBFD configurations or when adjacent-channel network is NR network. One alternation solution is still defining co-located requirements but with explicitly stating assumed spatial isolation and max gNB Tx power assumption. When operators deploy SBFD network, they should at first evaluate whether link budget is achievable or not in corresponding deployment environment. </w:t>
      </w:r>
    </w:p>
    <w:p>
      <w:pPr>
        <w:numPr>
          <w:ilvl w:val="0"/>
          <w:numId w:val="0"/>
        </w:numPr>
        <w:spacing w:after="180"/>
        <w:ind w:leftChars="0"/>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the co-location ACS requirement, we can also define the input interference power level under the same REFSENSE degradation as legacy ACS requirements. But detailed interference power level could be larger to show gNB</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typical or optimal performance rather than minimum requirements since this co-location requirement is declaration basis and don</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t need to reflect all BS</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performance. When BS can</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t support this requirements, they don</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t declare support. The higher interference power level, the less spatial isolation and more feasible for actual deployment environment. As for detailed interference power level, we can have a further discussion in work phase but keep in mind that this is not the minimum requirements and are not mandatory for all BS, instead this is the typical/optimal BS performance.</w:t>
      </w:r>
    </w:p>
    <w:p>
      <w:pPr>
        <w:numPr>
          <w:ilvl w:val="0"/>
          <w:numId w:val="0"/>
        </w:numPr>
        <w:spacing w:after="180"/>
        <w:ind w:leftChars="0"/>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3: For intra-band adjacent channel co-location requirements, One alternation solution is to define requirements but with explicitly stating assumed spatial isolation and max gNB Tx power and keep in mind that this is not the minimum requirements, instead this is the typical/optimal BS performance under declaration basis.</w:t>
      </w:r>
    </w:p>
    <w:p>
      <w:pPr>
        <w:pStyle w:val="4"/>
        <w:numPr>
          <w:ilvl w:val="0"/>
          <w:numId w:val="0"/>
        </w:numPr>
        <w:bidi w:val="0"/>
        <w:ind w:leftChars="0"/>
        <w:rPr>
          <w:rFonts w:hint="default"/>
          <w:lang w:val="en-US" w:eastAsia="zh-CN"/>
        </w:rPr>
      </w:pPr>
      <w:r>
        <w:rPr>
          <w:rFonts w:hint="eastAsia"/>
          <w:lang w:val="en-US" w:eastAsia="zh-CN"/>
        </w:rPr>
        <w:t>2.4 in-channel adjacent sub-band leakage ratio</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120" w:after="40" w:line="240" w:lineRule="auto"/>
              <w:jc w:val="both"/>
              <w:textAlignment w:val="auto"/>
              <w:rPr>
                <w:rFonts w:hint="default" w:ascii="Times New Roman" w:hAnsi="Times New Roman" w:cs="Times New Roman"/>
                <w:sz w:val="20"/>
                <w:szCs w:val="21"/>
              </w:rPr>
            </w:pPr>
            <w:r>
              <w:rPr>
                <w:rFonts w:hint="default" w:ascii="Times New Roman" w:hAnsi="Times New Roman" w:cs="Times New Roman"/>
                <w:sz w:val="20"/>
                <w:szCs w:val="21"/>
              </w:rPr>
              <w:t>Further contributions are welcomed taking into account the following options:</w:t>
            </w:r>
          </w:p>
          <w:p>
            <w:pPr>
              <w:pStyle w:val="24"/>
              <w:keepNext w:val="0"/>
              <w:keepLines w:val="0"/>
              <w:pageBreakBefore w:val="0"/>
              <w:widowControl w:val="0"/>
              <w:numPr>
                <w:ilvl w:val="0"/>
                <w:numId w:val="7"/>
              </w:numPr>
              <w:kinsoku/>
              <w:wordWrap/>
              <w:overflowPunct/>
              <w:topLinePunct w:val="0"/>
              <w:autoSpaceDE/>
              <w:autoSpaceDN/>
              <w:bidi w:val="0"/>
              <w:adjustRightInd/>
              <w:snapToGrid/>
              <w:spacing w:before="120" w:after="40" w:line="240" w:lineRule="auto"/>
              <w:ind w:firstLineChars="0"/>
              <w:jc w:val="both"/>
              <w:textAlignment w:val="auto"/>
              <w:rPr>
                <w:rFonts w:hint="default" w:ascii="Times New Roman" w:hAnsi="Times New Roman" w:cs="Times New Roman"/>
                <w:sz w:val="20"/>
                <w:szCs w:val="21"/>
              </w:rPr>
            </w:pPr>
            <w:r>
              <w:rPr>
                <w:rFonts w:hint="default" w:ascii="Times New Roman" w:hAnsi="Times New Roman" w:cs="Times New Roman"/>
                <w:sz w:val="20"/>
                <w:szCs w:val="21"/>
              </w:rPr>
              <w:t>Option 1: Do not create a new requirement for in-channel adjacent sub-band leakage ratio</w:t>
            </w:r>
          </w:p>
          <w:p>
            <w:pPr>
              <w:pStyle w:val="24"/>
              <w:keepNext w:val="0"/>
              <w:keepLines w:val="0"/>
              <w:pageBreakBefore w:val="0"/>
              <w:widowControl w:val="0"/>
              <w:numPr>
                <w:ilvl w:val="0"/>
                <w:numId w:val="7"/>
              </w:numPr>
              <w:kinsoku/>
              <w:wordWrap/>
              <w:overflowPunct/>
              <w:topLinePunct w:val="0"/>
              <w:autoSpaceDE/>
              <w:autoSpaceDN/>
              <w:bidi w:val="0"/>
              <w:adjustRightInd/>
              <w:snapToGrid/>
              <w:spacing w:before="120" w:after="40" w:line="240" w:lineRule="auto"/>
              <w:ind w:firstLineChars="0"/>
              <w:jc w:val="both"/>
              <w:textAlignment w:val="auto"/>
              <w:rPr>
                <w:rFonts w:hint="default" w:ascii="Times New Roman" w:hAnsi="Times New Roman" w:cs="Times New Roman"/>
                <w:sz w:val="20"/>
                <w:szCs w:val="21"/>
              </w:rPr>
            </w:pPr>
            <w:r>
              <w:rPr>
                <w:rFonts w:hint="default" w:ascii="Times New Roman" w:hAnsi="Times New Roman" w:cs="Times New Roman"/>
                <w:sz w:val="20"/>
                <w:szCs w:val="21"/>
              </w:rPr>
              <w:t xml:space="preserve">Option 2: Create a new requirement on in-channel adjacent sub-band leakage ratio, similar to ACLR </w:t>
            </w:r>
          </w:p>
          <w:p>
            <w:pPr>
              <w:pStyle w:val="24"/>
              <w:keepNext w:val="0"/>
              <w:keepLines w:val="0"/>
              <w:pageBreakBefore w:val="0"/>
              <w:widowControl w:val="0"/>
              <w:numPr>
                <w:ilvl w:val="1"/>
                <w:numId w:val="7"/>
              </w:numPr>
              <w:kinsoku/>
              <w:wordWrap/>
              <w:overflowPunct/>
              <w:topLinePunct w:val="0"/>
              <w:autoSpaceDE/>
              <w:autoSpaceDN/>
              <w:bidi w:val="0"/>
              <w:adjustRightInd/>
              <w:snapToGrid/>
              <w:spacing w:before="120" w:after="40" w:line="240" w:lineRule="auto"/>
              <w:ind w:firstLineChars="0"/>
              <w:jc w:val="both"/>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1"/>
              </w:rPr>
              <w:t>Requirement limit should also be proposed</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ascii="Times New Roman" w:hAnsi="Times New Roman" w:cs="Times New Roman"/>
          <w:b w:val="0"/>
          <w:bCs w:val="0"/>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sub-band Tx leakage fall into Rx sub-band within the same carrier, this interference may contribute to REFSENSE level. Previous agreements are that further study i</w:t>
      </w:r>
      <w:r>
        <w:rPr>
          <w:rFonts w:hint="default" w:ascii="Times New Roman" w:hAnsi="Times New Roman" w:cs="Times New Roman"/>
          <w:b w:val="0"/>
          <w:bCs w:val="0"/>
          <w:sz w:val="20"/>
          <w:szCs w:val="20"/>
          <w:lang w:val="en-US" w:eastAsia="zh-CN"/>
        </w:rPr>
        <w:t>f OTA sensitivity should be defined considering all of the scenarios including self-interference, inter-site interference and inter-sector interference.</w:t>
      </w:r>
      <w:r>
        <w:rPr>
          <w:rFonts w:hint="eastAsia" w:ascii="Times New Roman" w:hAnsi="Times New Roman" w:cs="Times New Roman"/>
          <w:b w:val="0"/>
          <w:bCs w:val="0"/>
          <w:sz w:val="20"/>
          <w:szCs w:val="20"/>
          <w:lang w:val="en-US" w:eastAsia="zh-CN"/>
        </w:rPr>
        <w:t xml:space="preserve"> So this sub-band leakage requirements falling into the same carrier should be discussed together with OTA sensitivity requirements. </w:t>
      </w:r>
    </w:p>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4: This sub-band Tx leakage falling into the same carrier should be discussed together with OTA sensitivity requirements. </w:t>
      </w:r>
      <w:r>
        <w:rPr>
          <w:rFonts w:hint="eastAsia" w:ascii="Times New Roman" w:hAnsi="Times New Roman" w:cs="Times New Roman"/>
          <w:b w:val="0"/>
          <w:bCs w:val="0"/>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When sub-band Tx leakage fall into adjacent carrier, this is something like ACLR. The similar definition methodology could be reused with assumed equal Tx bandwidth and Rx bandwidth. One issue is which grid shift value should we use to conclude final sub-band selectivity and blocking conclusion.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most co-existence scenarios, the less grid shift, the higher required ACIR, but for macro interfere micro scenario, the trend is not applicable. So in theory, all grid shifts should be encompassed, among which 0% grid shift could be used for co-location requirements as stated in section 2.3 and other grid shift values are for general ACLR/ACS requirements. But we should also keep in mind the ACIR can</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t increase all the way due to implementation restriction and is also limited by un-enhanceable ACLR or ACS of adjacent-channel legacy NR network.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In normal phase stage, when we define final sub-band ACLR we should consider the trade-off between grid shift and BS implementation restriction. For example when co-exist with legacy NR network, the ACLR/ACS could be equal to adjacent-channel network ACS and ACLR since further enhancement will not contribute to higher ACIR. When co-exist with SBFD of different configuration, ACLR/ACS could be derived considering current technical level if co-existence results show challenging and unachievable ACIR.</w:t>
      </w:r>
    </w:p>
    <w:p>
      <w:pPr>
        <w:pStyle w:val="4"/>
        <w:numPr>
          <w:ilvl w:val="0"/>
          <w:numId w:val="0"/>
        </w:numPr>
        <w:bidi w:val="0"/>
        <w:ind w:leftChars="0"/>
        <w:rPr>
          <w:rFonts w:hint="default"/>
          <w:lang w:val="en-US" w:eastAsia="zh-CN"/>
        </w:rPr>
      </w:pPr>
      <w:r>
        <w:rPr>
          <w:rFonts w:hint="eastAsia"/>
          <w:lang w:val="en-US" w:eastAsia="zh-CN"/>
        </w:rPr>
        <w:t>2.5 in-channel adjacent sub-band selectivity or blocking</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12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Further contributions are welcomed taking into account the following options:</w:t>
            </w:r>
          </w:p>
          <w:p>
            <w:pPr>
              <w:pStyle w:val="24"/>
              <w:keepNext w:val="0"/>
              <w:keepLines w:val="0"/>
              <w:pageBreakBefore w:val="0"/>
              <w:widowControl w:val="0"/>
              <w:numPr>
                <w:ilvl w:val="0"/>
                <w:numId w:val="7"/>
              </w:numPr>
              <w:kinsoku/>
              <w:wordWrap/>
              <w:overflowPunct/>
              <w:topLinePunct w:val="0"/>
              <w:autoSpaceDE/>
              <w:autoSpaceDN/>
              <w:bidi w:val="0"/>
              <w:adjustRightInd/>
              <w:snapToGrid/>
              <w:spacing w:before="120" w:line="240" w:lineRule="auto"/>
              <w:ind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Do not create a new requirement for in-channel adjacent sub-band selectivity or blocking</w:t>
            </w:r>
          </w:p>
          <w:p>
            <w:pPr>
              <w:pStyle w:val="24"/>
              <w:keepNext w:val="0"/>
              <w:keepLines w:val="0"/>
              <w:pageBreakBefore w:val="0"/>
              <w:widowControl w:val="0"/>
              <w:numPr>
                <w:ilvl w:val="0"/>
                <w:numId w:val="7"/>
              </w:numPr>
              <w:kinsoku/>
              <w:wordWrap/>
              <w:overflowPunct/>
              <w:topLinePunct w:val="0"/>
              <w:autoSpaceDE/>
              <w:autoSpaceDN/>
              <w:bidi w:val="0"/>
              <w:adjustRightInd/>
              <w:snapToGrid/>
              <w:spacing w:before="120" w:line="240" w:lineRule="auto"/>
              <w:ind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Create a new requirement on in-channel adjacent sub-band selectivity (similar to ACS), but no blocking requirement</w:t>
            </w:r>
          </w:p>
          <w:p>
            <w:pPr>
              <w:pStyle w:val="24"/>
              <w:keepNext w:val="0"/>
              <w:keepLines w:val="0"/>
              <w:pageBreakBefore w:val="0"/>
              <w:widowControl w:val="0"/>
              <w:numPr>
                <w:ilvl w:val="1"/>
                <w:numId w:val="7"/>
              </w:numPr>
              <w:kinsoku/>
              <w:wordWrap/>
              <w:overflowPunct/>
              <w:topLinePunct w:val="0"/>
              <w:autoSpaceDE/>
              <w:autoSpaceDN/>
              <w:bidi w:val="0"/>
              <w:adjustRightInd/>
              <w:snapToGrid/>
              <w:spacing w:before="120" w:line="240" w:lineRule="auto"/>
              <w:ind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Requirement limit should also be proposed</w:t>
            </w:r>
          </w:p>
          <w:p>
            <w:pPr>
              <w:pStyle w:val="24"/>
              <w:keepNext w:val="0"/>
              <w:keepLines w:val="0"/>
              <w:pageBreakBefore w:val="0"/>
              <w:widowControl w:val="0"/>
              <w:numPr>
                <w:ilvl w:val="0"/>
                <w:numId w:val="7"/>
              </w:numPr>
              <w:kinsoku/>
              <w:wordWrap/>
              <w:overflowPunct/>
              <w:topLinePunct w:val="0"/>
              <w:autoSpaceDE/>
              <w:autoSpaceDN/>
              <w:bidi w:val="0"/>
              <w:adjustRightInd/>
              <w:snapToGrid/>
              <w:spacing w:before="120" w:line="240" w:lineRule="auto"/>
              <w:ind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Option 3: Create a new requirement on in-channel adjacent sub-band blocking, but no selectivity requirement</w:t>
            </w:r>
          </w:p>
          <w:p>
            <w:pPr>
              <w:pStyle w:val="24"/>
              <w:keepNext w:val="0"/>
              <w:keepLines w:val="0"/>
              <w:pageBreakBefore w:val="0"/>
              <w:widowControl w:val="0"/>
              <w:numPr>
                <w:ilvl w:val="1"/>
                <w:numId w:val="7"/>
              </w:numPr>
              <w:kinsoku/>
              <w:wordWrap/>
              <w:overflowPunct/>
              <w:topLinePunct w:val="0"/>
              <w:autoSpaceDE/>
              <w:autoSpaceDN/>
              <w:bidi w:val="0"/>
              <w:adjustRightInd/>
              <w:snapToGrid/>
              <w:spacing w:before="120" w:line="240" w:lineRule="auto"/>
              <w:ind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Requirement limit should also be proposed</w:t>
            </w:r>
          </w:p>
          <w:p>
            <w:pPr>
              <w:pStyle w:val="24"/>
              <w:keepNext w:val="0"/>
              <w:keepLines w:val="0"/>
              <w:pageBreakBefore w:val="0"/>
              <w:widowControl w:val="0"/>
              <w:numPr>
                <w:ilvl w:val="0"/>
                <w:numId w:val="7"/>
              </w:numPr>
              <w:kinsoku/>
              <w:wordWrap/>
              <w:overflowPunct/>
              <w:topLinePunct w:val="0"/>
              <w:autoSpaceDE/>
              <w:autoSpaceDN/>
              <w:bidi w:val="0"/>
              <w:adjustRightInd/>
              <w:snapToGrid/>
              <w:spacing w:before="120" w:line="240" w:lineRule="auto"/>
              <w:ind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4: Create new requirements on in-channel adjacent sub-band selectivity (similar to ACS) and blocking </w:t>
            </w:r>
          </w:p>
          <w:p>
            <w:pPr>
              <w:pStyle w:val="24"/>
              <w:keepNext w:val="0"/>
              <w:keepLines w:val="0"/>
              <w:pageBreakBefore w:val="0"/>
              <w:widowControl w:val="0"/>
              <w:numPr>
                <w:ilvl w:val="1"/>
                <w:numId w:val="7"/>
              </w:numPr>
              <w:kinsoku/>
              <w:wordWrap/>
              <w:overflowPunct/>
              <w:topLinePunct w:val="0"/>
              <w:autoSpaceDE/>
              <w:autoSpaceDN/>
              <w:bidi w:val="0"/>
              <w:adjustRightInd/>
              <w:snapToGrid/>
              <w:spacing w:before="120" w:line="240" w:lineRule="auto"/>
              <w:ind w:firstLineChars="0"/>
              <w:jc w:val="both"/>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rPr>
              <w:t>Requirement limits should also be proposed</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legacy ACS and blocking requirements, the main difference are the interference signal level and interference signal position. For ACS, the interference signal is at first adjacent channel and interference signal power is calculated based on sensitivity desense and ACS value. For in-band blocking, the interference signal is at second adjacent channel and interference signal power is 9dB higher derived as 95% point on CDF of all gNB</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total input power level. So the ACS requirement and blocking requirement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t replace each other.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The same story of ACS and blocking also applies for sub-band case. We need both selectivity and blocking requirements. One is based on co-existence conclusion to meet 5% throughput loss and the other is with higher interference level with another sub-band frequency offset.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both sub-band selectivity and blocking requirements should be considered.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Regarding how to conclude sub-band selectivity and blocking requirements, the story is much similar as stated in section 2.4 for sub-band Tx leakage.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Tx interference signal is within the same carrier, this sub-band selectivity may contribute to REFSENSE degradation. Previous agreements are that further study i</w:t>
      </w:r>
      <w:r>
        <w:rPr>
          <w:rFonts w:hint="default" w:ascii="Times New Roman" w:hAnsi="Times New Roman" w:cs="Times New Roman"/>
          <w:b w:val="0"/>
          <w:bCs w:val="0"/>
          <w:sz w:val="20"/>
          <w:szCs w:val="20"/>
          <w:lang w:val="en-US" w:eastAsia="zh-CN"/>
        </w:rPr>
        <w:t>f OTA sensitivity should be defined considering all of the scenarios including self-interference, inter-site interference and inter-sector interference.</w:t>
      </w:r>
      <w:r>
        <w:rPr>
          <w:rFonts w:hint="eastAsia" w:ascii="Times New Roman" w:hAnsi="Times New Roman" w:cs="Times New Roman"/>
          <w:b w:val="0"/>
          <w:bCs w:val="0"/>
          <w:sz w:val="20"/>
          <w:szCs w:val="20"/>
          <w:lang w:val="en-US" w:eastAsia="zh-CN"/>
        </w:rPr>
        <w:t xml:space="preserve"> Sub-band selectivity requirements when Tx interference is within the same carrier should be discussed together with OTA sensitivity requirements. If </w:t>
      </w:r>
      <w:r>
        <w:rPr>
          <w:rFonts w:hint="default" w:ascii="Times New Roman" w:hAnsi="Times New Roman" w:cs="Times New Roman"/>
          <w:b w:val="0"/>
          <w:bCs w:val="0"/>
          <w:sz w:val="20"/>
          <w:szCs w:val="20"/>
          <w:lang w:val="en-US" w:eastAsia="zh-CN"/>
        </w:rPr>
        <w:t>OTA sensitivity</w:t>
      </w:r>
      <w:r>
        <w:rPr>
          <w:rFonts w:hint="eastAsia" w:ascii="Times New Roman" w:hAnsi="Times New Roman" w:cs="Times New Roman"/>
          <w:b w:val="0"/>
          <w:bCs w:val="0"/>
          <w:sz w:val="20"/>
          <w:szCs w:val="20"/>
          <w:lang w:val="en-US" w:eastAsia="zh-CN"/>
        </w:rPr>
        <w:t xml:space="preserve"> will consider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6: Sub-band selectivity requirements when Tx interference is within the same carrier should be discussed together with OTA sensitivity requirements. If </w:t>
      </w:r>
      <w:r>
        <w:rPr>
          <w:rFonts w:hint="default" w:ascii="Times New Roman" w:hAnsi="Times New Roman" w:cs="Times New Roman"/>
          <w:b/>
          <w:bCs/>
          <w:sz w:val="20"/>
          <w:szCs w:val="20"/>
          <w:lang w:val="en-US" w:eastAsia="zh-CN"/>
        </w:rPr>
        <w:t>OTA sensitivity</w:t>
      </w:r>
      <w:r>
        <w:rPr>
          <w:rFonts w:hint="eastAsia" w:ascii="Times New Roman" w:hAnsi="Times New Roman" w:cs="Times New Roman"/>
          <w:b/>
          <w:bCs/>
          <w:sz w:val="20"/>
          <w:szCs w:val="20"/>
          <w:lang w:val="en-US" w:eastAsia="zh-CN"/>
        </w:rPr>
        <w:t xml:space="preserve"> will consider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val="0"/>
          <w:bCs w:val="0"/>
          <w:sz w:val="20"/>
          <w:szCs w:val="20"/>
          <w:lang w:val="en-US" w:eastAsia="zh-CN"/>
        </w:rPr>
        <w:t>When Tx interference signal is in adjacent carrier, the same as discussed in section 2.4 for sub-band Tx leakage.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RF requirements are discussed with following observations and proposals.</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Observation 1: further discussion is needed regarding whether RAN4 could assume some typical D-U and U-D guard band for total power dynamic range RF requirements definition in work phase stage.</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1: </w:t>
      </w:r>
      <w:r>
        <w:rPr>
          <w:rFonts w:hint="default" w:ascii="Times New Roman" w:hAnsi="Times New Roman" w:cs="Times New Roman"/>
          <w:b/>
          <w:bCs/>
          <w:sz w:val="20"/>
          <w:szCs w:val="20"/>
          <w:highlight w:val="none"/>
          <w:vertAlign w:val="baseline"/>
          <w:lang w:val="en-US" w:eastAsia="zh-CN"/>
        </w:rPr>
        <w:t>TX IM is not applied in SBFD slots</w:t>
      </w:r>
      <w:r>
        <w:rPr>
          <w:rFonts w:hint="eastAsia" w:ascii="Times New Roman" w:hAnsi="Times New Roman" w:cs="Times New Roman"/>
          <w:b/>
          <w:bCs/>
          <w:sz w:val="20"/>
          <w:szCs w:val="20"/>
          <w:highlight w:val="none"/>
          <w:vertAlign w:val="baseline"/>
          <w:lang w:val="en-US" w:eastAsia="zh-CN"/>
        </w:rPr>
        <w:t xml:space="preserve"> to avoid blocking receiver</w:t>
      </w:r>
      <w:r>
        <w:rPr>
          <w:rFonts w:hint="eastAsia" w:ascii="Times New Roman" w:hAnsi="Times New Roman"/>
          <w:b/>
          <w:bCs/>
          <w:sz w:val="20"/>
          <w:szCs w:val="20"/>
          <w:lang w:val="en-US" w:eastAsia="zh-CN"/>
        </w:rPr>
        <w:t>. But for testing, Tx IMD is still suggested to be tested in non-SBFD slot for the SBFD gNB.</w:t>
      </w:r>
    </w:p>
    <w:p>
      <w:pPr>
        <w:numPr>
          <w:ilvl w:val="0"/>
          <w:numId w:val="0"/>
        </w:numPr>
        <w:spacing w:after="180"/>
        <w:ind w:leftChars="0"/>
        <w:rPr>
          <w:rFonts w:hint="default" w:ascii="Times New Roman" w:hAnsi="Times New Roman" w:cs="Times New Roman"/>
          <w:b/>
          <w:bCs/>
          <w:sz w:val="20"/>
          <w:szCs w:val="20"/>
          <w:highlight w:val="none"/>
        </w:rPr>
      </w:pPr>
      <w:r>
        <w:rPr>
          <w:rFonts w:hint="eastAsia" w:ascii="Times New Roman" w:hAnsi="Times New Roman" w:cs="Times New Roman"/>
          <w:b/>
          <w:bCs/>
          <w:sz w:val="20"/>
          <w:szCs w:val="20"/>
          <w:lang w:val="en-US" w:eastAsia="zh-CN"/>
        </w:rPr>
        <w:t xml:space="preserve">Proposal 2: </w:t>
      </w:r>
      <w:r>
        <w:rPr>
          <w:rFonts w:hint="default" w:ascii="Times New Roman" w:hAnsi="Times New Roman" w:cs="Times New Roman"/>
          <w:b/>
          <w:bCs/>
          <w:sz w:val="20"/>
          <w:szCs w:val="20"/>
          <w:highlight w:val="none"/>
        </w:rPr>
        <w:t>No updat</w:t>
      </w:r>
      <w:r>
        <w:rPr>
          <w:rFonts w:hint="eastAsia" w:ascii="Times New Roman" w:hAnsi="Times New Roman" w:cs="Times New Roman"/>
          <w:b/>
          <w:bCs/>
          <w:sz w:val="20"/>
          <w:szCs w:val="20"/>
          <w:highlight w:val="none"/>
          <w:lang w:val="en-US" w:eastAsia="zh-CN"/>
        </w:rPr>
        <w:t>ing</w:t>
      </w:r>
      <w:r>
        <w:rPr>
          <w:rFonts w:hint="default" w:ascii="Times New Roman" w:hAnsi="Times New Roman" w:cs="Times New Roman"/>
          <w:b/>
          <w:bCs/>
          <w:sz w:val="20"/>
          <w:szCs w:val="20"/>
          <w:highlight w:val="none"/>
        </w:rPr>
        <w:t xml:space="preserve"> on existing </w:t>
      </w:r>
      <w:r>
        <w:rPr>
          <w:rFonts w:hint="eastAsia" w:ascii="Times New Roman" w:hAnsi="Times New Roman" w:cs="Times New Roman"/>
          <w:b/>
          <w:bCs/>
          <w:sz w:val="20"/>
          <w:szCs w:val="20"/>
          <w:highlight w:val="none"/>
          <w:lang w:val="en-US" w:eastAsia="zh-CN"/>
        </w:rPr>
        <w:t xml:space="preserve">inter-band co-location </w:t>
      </w:r>
      <w:r>
        <w:rPr>
          <w:rFonts w:hint="default" w:ascii="Times New Roman" w:hAnsi="Times New Roman" w:cs="Times New Roman"/>
          <w:b/>
          <w:bCs/>
          <w:sz w:val="20"/>
          <w:szCs w:val="20"/>
          <w:highlight w:val="none"/>
        </w:rPr>
        <w:t xml:space="preserve">requirements, </w:t>
      </w:r>
      <w:r>
        <w:rPr>
          <w:rFonts w:hint="eastAsia" w:ascii="Times New Roman" w:hAnsi="Times New Roman" w:cs="Times New Roman"/>
          <w:b/>
          <w:bCs/>
          <w:sz w:val="20"/>
          <w:szCs w:val="20"/>
          <w:highlight w:val="none"/>
          <w:lang w:val="en-US" w:eastAsia="zh-CN"/>
        </w:rPr>
        <w:t xml:space="preserve">Manufacturer will declare whether support co-location requirements in </w:t>
      </w:r>
      <w:r>
        <w:rPr>
          <w:rFonts w:hint="default" w:ascii="Times New Roman" w:hAnsi="Times New Roman" w:cs="Times New Roman"/>
          <w:b/>
          <w:bCs/>
          <w:sz w:val="20"/>
          <w:szCs w:val="20"/>
          <w:highlight w:val="none"/>
        </w:rPr>
        <w:t>SBFD symbols/slots</w:t>
      </w:r>
    </w:p>
    <w:p>
      <w:pPr>
        <w:numPr>
          <w:ilvl w:val="0"/>
          <w:numId w:val="0"/>
        </w:numPr>
        <w:spacing w:after="180"/>
        <w:ind w:leftChars="0"/>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3: For intra-band adjacent channel co-location requirements, One alternation solution is to define requirements but with explicitly stating assumed spatial isolation and max gNB Tx power and keep in mind that this is not the minimum requirements, instead this is the typical/optimal BS performance under declaration basis.</w:t>
      </w:r>
    </w:p>
    <w:p>
      <w:pPr>
        <w:spacing w:after="156" w:afterLines="5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4: Sub-band Tx leakage falling into the same carrier should be discussed together with OTA sensitivity requirements.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both sub-band selectivity and blocking requirements should be considered.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6: Sub-band select</w:t>
      </w:r>
      <w:bookmarkStart w:id="2" w:name="_GoBack"/>
      <w:bookmarkEnd w:id="2"/>
      <w:r>
        <w:rPr>
          <w:rFonts w:hint="eastAsia" w:ascii="Times New Roman" w:hAnsi="Times New Roman" w:cs="Times New Roman"/>
          <w:b/>
          <w:bCs/>
          <w:sz w:val="20"/>
          <w:szCs w:val="20"/>
          <w:lang w:val="en-US" w:eastAsia="zh-CN"/>
        </w:rPr>
        <w:t xml:space="preserve">ivity requirements when Tx interference is within the same carrier should be discussed together with OTA sensitivity requirements. If </w:t>
      </w:r>
      <w:r>
        <w:rPr>
          <w:rFonts w:hint="default" w:ascii="Times New Roman" w:hAnsi="Times New Roman" w:cs="Times New Roman"/>
          <w:b/>
          <w:bCs/>
          <w:sz w:val="20"/>
          <w:szCs w:val="20"/>
          <w:lang w:val="en-US" w:eastAsia="zh-CN"/>
        </w:rPr>
        <w:t>OTA sensitivity</w:t>
      </w:r>
      <w:r>
        <w:rPr>
          <w:rFonts w:hint="eastAsia" w:ascii="Times New Roman" w:hAnsi="Times New Roman" w:cs="Times New Roman"/>
          <w:b/>
          <w:bCs/>
          <w:sz w:val="20"/>
          <w:szCs w:val="20"/>
          <w:lang w:val="en-US" w:eastAsia="zh-CN"/>
        </w:rPr>
        <w:t xml:space="preserve"> will consider encompass these sub-band interference, sub-band selectivity with Tx interference signal within carrier is not needed.</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[1] R4-2316941</w:t>
      </w:r>
      <w:r>
        <w:rPr>
          <w:rFonts w:ascii="Times New Roman" w:hAnsi="Times New Roman"/>
          <w:sz w:val="20"/>
          <w:szCs w:val="20"/>
        </w:rPr>
        <w:t xml:space="preserve">, </w:t>
      </w:r>
      <w:r>
        <w:rPr>
          <w:rFonts w:ascii="Times New Roman" w:hAnsi="Times New Roman"/>
          <w:sz w:val="20"/>
          <w:szCs w:val="20"/>
          <w:lang w:eastAsia="zh-CN"/>
        </w:rPr>
        <w:t>WF on SBFD BS requirements</w:t>
      </w:r>
      <w:r>
        <w:rPr>
          <w:rFonts w:ascii="Times New Roman" w:hAnsi="Times New Roman"/>
          <w:sz w:val="20"/>
          <w:szCs w:val="20"/>
        </w:rPr>
        <w:t>, Samsung</w:t>
      </w:r>
    </w:p>
    <w:p>
      <w:pPr>
        <w:widowControl/>
        <w:overflowPunct w:val="0"/>
        <w:autoSpaceDE w:val="0"/>
        <w:autoSpaceDN w:val="0"/>
        <w:adjustRightInd w:val="0"/>
        <w:spacing w:after="180"/>
        <w:jc w:val="left"/>
        <w:textAlignment w:val="baseline"/>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[2] R4-2315609, SBFD BS requirements impact, Ericsson</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38AAF"/>
    <w:multiLevelType w:val="singleLevel"/>
    <w:tmpl w:val="CC738AAF"/>
    <w:lvl w:ilvl="0" w:tentative="0">
      <w:start w:val="2"/>
      <w:numFmt w:val="decimal"/>
      <w:suff w:val="space"/>
      <w:lvlText w:val="[%1]"/>
      <w:lvlJc w:val="left"/>
    </w:lvl>
  </w:abstractNum>
  <w:abstractNum w:abstractNumId="1">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58B73482"/>
    <w:multiLevelType w:val="multilevel"/>
    <w:tmpl w:val="58B73482"/>
    <w:lvl w:ilvl="0" w:tentative="0">
      <w:start w:val="1"/>
      <w:numFmt w:val="bullet"/>
      <w:lvlText w:val=""/>
      <w:lvlJc w:val="left"/>
      <w:pPr>
        <w:tabs>
          <w:tab w:val="left" w:pos="-420"/>
        </w:tabs>
        <w:ind w:left="508" w:hanging="360"/>
      </w:pPr>
      <w:rPr>
        <w:rFonts w:hint="default" w:ascii="Symbol" w:hAnsi="Symbol"/>
      </w:rPr>
    </w:lvl>
    <w:lvl w:ilvl="1" w:tentative="0">
      <w:start w:val="1"/>
      <w:numFmt w:val="bullet"/>
      <w:lvlText w:val="o"/>
      <w:lvlJc w:val="left"/>
      <w:pPr>
        <w:tabs>
          <w:tab w:val="left" w:pos="-420"/>
        </w:tabs>
        <w:ind w:left="1228" w:hanging="360"/>
      </w:pPr>
      <w:rPr>
        <w:rFonts w:hint="default" w:ascii="Courier New" w:hAnsi="Courier New" w:cs="Courier New"/>
      </w:rPr>
    </w:lvl>
    <w:lvl w:ilvl="2" w:tentative="0">
      <w:start w:val="1"/>
      <w:numFmt w:val="bullet"/>
      <w:lvlText w:val=""/>
      <w:lvlJc w:val="left"/>
      <w:pPr>
        <w:tabs>
          <w:tab w:val="left" w:pos="-420"/>
        </w:tabs>
        <w:ind w:left="1948" w:hanging="360"/>
      </w:pPr>
      <w:rPr>
        <w:rFonts w:hint="default" w:ascii="Wingdings" w:hAnsi="Wingdings"/>
      </w:rPr>
    </w:lvl>
    <w:lvl w:ilvl="3" w:tentative="0">
      <w:start w:val="1"/>
      <w:numFmt w:val="bullet"/>
      <w:lvlText w:val=""/>
      <w:lvlJc w:val="left"/>
      <w:pPr>
        <w:tabs>
          <w:tab w:val="left" w:pos="-420"/>
        </w:tabs>
        <w:ind w:left="2668" w:hanging="360"/>
      </w:pPr>
      <w:rPr>
        <w:rFonts w:hint="default" w:ascii="Symbol" w:hAnsi="Symbol"/>
      </w:rPr>
    </w:lvl>
    <w:lvl w:ilvl="4" w:tentative="0">
      <w:start w:val="1"/>
      <w:numFmt w:val="bullet"/>
      <w:lvlText w:val="o"/>
      <w:lvlJc w:val="left"/>
      <w:pPr>
        <w:tabs>
          <w:tab w:val="left" w:pos="-420"/>
        </w:tabs>
        <w:ind w:left="3388" w:hanging="360"/>
      </w:pPr>
      <w:rPr>
        <w:rFonts w:hint="default" w:ascii="Courier New" w:hAnsi="Courier New" w:cs="Courier New"/>
      </w:rPr>
    </w:lvl>
    <w:lvl w:ilvl="5" w:tentative="0">
      <w:start w:val="1"/>
      <w:numFmt w:val="bullet"/>
      <w:lvlText w:val=""/>
      <w:lvlJc w:val="left"/>
      <w:pPr>
        <w:tabs>
          <w:tab w:val="left" w:pos="-420"/>
        </w:tabs>
        <w:ind w:left="4108" w:hanging="360"/>
      </w:pPr>
      <w:rPr>
        <w:rFonts w:hint="default" w:ascii="Wingdings" w:hAnsi="Wingdings"/>
      </w:rPr>
    </w:lvl>
    <w:lvl w:ilvl="6" w:tentative="0">
      <w:start w:val="1"/>
      <w:numFmt w:val="bullet"/>
      <w:lvlText w:val=""/>
      <w:lvlJc w:val="left"/>
      <w:pPr>
        <w:tabs>
          <w:tab w:val="left" w:pos="-420"/>
        </w:tabs>
        <w:ind w:left="4828" w:hanging="360"/>
      </w:pPr>
      <w:rPr>
        <w:rFonts w:hint="default" w:ascii="Symbol" w:hAnsi="Symbol"/>
      </w:rPr>
    </w:lvl>
    <w:lvl w:ilvl="7" w:tentative="0">
      <w:start w:val="1"/>
      <w:numFmt w:val="bullet"/>
      <w:lvlText w:val="o"/>
      <w:lvlJc w:val="left"/>
      <w:pPr>
        <w:tabs>
          <w:tab w:val="left" w:pos="-420"/>
        </w:tabs>
        <w:ind w:left="5548" w:hanging="360"/>
      </w:pPr>
      <w:rPr>
        <w:rFonts w:hint="default" w:ascii="Courier New" w:hAnsi="Courier New" w:cs="Courier New"/>
      </w:rPr>
    </w:lvl>
    <w:lvl w:ilvl="8" w:tentative="0">
      <w:start w:val="1"/>
      <w:numFmt w:val="bullet"/>
      <w:lvlText w:val=""/>
      <w:lvlJc w:val="left"/>
      <w:pPr>
        <w:tabs>
          <w:tab w:val="left" w:pos="-420"/>
        </w:tabs>
        <w:ind w:left="6268" w:hanging="360"/>
      </w:pPr>
      <w:rPr>
        <w:rFonts w:hint="default" w:ascii="Wingdings" w:hAnsi="Wingdings"/>
      </w:rPr>
    </w:lvl>
  </w:abstractNum>
  <w:abstractNum w:abstractNumId="3">
    <w:nsid w:val="58F089AC"/>
    <w:multiLevelType w:val="singleLevel"/>
    <w:tmpl w:val="58F089AC"/>
    <w:lvl w:ilvl="0" w:tentative="0">
      <w:start w:val="1"/>
      <w:numFmt w:val="bullet"/>
      <w:lvlText w:val=""/>
      <w:lvlJc w:val="left"/>
      <w:pPr>
        <w:ind w:left="420" w:hanging="420"/>
      </w:pPr>
      <w:rPr>
        <w:rFonts w:hint="default" w:ascii="Wingdings" w:hAnsi="Wingdings"/>
      </w:rPr>
    </w:lvl>
  </w:abstractNum>
  <w:abstractNum w:abstractNumId="4">
    <w:nsid w:val="5ECB3C9C"/>
    <w:multiLevelType w:val="singleLevel"/>
    <w:tmpl w:val="5ECB3C9C"/>
    <w:lvl w:ilvl="0" w:tentative="0">
      <w:start w:val="1"/>
      <w:numFmt w:val="bullet"/>
      <w:lvlText w:val=""/>
      <w:lvlJc w:val="left"/>
      <w:pPr>
        <w:ind w:left="420" w:hanging="420"/>
      </w:pPr>
      <w:rPr>
        <w:rFonts w:hint="default" w:ascii="Wingdings" w:hAnsi="Wingdings"/>
      </w:rPr>
    </w:lvl>
  </w:abstractNum>
  <w:abstractNum w:abstractNumId="5">
    <w:nsid w:val="67AD2032"/>
    <w:multiLevelType w:val="multilevel"/>
    <w:tmpl w:val="67AD20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8CC218B"/>
    <w:multiLevelType w:val="singleLevel"/>
    <w:tmpl w:val="68CC218B"/>
    <w:lvl w:ilvl="0" w:tentative="0">
      <w:start w:val="1"/>
      <w:numFmt w:val="bullet"/>
      <w:lvlText w:val=""/>
      <w:lvlJc w:val="left"/>
      <w:pPr>
        <w:ind w:left="420" w:hanging="420"/>
      </w:pPr>
      <w:rPr>
        <w:rFonts w:hint="default" w:ascii="Wingdings" w:hAnsi="Wingdings"/>
      </w:rPr>
    </w:lvl>
  </w:abstractNum>
  <w:num w:numId="1">
    <w:abstractNumId w:val="1"/>
  </w:num>
  <w:num w:numId="2">
    <w:abstractNumId w:val="4"/>
  </w:num>
  <w:num w:numId="3">
    <w:abstractNumId w:val="0"/>
  </w:num>
  <w:num w:numId="4">
    <w:abstractNumId w:val="2"/>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970CA"/>
    <w:rsid w:val="028E1852"/>
    <w:rsid w:val="035D4591"/>
    <w:rsid w:val="03E26584"/>
    <w:rsid w:val="04492C16"/>
    <w:rsid w:val="04B527F1"/>
    <w:rsid w:val="053C405B"/>
    <w:rsid w:val="056F5AD7"/>
    <w:rsid w:val="059E10D1"/>
    <w:rsid w:val="06305334"/>
    <w:rsid w:val="06434355"/>
    <w:rsid w:val="06CC0A35"/>
    <w:rsid w:val="0769686A"/>
    <w:rsid w:val="076E27BD"/>
    <w:rsid w:val="0770402F"/>
    <w:rsid w:val="07CA6B66"/>
    <w:rsid w:val="08973524"/>
    <w:rsid w:val="08A65D3D"/>
    <w:rsid w:val="0900762B"/>
    <w:rsid w:val="09626007"/>
    <w:rsid w:val="09993AB5"/>
    <w:rsid w:val="09F66D51"/>
    <w:rsid w:val="0ABA1F25"/>
    <w:rsid w:val="0ADD2F10"/>
    <w:rsid w:val="0B0758A7"/>
    <w:rsid w:val="0B1B4548"/>
    <w:rsid w:val="0BE65845"/>
    <w:rsid w:val="0BF0521B"/>
    <w:rsid w:val="0BFE4B3A"/>
    <w:rsid w:val="0C8D3125"/>
    <w:rsid w:val="0CCF7411"/>
    <w:rsid w:val="0D545798"/>
    <w:rsid w:val="0D624402"/>
    <w:rsid w:val="0E037D57"/>
    <w:rsid w:val="0E1D4B35"/>
    <w:rsid w:val="0E5F68A3"/>
    <w:rsid w:val="0E7813A9"/>
    <w:rsid w:val="0EBE690E"/>
    <w:rsid w:val="0F1A117A"/>
    <w:rsid w:val="0F5116AE"/>
    <w:rsid w:val="0F596ABB"/>
    <w:rsid w:val="0F5F4247"/>
    <w:rsid w:val="0F6273CA"/>
    <w:rsid w:val="0F7D4B34"/>
    <w:rsid w:val="0FD9288C"/>
    <w:rsid w:val="0FF20B73"/>
    <w:rsid w:val="10003991"/>
    <w:rsid w:val="10EF7E56"/>
    <w:rsid w:val="1155307D"/>
    <w:rsid w:val="117C38F8"/>
    <w:rsid w:val="122946DB"/>
    <w:rsid w:val="12E83AF4"/>
    <w:rsid w:val="13771DFE"/>
    <w:rsid w:val="14245767"/>
    <w:rsid w:val="15350710"/>
    <w:rsid w:val="156354FD"/>
    <w:rsid w:val="157A51BC"/>
    <w:rsid w:val="15CD7D54"/>
    <w:rsid w:val="16371982"/>
    <w:rsid w:val="168B5B89"/>
    <w:rsid w:val="175862BF"/>
    <w:rsid w:val="18642373"/>
    <w:rsid w:val="18834ED9"/>
    <w:rsid w:val="18E26C79"/>
    <w:rsid w:val="19813C3F"/>
    <w:rsid w:val="19B263B5"/>
    <w:rsid w:val="19DF2D99"/>
    <w:rsid w:val="1A8670A6"/>
    <w:rsid w:val="1AFD11C6"/>
    <w:rsid w:val="1B00542F"/>
    <w:rsid w:val="1B3F3E40"/>
    <w:rsid w:val="1BF509C2"/>
    <w:rsid w:val="1BF95FEE"/>
    <w:rsid w:val="1C700838"/>
    <w:rsid w:val="1CFC261A"/>
    <w:rsid w:val="1D0432AA"/>
    <w:rsid w:val="1D0A4412"/>
    <w:rsid w:val="1D1D5776"/>
    <w:rsid w:val="1D2753AE"/>
    <w:rsid w:val="1D3E218A"/>
    <w:rsid w:val="1D7879E5"/>
    <w:rsid w:val="1D867707"/>
    <w:rsid w:val="1E3D0B9B"/>
    <w:rsid w:val="1E884DB6"/>
    <w:rsid w:val="1F1F489E"/>
    <w:rsid w:val="1F2F076D"/>
    <w:rsid w:val="201828B7"/>
    <w:rsid w:val="203D39F0"/>
    <w:rsid w:val="20817033"/>
    <w:rsid w:val="20990887"/>
    <w:rsid w:val="20EA2C10"/>
    <w:rsid w:val="21D70408"/>
    <w:rsid w:val="221E7789"/>
    <w:rsid w:val="228B3B2E"/>
    <w:rsid w:val="235E2230"/>
    <w:rsid w:val="2370600B"/>
    <w:rsid w:val="241B0EB4"/>
    <w:rsid w:val="24513BF6"/>
    <w:rsid w:val="24683E4B"/>
    <w:rsid w:val="246C2851"/>
    <w:rsid w:val="24841763"/>
    <w:rsid w:val="2488042D"/>
    <w:rsid w:val="250F7ADC"/>
    <w:rsid w:val="254E0ABD"/>
    <w:rsid w:val="25A10883"/>
    <w:rsid w:val="25D729E7"/>
    <w:rsid w:val="26644B8A"/>
    <w:rsid w:val="268A1547"/>
    <w:rsid w:val="268B3CAF"/>
    <w:rsid w:val="26F853FE"/>
    <w:rsid w:val="274B1605"/>
    <w:rsid w:val="278B3C06"/>
    <w:rsid w:val="27E33F9B"/>
    <w:rsid w:val="2805016B"/>
    <w:rsid w:val="286036CB"/>
    <w:rsid w:val="28AA4C8A"/>
    <w:rsid w:val="294A494E"/>
    <w:rsid w:val="29560760"/>
    <w:rsid w:val="29C71D19"/>
    <w:rsid w:val="2A144016"/>
    <w:rsid w:val="2A24682F"/>
    <w:rsid w:val="2A2C74BF"/>
    <w:rsid w:val="2A53737E"/>
    <w:rsid w:val="2AC70C94"/>
    <w:rsid w:val="2B2A3B5F"/>
    <w:rsid w:val="2C0547C6"/>
    <w:rsid w:val="2C8A2F49"/>
    <w:rsid w:val="2C9F3BCE"/>
    <w:rsid w:val="2CA64350"/>
    <w:rsid w:val="2D4D79AC"/>
    <w:rsid w:val="2E9C0F87"/>
    <w:rsid w:val="2EB8044F"/>
    <w:rsid w:val="2EC16B9C"/>
    <w:rsid w:val="2EDF426C"/>
    <w:rsid w:val="2EEC4E92"/>
    <w:rsid w:val="2F1C0982"/>
    <w:rsid w:val="2F747966"/>
    <w:rsid w:val="2FCB6344"/>
    <w:rsid w:val="2FEC1523"/>
    <w:rsid w:val="30524DF2"/>
    <w:rsid w:val="306B7868"/>
    <w:rsid w:val="3099089E"/>
    <w:rsid w:val="31490DA5"/>
    <w:rsid w:val="315F5D75"/>
    <w:rsid w:val="31E91E87"/>
    <w:rsid w:val="3243059C"/>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6075C31"/>
    <w:rsid w:val="36510879"/>
    <w:rsid w:val="372F46A7"/>
    <w:rsid w:val="37726C9D"/>
    <w:rsid w:val="37BD6848"/>
    <w:rsid w:val="37CC6816"/>
    <w:rsid w:val="38A9437C"/>
    <w:rsid w:val="38D16127"/>
    <w:rsid w:val="393C0FF6"/>
    <w:rsid w:val="39B62EBE"/>
    <w:rsid w:val="3A3645BE"/>
    <w:rsid w:val="3A436689"/>
    <w:rsid w:val="3A675260"/>
    <w:rsid w:val="3AAC45FF"/>
    <w:rsid w:val="3AC37B79"/>
    <w:rsid w:val="3AE070A1"/>
    <w:rsid w:val="3B617677"/>
    <w:rsid w:val="3B757B5E"/>
    <w:rsid w:val="3BA65BED"/>
    <w:rsid w:val="3C09240E"/>
    <w:rsid w:val="3C146221"/>
    <w:rsid w:val="3CC365B8"/>
    <w:rsid w:val="3CD51844"/>
    <w:rsid w:val="3D08452F"/>
    <w:rsid w:val="3D5001A7"/>
    <w:rsid w:val="3D55441E"/>
    <w:rsid w:val="3D741DEE"/>
    <w:rsid w:val="3D9C3FFF"/>
    <w:rsid w:val="3E0B0DB0"/>
    <w:rsid w:val="3E116F60"/>
    <w:rsid w:val="3E572F58"/>
    <w:rsid w:val="3E872DEF"/>
    <w:rsid w:val="3F1D2CEE"/>
    <w:rsid w:val="3F721126"/>
    <w:rsid w:val="3F8B424E"/>
    <w:rsid w:val="3F934EDE"/>
    <w:rsid w:val="403501D5"/>
    <w:rsid w:val="40516596"/>
    <w:rsid w:val="40C60753"/>
    <w:rsid w:val="410113A2"/>
    <w:rsid w:val="41880811"/>
    <w:rsid w:val="41C60C56"/>
    <w:rsid w:val="41E9727E"/>
    <w:rsid w:val="41F50509"/>
    <w:rsid w:val="42375131"/>
    <w:rsid w:val="426339F7"/>
    <w:rsid w:val="42733C91"/>
    <w:rsid w:val="42916AC5"/>
    <w:rsid w:val="436807A8"/>
    <w:rsid w:val="439901E8"/>
    <w:rsid w:val="43EC12FF"/>
    <w:rsid w:val="43F11B33"/>
    <w:rsid w:val="43F17986"/>
    <w:rsid w:val="444678CE"/>
    <w:rsid w:val="44565A46"/>
    <w:rsid w:val="447E086E"/>
    <w:rsid w:val="44B454C5"/>
    <w:rsid w:val="44C125DD"/>
    <w:rsid w:val="44DD6689"/>
    <w:rsid w:val="44E7774D"/>
    <w:rsid w:val="45127C50"/>
    <w:rsid w:val="45830A1B"/>
    <w:rsid w:val="458D51A8"/>
    <w:rsid w:val="459B4244"/>
    <w:rsid w:val="45A33E4B"/>
    <w:rsid w:val="45A94422"/>
    <w:rsid w:val="45CC5F92"/>
    <w:rsid w:val="465C2D4B"/>
    <w:rsid w:val="465C457C"/>
    <w:rsid w:val="46E67A01"/>
    <w:rsid w:val="47262D4B"/>
    <w:rsid w:val="47F00216"/>
    <w:rsid w:val="48FF25D1"/>
    <w:rsid w:val="49281A93"/>
    <w:rsid w:val="492F313E"/>
    <w:rsid w:val="495010D7"/>
    <w:rsid w:val="4955555E"/>
    <w:rsid w:val="49E453DD"/>
    <w:rsid w:val="49EE4458"/>
    <w:rsid w:val="4A521971"/>
    <w:rsid w:val="4A9C4E28"/>
    <w:rsid w:val="4AFF7B18"/>
    <w:rsid w:val="4B2941E0"/>
    <w:rsid w:val="4BFF2F3E"/>
    <w:rsid w:val="4C261BDE"/>
    <w:rsid w:val="4C660668"/>
    <w:rsid w:val="4C816990"/>
    <w:rsid w:val="4D2079EB"/>
    <w:rsid w:val="4D570F71"/>
    <w:rsid w:val="4DF036EE"/>
    <w:rsid w:val="4DF30DF0"/>
    <w:rsid w:val="4DFC16FF"/>
    <w:rsid w:val="4E03108A"/>
    <w:rsid w:val="4E2822B5"/>
    <w:rsid w:val="4E5A1A99"/>
    <w:rsid w:val="4E723844"/>
    <w:rsid w:val="4EB95335"/>
    <w:rsid w:val="4F01352B"/>
    <w:rsid w:val="4F13254C"/>
    <w:rsid w:val="4F6F15E1"/>
    <w:rsid w:val="4FBF6DE2"/>
    <w:rsid w:val="502D7993"/>
    <w:rsid w:val="504273BB"/>
    <w:rsid w:val="505605DA"/>
    <w:rsid w:val="50941CF8"/>
    <w:rsid w:val="509636E2"/>
    <w:rsid w:val="50B13272"/>
    <w:rsid w:val="50B6710F"/>
    <w:rsid w:val="50BC2F96"/>
    <w:rsid w:val="50DE7239"/>
    <w:rsid w:val="51A57002"/>
    <w:rsid w:val="52FC46EA"/>
    <w:rsid w:val="5350703E"/>
    <w:rsid w:val="538C361F"/>
    <w:rsid w:val="53A46AC8"/>
    <w:rsid w:val="53A54549"/>
    <w:rsid w:val="53F47B4C"/>
    <w:rsid w:val="5403314B"/>
    <w:rsid w:val="544A4CD7"/>
    <w:rsid w:val="545309AA"/>
    <w:rsid w:val="552827AD"/>
    <w:rsid w:val="55584783"/>
    <w:rsid w:val="55835CD9"/>
    <w:rsid w:val="558E2FA7"/>
    <w:rsid w:val="55B464A8"/>
    <w:rsid w:val="55BD2802"/>
    <w:rsid w:val="55F969E7"/>
    <w:rsid w:val="56024028"/>
    <w:rsid w:val="5616190A"/>
    <w:rsid w:val="56941399"/>
    <w:rsid w:val="569F71AC"/>
    <w:rsid w:val="56F83407"/>
    <w:rsid w:val="572210F5"/>
    <w:rsid w:val="572A730E"/>
    <w:rsid w:val="576146B9"/>
    <w:rsid w:val="577865C9"/>
    <w:rsid w:val="578F7CCE"/>
    <w:rsid w:val="57E1103B"/>
    <w:rsid w:val="58467715"/>
    <w:rsid w:val="587B1239"/>
    <w:rsid w:val="58B65B9B"/>
    <w:rsid w:val="593309E8"/>
    <w:rsid w:val="59FB712C"/>
    <w:rsid w:val="5A050D40"/>
    <w:rsid w:val="5A8A0BF0"/>
    <w:rsid w:val="5B2F7529"/>
    <w:rsid w:val="5BBA168B"/>
    <w:rsid w:val="5BBD01B3"/>
    <w:rsid w:val="5CCF11D3"/>
    <w:rsid w:val="5D4A309B"/>
    <w:rsid w:val="5D7F7CF2"/>
    <w:rsid w:val="5D851C35"/>
    <w:rsid w:val="5F187E14"/>
    <w:rsid w:val="5F62370B"/>
    <w:rsid w:val="5FDA5B33"/>
    <w:rsid w:val="5FDC7E75"/>
    <w:rsid w:val="5FF120B4"/>
    <w:rsid w:val="607B393B"/>
    <w:rsid w:val="60952803"/>
    <w:rsid w:val="609B470C"/>
    <w:rsid w:val="60AC4695"/>
    <w:rsid w:val="60BA2331"/>
    <w:rsid w:val="61FE0917"/>
    <w:rsid w:val="623E513D"/>
    <w:rsid w:val="62563CE5"/>
    <w:rsid w:val="62E47AC9"/>
    <w:rsid w:val="6350047D"/>
    <w:rsid w:val="6412053C"/>
    <w:rsid w:val="64430D0B"/>
    <w:rsid w:val="648065F1"/>
    <w:rsid w:val="65046BCA"/>
    <w:rsid w:val="650A2CD2"/>
    <w:rsid w:val="651D6610"/>
    <w:rsid w:val="6566621E"/>
    <w:rsid w:val="65821697"/>
    <w:rsid w:val="66495BDD"/>
    <w:rsid w:val="669E696B"/>
    <w:rsid w:val="66C60005"/>
    <w:rsid w:val="66ED66EB"/>
    <w:rsid w:val="67763396"/>
    <w:rsid w:val="679F070D"/>
    <w:rsid w:val="67A9335C"/>
    <w:rsid w:val="67D44D17"/>
    <w:rsid w:val="680C4CB4"/>
    <w:rsid w:val="680E2045"/>
    <w:rsid w:val="69156EBB"/>
    <w:rsid w:val="698A6FB3"/>
    <w:rsid w:val="69DD483F"/>
    <w:rsid w:val="6A0568FD"/>
    <w:rsid w:val="6A2B6B3C"/>
    <w:rsid w:val="6B9F60AC"/>
    <w:rsid w:val="6C0A3B4F"/>
    <w:rsid w:val="6C254067"/>
    <w:rsid w:val="6C3426E1"/>
    <w:rsid w:val="6C7A1884"/>
    <w:rsid w:val="6D2E4BAB"/>
    <w:rsid w:val="6D63623C"/>
    <w:rsid w:val="6D853006"/>
    <w:rsid w:val="6E123F24"/>
    <w:rsid w:val="6E3B72E7"/>
    <w:rsid w:val="6E680DA5"/>
    <w:rsid w:val="6EA0288E"/>
    <w:rsid w:val="6EE509F4"/>
    <w:rsid w:val="6F023405"/>
    <w:rsid w:val="6F25039A"/>
    <w:rsid w:val="6FBC2EB1"/>
    <w:rsid w:val="70623166"/>
    <w:rsid w:val="709C35CE"/>
    <w:rsid w:val="70F86AD9"/>
    <w:rsid w:val="71032079"/>
    <w:rsid w:val="72100F31"/>
    <w:rsid w:val="72304FDF"/>
    <w:rsid w:val="7247717D"/>
    <w:rsid w:val="729926C8"/>
    <w:rsid w:val="73096F4B"/>
    <w:rsid w:val="73131A58"/>
    <w:rsid w:val="7317045F"/>
    <w:rsid w:val="732D5E85"/>
    <w:rsid w:val="73854316"/>
    <w:rsid w:val="73A57DF9"/>
    <w:rsid w:val="73A744CA"/>
    <w:rsid w:val="73CC19D5"/>
    <w:rsid w:val="741A7D2C"/>
    <w:rsid w:val="741D578E"/>
    <w:rsid w:val="74AF2AFE"/>
    <w:rsid w:val="74F86B15"/>
    <w:rsid w:val="756A3232"/>
    <w:rsid w:val="75895CE5"/>
    <w:rsid w:val="759901A2"/>
    <w:rsid w:val="75D02BD6"/>
    <w:rsid w:val="75E15270"/>
    <w:rsid w:val="76325B80"/>
    <w:rsid w:val="76F00D88"/>
    <w:rsid w:val="771928DB"/>
    <w:rsid w:val="771C067A"/>
    <w:rsid w:val="772A6AEC"/>
    <w:rsid w:val="77693C0F"/>
    <w:rsid w:val="776C5E7A"/>
    <w:rsid w:val="77C2468B"/>
    <w:rsid w:val="78A92755"/>
    <w:rsid w:val="78B9366E"/>
    <w:rsid w:val="78BC17CD"/>
    <w:rsid w:val="78D366C6"/>
    <w:rsid w:val="796C47DC"/>
    <w:rsid w:val="79DF2C7C"/>
    <w:rsid w:val="79E47779"/>
    <w:rsid w:val="79F57AA2"/>
    <w:rsid w:val="7A1F66E8"/>
    <w:rsid w:val="7AE67D87"/>
    <w:rsid w:val="7B193095"/>
    <w:rsid w:val="7B6E2211"/>
    <w:rsid w:val="7BC80470"/>
    <w:rsid w:val="7BE0484E"/>
    <w:rsid w:val="7C081A8C"/>
    <w:rsid w:val="7C0F40E4"/>
    <w:rsid w:val="7C92278E"/>
    <w:rsid w:val="7C970076"/>
    <w:rsid w:val="7CF22D0E"/>
    <w:rsid w:val="7D0C0035"/>
    <w:rsid w:val="7D9E7791"/>
    <w:rsid w:val="7DCE3976"/>
    <w:rsid w:val="7E4C3A0F"/>
    <w:rsid w:val="7E4C3A98"/>
    <w:rsid w:val="7E9E07CB"/>
    <w:rsid w:val="7EDD5D31"/>
    <w:rsid w:val="7F23352A"/>
    <w:rsid w:val="7F7D33DC"/>
    <w:rsid w:val="7FAA1790"/>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8"/>
    <w:semiHidden/>
    <w:unhideWhenUsed/>
    <w:qFormat/>
    <w:uiPriority w:val="99"/>
    <w:rPr>
      <w:rFonts w:ascii="宋体"/>
      <w:sz w:val="18"/>
      <w:szCs w:val="18"/>
    </w:rPr>
  </w:style>
  <w:style w:type="paragraph" w:styleId="8">
    <w:name w:val="annotation text"/>
    <w:basedOn w:val="1"/>
    <w:link w:val="36"/>
    <w:unhideWhenUsed/>
    <w:qFormat/>
    <w:uiPriority w:val="0"/>
    <w:pPr>
      <w:jc w:val="left"/>
    </w:p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8"/>
    <w:next w:val="8"/>
    <w:link w:val="37"/>
    <w:semiHidden/>
    <w:unhideWhenUsed/>
    <w:qFormat/>
    <w:uiPriority w:val="99"/>
    <w:rPr>
      <w:b/>
      <w:bCs/>
    </w:rPr>
  </w:style>
  <w:style w:type="table" w:styleId="16">
    <w:name w:val="Table Grid"/>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21"/>
      <w:szCs w:val="21"/>
    </w:rPr>
  </w:style>
  <w:style w:type="character" w:customStyle="1" w:styleId="20">
    <w:name w:val="Header Char"/>
    <w:basedOn w:val="17"/>
    <w:link w:val="11"/>
    <w:qFormat/>
    <w:uiPriority w:val="99"/>
    <w:rPr>
      <w:sz w:val="18"/>
      <w:szCs w:val="18"/>
    </w:rPr>
  </w:style>
  <w:style w:type="character" w:customStyle="1" w:styleId="21">
    <w:name w:val="Footer Char"/>
    <w:basedOn w:val="17"/>
    <w:link w:val="10"/>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2"/>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Balloon Text Char"/>
    <w:basedOn w:val="17"/>
    <w:link w:val="9"/>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Comment Text Char"/>
    <w:basedOn w:val="17"/>
    <w:link w:val="8"/>
    <w:qFormat/>
    <w:uiPriority w:val="0"/>
    <w:rPr>
      <w:rFonts w:ascii="CG Times (WN)" w:hAnsi="CG Times (WN)" w:eastAsia="宋体" w:cs="Times New Roman"/>
    </w:rPr>
  </w:style>
  <w:style w:type="character" w:customStyle="1" w:styleId="37">
    <w:name w:val="Comment Subject Char"/>
    <w:basedOn w:val="36"/>
    <w:link w:val="14"/>
    <w:semiHidden/>
    <w:qFormat/>
    <w:uiPriority w:val="99"/>
    <w:rPr>
      <w:rFonts w:ascii="CG Times (WN)" w:hAnsi="CG Times (WN)" w:eastAsia="宋体" w:cs="Times New Roman"/>
      <w:b/>
      <w:bCs/>
    </w:rPr>
  </w:style>
  <w:style w:type="character" w:customStyle="1" w:styleId="38">
    <w:name w:val="Document Map Char"/>
    <w:basedOn w:val="17"/>
    <w:link w:val="7"/>
    <w:semiHidden/>
    <w:qFormat/>
    <w:uiPriority w:val="99"/>
    <w:rPr>
      <w:rFonts w:ascii="宋体" w:hAnsi="CG Times (WN)" w:eastAsia="宋体" w:cs="Times New Roman"/>
      <w:sz w:val="18"/>
      <w:szCs w:val="18"/>
    </w:rPr>
  </w:style>
  <w:style w:type="character" w:customStyle="1" w:styleId="39">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0">
    <w:name w:val="List Paragraph Char"/>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Heading 2 Char"/>
    <w:basedOn w:val="17"/>
    <w:link w:val="3"/>
    <w:qFormat/>
    <w:uiPriority w:val="9"/>
    <w:rPr>
      <w:rFonts w:asciiTheme="majorHAnsi" w:hAnsiTheme="majorHAnsi" w:eastAsiaTheme="majorEastAsia" w:cstheme="majorBidi"/>
      <w:b/>
      <w:bCs/>
      <w:sz w:val="32"/>
      <w:szCs w:val="32"/>
    </w:rPr>
  </w:style>
  <w:style w:type="table" w:customStyle="1" w:styleId="43">
    <w:name w:val="网格型1"/>
    <w:basedOn w:val="15"/>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5"/>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Heading 3 Char"/>
    <w:basedOn w:val="17"/>
    <w:link w:val="4"/>
    <w:qFormat/>
    <w:uiPriority w:val="9"/>
    <w:rPr>
      <w:rFonts w:ascii="Arial" w:hAnsi="Arial" w:eastAsia="Arial Unicode MS" w:cs="Times New Roman"/>
      <w:bCs/>
      <w:sz w:val="30"/>
      <w:szCs w:val="32"/>
    </w:rPr>
  </w:style>
  <w:style w:type="table" w:customStyle="1" w:styleId="46">
    <w:name w:val="网格型3"/>
    <w:basedOn w:val="15"/>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7"/>
    <w:semiHidden/>
    <w:qFormat/>
    <w:uiPriority w:val="99"/>
    <w:rPr>
      <w:color w:val="808080"/>
    </w:rPr>
  </w:style>
  <w:style w:type="table" w:customStyle="1" w:styleId="48">
    <w:name w:val="Table Grid1"/>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eading 5 Char"/>
    <w:basedOn w:val="17"/>
    <w:link w:val="5"/>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2</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2023-11-03T07:19:32Z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