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3GPP TSG-RAN WG4 Meeting # 109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R4-2318915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R4-23xxxxx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Chicago, US, November 13 – 17, 2023</w:t>
      </w:r>
    </w:p>
    <w:p>
      <w:pPr>
        <w:bidi w:val="0"/>
        <w:rPr>
          <w:lang w:val="en-US" w:eastAsia="zh-CN"/>
        </w:rPr>
      </w:pP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8.28.4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CMCC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Discussion on NCR conformance testing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Discussion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1. Introduction</w:t>
      </w:r>
    </w:p>
    <w:p>
      <w:pPr>
        <w:spacing w:after="180"/>
        <w:rPr>
          <w:rFonts w:ascii="Times New Roman" w:hAnsi="Times New Roman"/>
          <w:sz w:val="20"/>
        </w:rPr>
      </w:pPr>
      <w:r>
        <w:rPr>
          <w:rFonts w:hint="eastAsia" w:ascii="Times New Roman" w:hAnsi="Times New Roman"/>
          <w:sz w:val="20"/>
          <w:lang w:val="en-US" w:eastAsia="zh-CN"/>
        </w:rPr>
        <w:t xml:space="preserve">In last meeting, </w:t>
      </w:r>
      <w:r>
        <w:rPr>
          <w:rFonts w:ascii="Times New Roman" w:hAnsi="Times New Roman"/>
          <w:sz w:val="20"/>
        </w:rPr>
        <w:t>A WF</w:t>
      </w:r>
      <w:r>
        <w:rPr>
          <w:rFonts w:hint="eastAsia" w:ascii="Times New Roman" w:hAnsi="Times New Roman"/>
          <w:sz w:val="20"/>
          <w:lang w:val="en-US" w:eastAsia="zh-CN"/>
        </w:rPr>
        <w:t xml:space="preserve"> on NCR conformance testing requirement</w:t>
      </w:r>
      <w:r>
        <w:rPr>
          <w:rFonts w:ascii="Times New Roman" w:hAnsi="Times New Roman"/>
          <w:sz w:val="20"/>
        </w:rPr>
        <w:t xml:space="preserve"> has been approved</w:t>
      </w:r>
      <w:r>
        <w:rPr>
          <w:rFonts w:hint="eastAsia" w:ascii="Times New Roman" w:hAnsi="Times New Roman"/>
          <w:sz w:val="20"/>
          <w:lang w:val="en-US" w:eastAsia="zh-CN"/>
        </w:rPr>
        <w:t xml:space="preserve">[1]. Previous approved WF are also listed for information. </w:t>
      </w:r>
      <w:r>
        <w:rPr>
          <w:rFonts w:ascii="Times New Roman" w:hAnsi="Times New Roman"/>
          <w:sz w:val="20"/>
        </w:rPr>
        <w:t xml:space="preserve">In this contribution, </w:t>
      </w:r>
      <w:r>
        <w:rPr>
          <w:rFonts w:hint="eastAsia" w:ascii="Times New Roman" w:hAnsi="Times New Roman"/>
          <w:sz w:val="20"/>
          <w:lang w:val="en-US" w:eastAsia="zh-CN"/>
        </w:rPr>
        <w:t>we continue discuss remaining issues</w:t>
      </w:r>
      <w:r>
        <w:rPr>
          <w:rFonts w:ascii="Times New Roman" w:hAnsi="Times New Roman"/>
          <w:sz w:val="20"/>
        </w:rPr>
        <w:t>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spacing w:before="120" w:line="280" w:lineRule="atLeast"/>
              <w:rPr>
                <w:rFonts w:hint="default" w:ascii="Times New Roman" w:hAnsi="Times New Roman" w:cs="Times New Roman"/>
                <w:b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u w:val="single"/>
              </w:rPr>
              <w:t xml:space="preserve">Issue 1-1: </w:t>
            </w:r>
            <w:r>
              <w:rPr>
                <w:rFonts w:hint="default" w:ascii="Times New Roman" w:hAnsi="Times New Roman" w:cs="Times New Roman"/>
                <w:b/>
                <w:u w:val="single"/>
                <w:lang w:eastAsia="zh-CN"/>
              </w:rPr>
              <w:t>Mixed type introduction</w:t>
            </w:r>
          </w:p>
          <w:p>
            <w:pPr>
              <w:pStyle w:val="25"/>
              <w:widowControl/>
              <w:numPr>
                <w:ilvl w:val="0"/>
                <w:numId w:val="1"/>
              </w:numPr>
              <w:spacing w:before="0" w:after="120" w:line="240" w:lineRule="auto"/>
              <w:ind w:left="720"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Agreement:</w:t>
            </w:r>
          </w:p>
          <w:p>
            <w:pPr>
              <w:pStyle w:val="25"/>
              <w:widowControl/>
              <w:numPr>
                <w:ilvl w:val="1"/>
                <w:numId w:val="1"/>
              </w:numPr>
              <w:spacing w:before="0" w:after="120" w:line="240" w:lineRule="auto"/>
              <w:ind w:firstLineChars="0"/>
              <w:jc w:val="left"/>
              <w:rPr>
                <w:rFonts w:hint="default"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The Mixed type of NCR will not be introduced in Rel-18.</w:t>
            </w:r>
          </w:p>
          <w:p>
            <w:pPr>
              <w:spacing w:before="120" w:line="280" w:lineRule="atLeast"/>
              <w:rPr>
                <w:rFonts w:hint="default" w:ascii="Times New Roman" w:hAnsi="Times New Roman" w:cs="Times New Roman"/>
                <w:b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u w:val="single"/>
                <w:lang w:eastAsia="zh-CN"/>
              </w:rPr>
              <w:t>Issue 3-1: Test configuration</w:t>
            </w:r>
          </w:p>
          <w:p>
            <w:pPr>
              <w:pStyle w:val="25"/>
              <w:widowControl/>
              <w:numPr>
                <w:ilvl w:val="0"/>
                <w:numId w:val="1"/>
              </w:numPr>
              <w:spacing w:before="0" w:after="120" w:line="240" w:lineRule="auto"/>
              <w:ind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Option 1:</w:t>
            </w:r>
          </w:p>
          <w:p>
            <w:pPr>
              <w:pStyle w:val="25"/>
              <w:widowControl/>
              <w:numPr>
                <w:ilvl w:val="1"/>
                <w:numId w:val="1"/>
              </w:numPr>
              <w:spacing w:before="0" w:after="120" w:line="240" w:lineRule="auto"/>
              <w:ind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en-US"/>
              </w:rPr>
              <w:t>Place an NCR-MT carrier at the lower end of each passband Generate an NR carrier using test equipment at the upper edge of each passband, and a second NR carrier adjacent to the NCR-MT carrier within each passband. For each passband, i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>f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there is insufficient space for the NR carriers then remove firstly the NR carrier adjacent to the NCR-MT carrier and then if needed the NR carrier at the upper end of the passband.</w:t>
            </w:r>
          </w:p>
          <w:p>
            <w:pPr>
              <w:pStyle w:val="25"/>
              <w:widowControl/>
              <w:numPr>
                <w:ilvl w:val="1"/>
                <w:numId w:val="1"/>
              </w:numPr>
              <w:spacing w:before="0" w:after="120" w:line="240" w:lineRule="auto"/>
              <w:ind w:firstLineChars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Pl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  <w:lang w:eastAsia="en-US"/>
              </w:rPr>
              <w:t>ace an NCR-MT carrier at the upper end of each passband. Generate an NR carrier using test equipment at the lower edge of each passband, and a second NR carrier adjacent to the NCR-MT carrier within each passband. For each passband, if there is insufficient space for the NR carriers then remove firstly the NR carrier adjacent to the NCR-MT carrier and then if needed the NR carrier at the upper end of the passband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>
            <w:pPr>
              <w:pStyle w:val="25"/>
              <w:widowControl/>
              <w:numPr>
                <w:ilvl w:val="0"/>
                <w:numId w:val="1"/>
              </w:numPr>
              <w:spacing w:before="0" w:after="120" w:line="240" w:lineRule="auto"/>
              <w:ind w:firstLineChars="0"/>
              <w:jc w:val="left"/>
              <w:rPr>
                <w:rFonts w:hint="default" w:ascii="Times New Roman" w:hAnsi="Times New Roman" w:cs="Times New Roman"/>
                <w:sz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Other Options are not precluded.</w:t>
            </w:r>
          </w:p>
        </w:tc>
      </w:tr>
    </w:tbl>
    <w:p>
      <w:pPr>
        <w:spacing w:after="180"/>
        <w:rPr>
          <w:rFonts w:ascii="Times New Roman" w:hAnsi="Times New Roman"/>
          <w:sz w:val="20"/>
        </w:rPr>
      </w:pPr>
    </w:p>
    <w:p>
      <w:pPr>
        <w:keepNext/>
        <w:keepLines/>
        <w:widowControl/>
        <w:numPr>
          <w:ilvl w:val="0"/>
          <w:numId w:val="2"/>
        </w:numPr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hint="eastAsia" w:ascii="Arial" w:hAnsi="Arial" w:eastAsiaTheme="minorEastAsia" w:cstheme="minorBidi"/>
          <w:sz w:val="32"/>
          <w:szCs w:val="36"/>
        </w:rPr>
      </w:pPr>
      <w:r>
        <w:rPr>
          <w:rFonts w:hint="eastAsia" w:ascii="Arial" w:hAnsi="Arial" w:eastAsiaTheme="minorEastAsia" w:cstheme="minorBidi"/>
          <w:sz w:val="32"/>
          <w:szCs w:val="36"/>
        </w:rPr>
        <w:t>Discussion</w:t>
      </w:r>
    </w:p>
    <w:p>
      <w:pPr>
        <w:numPr>
          <w:ilvl w:val="0"/>
          <w:numId w:val="0"/>
        </w:numPr>
        <w:spacing w:after="180"/>
        <w:ind w:leftChars="0"/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>We focus on 2.1 test mode and 2.2 test configuration for simultaneous Tx between MT and forwarding UL.</w:t>
      </w:r>
    </w:p>
    <w:p>
      <w:pPr>
        <w:pStyle w:val="4"/>
        <w:numPr>
          <w:ilvl w:val="0"/>
          <w:numId w:val="0"/>
        </w:numPr>
        <w:bidi w:val="0"/>
        <w:ind w:leftChars="0"/>
        <w:rPr>
          <w:rFonts w:hint="default" w:ascii="Arial" w:hAnsi="Arial" w:cs="Times New Roman"/>
          <w:lang w:val="en-US" w:eastAsia="zh-CN"/>
        </w:rPr>
      </w:pPr>
      <w:r>
        <w:rPr>
          <w:rFonts w:hint="eastAsia" w:ascii="Arial" w:hAnsi="Arial" w:cs="Times New Roman"/>
          <w:lang w:val="en-US" w:eastAsia="zh-CN"/>
        </w:rPr>
        <w:t>2.</w:t>
      </w:r>
      <w:r>
        <w:rPr>
          <w:rFonts w:hint="eastAsia" w:cs="Times New Roman"/>
          <w:lang w:val="en-US" w:eastAsia="zh-CN"/>
        </w:rPr>
        <w:t>1</w:t>
      </w:r>
      <w:r>
        <w:rPr>
          <w:rFonts w:hint="eastAsia" w:ascii="Arial" w:hAnsi="Arial" w:cs="Times New Roman"/>
          <w:lang w:val="en-US" w:eastAsia="zh-CN"/>
        </w:rPr>
        <w:t xml:space="preserve"> </w:t>
      </w:r>
      <w:r>
        <w:rPr>
          <w:rFonts w:hint="eastAsia" w:cs="Times New Roman"/>
          <w:lang w:val="en-US" w:eastAsia="zh-CN"/>
        </w:rPr>
        <w:t>Test mode</w:t>
      </w:r>
    </w:p>
    <w:p>
      <w:pP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Previous agreements are listed as below for information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25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120" w:after="120" w:line="259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Issue 3-1: NCR-MT test model</w:t>
            </w:r>
          </w:p>
          <w:p>
            <w:pPr>
              <w:pStyle w:val="25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120" w:after="120" w:line="259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For test model for NCR-MT, propose to use the Rel-16 IAB-MT test model as starting point for further study.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Following table list the IAB-MT testing mode.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center"/>
        <w:textAlignment w:val="auto"/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Table 1: IAB-MT test mode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90"/>
        <w:gridCol w:w="2491"/>
        <w:gridCol w:w="2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Test mode</w:t>
            </w:r>
          </w:p>
        </w:tc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Applicable RF requirements</w:t>
            </w: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Output power</w:t>
            </w: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Configured RB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IAB-MT-FR1-TM1.1</w:t>
            </w:r>
          </w:p>
        </w:tc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IAB output power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Transmit ON/OFF power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Unwanted emissions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Occupied bandwidth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ACLR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Operating band unwanted emissions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Transmitter spurious emissions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Transmitter intermodulation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Receiver spurious emissions</w:t>
            </w: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-</w:t>
            </w: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1"/>
              </w:rPr>
              <w:t>N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1"/>
                <w:vertAlign w:val="subscript"/>
              </w:rPr>
              <w:t>RB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1"/>
                <w:lang w:eastAsia="ko-KR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1"/>
                <w:lang w:val="en-US" w:eastAsia="zh-CN"/>
              </w:rPr>
              <w:t>with 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IAB-MT-FR1-TM2</w:t>
            </w:r>
          </w:p>
        </w:tc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Total power dynamic range (at lower PSD TX power limit at min power)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Transmitted signal quality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EVM of single 64QAM PRB allocation (at lower PSD TX power limit at min power)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Frequency error (at min power)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At min power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At lower PSD Tx power limit at min power</w:t>
            </w: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 PRB with 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IAB-MT-FR1-TM2a</w:t>
            </w:r>
          </w:p>
        </w:tc>
        <w:tc>
          <w:tcPr>
            <w:tcW w:w="2490" w:type="dxa"/>
          </w:tcPr>
          <w:p>
            <w:pPr>
              <w:pStyle w:val="31"/>
              <w:spacing w:before="120" w:line="280" w:lineRule="atLeast"/>
            </w:pPr>
            <w:r>
              <w:t>-</w:t>
            </w:r>
            <w:r>
              <w:tab/>
            </w:r>
            <w:r>
              <w:t>EVM of single 256QAM PRB allocation (at min power)</w:t>
            </w:r>
          </w:p>
          <w:p>
            <w:pPr>
              <w:pStyle w:val="31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t>-</w:t>
            </w:r>
            <w:r>
              <w:tab/>
            </w:r>
            <w:r>
              <w:t>Frequency error (at min power)</w:t>
            </w: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At min power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1 PRB with 256QAM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IAB-MT-FR1-TM3.1</w:t>
            </w:r>
          </w:p>
        </w:tc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Output power dynamics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Total power dynamic range (upper TX PSD power limit at max power with all 64QAM PRBs allocated)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Transmitted signal quality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Frequency error (at max power)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EVM for modulation (at max power)</w:t>
            </w: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At max power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Upper Tx PSD power limit at max power</w:t>
            </w: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1"/>
              </w:rPr>
              <w:t>N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1"/>
                <w:vertAlign w:val="subscript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IAB-MT-FR1-TM3.1a</w:t>
            </w:r>
          </w:p>
        </w:tc>
        <w:tc>
          <w:tcPr>
            <w:tcW w:w="24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Output power dynamics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Total power dynamic range (upper TX PSD power limit at max power with all 256QAM PRBs allocated)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Transmitted signal quality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Frequency error (at max power)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ind w:left="420" w:leftChars="0" w:hanging="420" w:firstLineChars="0"/>
              <w:jc w:val="lef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EVM for 256QAM modulation (at max power)</w:t>
            </w: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at max power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upper TX PSD power limit at max power</w:t>
            </w:r>
          </w:p>
        </w:tc>
        <w:tc>
          <w:tcPr>
            <w:tcW w:w="24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80" w:lineRule="atLeast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1"/>
              </w:rPr>
              <w:t>N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1"/>
                <w:vertAlign w:val="subscript"/>
              </w:rPr>
              <w:t>RB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According to above table, NCR-MT </w:t>
      </w:r>
      <w:r>
        <w:rPr>
          <w:rFonts w:hint="default" w:ascii="Times New Roman" w:hAnsi="Times New Roman" w:cs="Times New Roman"/>
          <w:sz w:val="20"/>
          <w:szCs w:val="20"/>
          <w:vertAlign w:val="baseline"/>
          <w:lang w:val="en-US" w:eastAsia="zh-CN"/>
        </w:rPr>
        <w:t>Operating band unwanted emissions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requirement will only be tested when all PRB are configured. For LA NCR-MT, it will reuse UE SEM requirements and according to 38.521-1, UE SEM requirements will test Edge_1RB_Left, Edge_1RB_Right and Outer_Full RB allocations. It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s worth noting that usually the worst SEM case is when RB is configured at edge_1PB with upper PSD limit. Besides for NCR-MT, usually the allocated PRB is less due to less data load. Therefore, edge_1PRB allocation should also be considered for LA NCR-MT SEM testing.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1: at least LA NCR-MT SEM requirements should also be tested under edge_1PRB_left and edge_1PRB_right RB allocations with max Tx power. Additional test mode beside IAB testing modes should be added.</w:t>
      </w:r>
    </w:p>
    <w:p>
      <w:pPr>
        <w:pStyle w:val="4"/>
        <w:numPr>
          <w:ilvl w:val="0"/>
          <w:numId w:val="0"/>
        </w:numPr>
        <w:bidi w:val="0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2.2 Test configuration when NCR-MT and fwd-link transmit simultaneously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20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1"/>
          <w:lang w:val="en-US" w:eastAsia="zh-CN"/>
        </w:rPr>
        <w:t>For the test modes when NCR-MT is configured within all RBs per carrier, option 1 as show below is OK to show the aggregate emission from MT and fwd-link UL.</w:t>
      </w:r>
    </w:p>
    <w:p>
      <w:pPr>
        <w:pStyle w:val="25"/>
        <w:widowControl/>
        <w:numPr>
          <w:ilvl w:val="1"/>
          <w:numId w:val="1"/>
        </w:numPr>
        <w:spacing w:before="0" w:after="120" w:line="240" w:lineRule="auto"/>
        <w:ind w:firstLineChars="0"/>
        <w:jc w:val="left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iCs/>
          <w:sz w:val="20"/>
          <w:szCs w:val="20"/>
          <w:lang w:eastAsia="en-US"/>
        </w:rPr>
        <w:t>Place an NCR-MT carrier at the lower end of each passband Generate an NR carrier using test equipment at the upper edge of each passband, and a second NR carrier adjacent to the NCR-MT carrier within each passband. For each passband, i</w:t>
      </w:r>
      <w:r>
        <w:rPr>
          <w:rFonts w:hint="default" w:ascii="Times New Roman" w:hAnsi="Times New Roman" w:cs="Times New Roman"/>
          <w:iCs/>
          <w:sz w:val="20"/>
          <w:szCs w:val="20"/>
        </w:rPr>
        <w:t>f</w:t>
      </w:r>
      <w:r>
        <w:rPr>
          <w:rFonts w:hint="default" w:ascii="Times New Roman" w:hAnsi="Times New Roman" w:cs="Times New Roman"/>
          <w:iCs/>
          <w:sz w:val="20"/>
          <w:szCs w:val="20"/>
          <w:lang w:eastAsia="en-US"/>
        </w:rPr>
        <w:t xml:space="preserve"> there is insufficient space for the NR carriers then remove firstly the NR carrier adjacent to the NCR-MT carrier and then if needed the NR carrier at the upper end of the passband.</w:t>
      </w:r>
    </w:p>
    <w:p>
      <w:pPr>
        <w:pStyle w:val="25"/>
        <w:widowControl/>
        <w:numPr>
          <w:ilvl w:val="1"/>
          <w:numId w:val="1"/>
        </w:numPr>
        <w:spacing w:before="0" w:after="120" w:line="240" w:lineRule="auto"/>
        <w:ind w:firstLineChars="0"/>
        <w:jc w:val="left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lang w:eastAsia="en-US"/>
        </w:rPr>
        <w:t>Pl</w:t>
      </w:r>
      <w:r>
        <w:rPr>
          <w:rFonts w:hint="default" w:ascii="Times New Roman" w:hAnsi="Times New Roman" w:cs="Times New Roman"/>
          <w:iCs/>
          <w:sz w:val="20"/>
          <w:szCs w:val="20"/>
          <w:lang w:eastAsia="en-US"/>
        </w:rPr>
        <w:t>ace an NCR-MT carrier at the upper end of each passband. Generate an NR carrier using test equipment at the lower edge of each passband, and a second NR carrier adjacent to the NCR-MT carrier within each passband. For each passband, if there is insufficient space for the NR carriers then remove firstly the NR carrier adjacent to the NCR-MT carrier and then if needed the NR carrier at the upper end of the passband</w:t>
      </w:r>
      <w:r>
        <w:rPr>
          <w:rFonts w:hint="default" w:ascii="Times New Roman" w:hAnsi="Times New Roman" w:cs="Times New Roman"/>
          <w:sz w:val="20"/>
          <w:szCs w:val="20"/>
          <w:lang w:eastAsia="en-US"/>
        </w:rPr>
        <w:t>.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0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1"/>
          <w:lang w:val="en-US" w:eastAsia="zh-CN"/>
        </w:rPr>
        <w:t>Proposal 2: for the test modes when NCR-MT is configured within all RBs per carrier, option 1 in last meeting WF is OK to show the aggregate emission from MT and fwd-link UL.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0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1"/>
          <w:lang w:val="en-US" w:eastAsia="zh-CN"/>
        </w:rPr>
        <w:t xml:space="preserve">For the test mode as proposed in section 2.2 when only edge_1RB_left or edge_1RB_right RB is allocated, we also need to consider whether we can put the NCR-MT and NCR-fwd-link into the same carrier. According to RAN1 spec, FDMed operation between MT and fwd-link is supported, i.e. MT occupies some PRB and fwd-link occupies the remaining PRB within the same carrier. This same-carrier test configuration is the worst case for emission related requirements testing. 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 w:val="0"/>
          <w:bCs w:val="0"/>
          <w:sz w:val="20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1"/>
          <w:lang w:val="en-US" w:eastAsia="zh-CN"/>
        </w:rPr>
        <w:t>Following fig show the detailed test configuration.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0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1"/>
          <w:lang w:val="en-US" w:eastAsia="zh-CN"/>
        </w:rPr>
        <w:drawing>
          <wp:inline distT="0" distB="0" distL="114300" distR="114300">
            <wp:extent cx="6186170" cy="3597275"/>
            <wp:effectExtent l="0" t="0" r="11430" b="9525"/>
            <wp:docPr id="2" name="图片 2" descr="1698982170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989821704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359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Chars="0"/>
        <w:textAlignment w:val="auto"/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1"/>
          <w:lang w:val="en-US" w:eastAsia="zh-CN"/>
        </w:rPr>
        <w:t>Proposal 3: for the test modes when NCR-MT is configured at edge 1PRB(if specified), it</w:t>
      </w:r>
      <w:r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0"/>
          <w:szCs w:val="21"/>
          <w:lang w:val="en-US" w:eastAsia="zh-CN"/>
        </w:rPr>
        <w:t>s suggested to further discuss the test configuration when MT occupies edge 1PRB and fwd-link occupies remaining PRB within the same carrier. Besides, another fwd-link carrier configured at the other side of pass-band edge. Detailed show as in above fig.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 w:val="0"/>
          <w:bCs w:val="0"/>
          <w:sz w:val="20"/>
          <w:szCs w:val="21"/>
          <w:lang w:val="en-US" w:eastAsia="zh-CN"/>
        </w:rPr>
      </w:pP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3. Conclusions</w:t>
      </w:r>
    </w:p>
    <w:p>
      <w:pPr>
        <w:spacing w:after="156" w:afterLines="50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NCR are discussed with following observations and proposals.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1: at least LA NCR-MT SEM requirements should also be tested under edge_1PRB_left and edge_1PRB_right RB allocations with max Tx power. Additional test mode beside IAB testing modes should be added.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b/>
          <w:bCs/>
          <w:sz w:val="20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1"/>
          <w:lang w:val="en-US" w:eastAsia="zh-CN"/>
        </w:rPr>
        <w:t>Proposal 2: for the test modes when NCR-MT is configured within all RBs per carrier, option 1 in last meeting WF is OK to show the aggregate emission from MT and fwd-link UL.</w:t>
      </w:r>
    </w:p>
    <w:p>
      <w:pPr>
        <w:pStyle w:val="25"/>
        <w:widowControl/>
        <w:numPr>
          <w:ilvl w:val="1"/>
          <w:numId w:val="1"/>
        </w:numPr>
        <w:spacing w:before="0" w:after="120" w:line="240" w:lineRule="auto"/>
        <w:ind w:firstLineChars="0"/>
        <w:jc w:val="left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iCs/>
          <w:sz w:val="20"/>
          <w:szCs w:val="20"/>
          <w:lang w:eastAsia="en-US"/>
        </w:rPr>
        <w:t>Place an NCR-MT carrier at the lower end of each passband Generate an NR carrier using test equipment at the upper edge of each passband, and a second NR carrier adjacent to the NCR-MT carrier within each passband. For each passband, i</w:t>
      </w:r>
      <w:r>
        <w:rPr>
          <w:rFonts w:hint="default" w:ascii="Times New Roman" w:hAnsi="Times New Roman" w:cs="Times New Roman"/>
          <w:iCs/>
          <w:sz w:val="20"/>
          <w:szCs w:val="20"/>
        </w:rPr>
        <w:t>f</w:t>
      </w:r>
      <w:r>
        <w:rPr>
          <w:rFonts w:hint="default" w:ascii="Times New Roman" w:hAnsi="Times New Roman" w:cs="Times New Roman"/>
          <w:iCs/>
          <w:sz w:val="20"/>
          <w:szCs w:val="20"/>
          <w:lang w:eastAsia="en-US"/>
        </w:rPr>
        <w:t xml:space="preserve"> there is insufficient space for the NR carriers then remove firstly the NR carrier adjacent to the NCR-MT carrier and then if needed the NR carrier at the upper end of the passband.</w:t>
      </w:r>
    </w:p>
    <w:p>
      <w:pPr>
        <w:pStyle w:val="25"/>
        <w:widowControl/>
        <w:numPr>
          <w:ilvl w:val="1"/>
          <w:numId w:val="1"/>
        </w:numPr>
        <w:spacing w:before="0" w:after="120" w:line="240" w:lineRule="auto"/>
        <w:ind w:firstLineChars="0"/>
        <w:jc w:val="left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lang w:eastAsia="en-US"/>
        </w:rPr>
        <w:t>Pl</w:t>
      </w:r>
      <w:r>
        <w:rPr>
          <w:rFonts w:hint="default" w:ascii="Times New Roman" w:hAnsi="Times New Roman" w:cs="Times New Roman"/>
          <w:iCs/>
          <w:sz w:val="20"/>
          <w:szCs w:val="20"/>
          <w:lang w:eastAsia="en-US"/>
        </w:rPr>
        <w:t>ace an NCR-MT carrier at the upper end of each passband. Generate an NR carrier using test equipment at the lower edge of each passband, and a second NR carrier adjacent to the NCR-MT carrier within each passband. For each passband, if there is insufficient space for the NR carriers then remove firstly the NR carrier adjacent to the NCR-MT carrier and then if needed the NR carrier at the upper end of the passband</w:t>
      </w:r>
      <w:r>
        <w:rPr>
          <w:rFonts w:hint="default" w:ascii="Times New Roman" w:hAnsi="Times New Roman" w:cs="Times New Roman"/>
          <w:sz w:val="20"/>
          <w:szCs w:val="20"/>
          <w:lang w:eastAsia="en-US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Chars="0"/>
        <w:textAlignment w:val="auto"/>
        <w:rPr>
          <w:rFonts w:hint="eastAsia" w:ascii="Times New Roman" w:hAnsi="Times New Roman" w:cs="Times New Roman"/>
          <w:b/>
          <w:bCs/>
          <w:sz w:val="20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1"/>
          <w:lang w:val="en-US" w:eastAsia="zh-CN"/>
        </w:rPr>
        <w:t>Proposal 3: for the test modes when NCR-MT is configured at edge 1PRB(if specified), it</w:t>
      </w:r>
      <w:r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0"/>
          <w:szCs w:val="21"/>
          <w:lang w:val="en-US" w:eastAsia="zh-CN"/>
        </w:rPr>
        <w:t>s suggested to further discuss the test configuration when MT occupies edge 1PRB and fwd-link occupies remaining PRB within the same carrier. Besides, another fwd-link carrier configured at the other side of pass-band edge. Detailed shown as below</w:t>
      </w:r>
      <w:bookmarkStart w:id="2" w:name="_GoBack"/>
      <w:bookmarkEnd w:id="2"/>
      <w:r>
        <w:rPr>
          <w:rFonts w:hint="eastAsia" w:ascii="Times New Roman" w:hAnsi="Times New Roman" w:cs="Times New Roman"/>
          <w:b/>
          <w:bCs/>
          <w:sz w:val="20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Chars="0"/>
        <w:textAlignment w:val="auto"/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1"/>
          <w:lang w:val="en-US" w:eastAsia="zh-CN"/>
        </w:rPr>
        <w:drawing>
          <wp:inline distT="0" distB="0" distL="114300" distR="114300">
            <wp:extent cx="6186170" cy="3597275"/>
            <wp:effectExtent l="0" t="0" r="11430" b="9525"/>
            <wp:docPr id="3" name="图片 3" descr="1698982170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989821704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359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4. Reference</w:t>
      </w:r>
    </w:p>
    <w:p>
      <w:pPr>
        <w:numPr>
          <w:ilvl w:val="0"/>
          <w:numId w:val="4"/>
        </w:numPr>
        <w:tabs>
          <w:tab w:val="right" w:pos="10440"/>
          <w:tab w:val="right" w:pos="13323"/>
        </w:tabs>
        <w:spacing w:after="0"/>
        <w:jc w:val="left"/>
        <w:rPr>
          <w:rFonts w:hint="default" w:ascii="Times New Roman" w:hAnsi="Times New Roman" w:cs="Times New Roman"/>
          <w:sz w:val="20"/>
          <w:szCs w:val="20"/>
          <w:highlight w:val="none"/>
        </w:rPr>
      </w:pPr>
      <w:r>
        <w:rPr>
          <w:rFonts w:hint="default" w:ascii="Times New Roman" w:hAnsi="Times New Roman" w:cs="Times New Roman"/>
          <w:sz w:val="20"/>
          <w:szCs w:val="20"/>
          <w:highlight w:val="none"/>
        </w:rPr>
        <w:t>R4-2305933,WF on NR NCR RF conformance testing, CATT, approved.</w:t>
      </w:r>
    </w:p>
    <w:p>
      <w:pPr>
        <w:numPr>
          <w:ilvl w:val="0"/>
          <w:numId w:val="4"/>
        </w:numPr>
        <w:tabs>
          <w:tab w:val="right" w:pos="10440"/>
          <w:tab w:val="right" w:pos="13323"/>
        </w:tabs>
        <w:spacing w:after="0"/>
        <w:jc w:val="left"/>
        <w:rPr>
          <w:rFonts w:hint="default" w:ascii="Times New Roman" w:hAnsi="Times New Roman" w:cs="Times New Roman"/>
          <w:b w:val="0"/>
          <w:sz w:val="20"/>
          <w:szCs w:val="20"/>
          <w:highlight w:val="none"/>
        </w:rPr>
      </w:pPr>
      <w:r>
        <w:rPr>
          <w:rFonts w:hint="default" w:ascii="Times New Roman" w:hAnsi="Times New Roman" w:cs="Times New Roman"/>
          <w:b w:val="0"/>
          <w:sz w:val="20"/>
          <w:szCs w:val="20"/>
          <w:highlight w:val="none"/>
          <w:u w:val="none"/>
        </w:rPr>
        <w:t>R4-2309864</w:t>
      </w:r>
      <w:r>
        <w:rPr>
          <w:rFonts w:hint="default" w:ascii="Times New Roman" w:hAnsi="Times New Roman" w:cs="Times New Roman"/>
          <w:b w:val="0"/>
          <w:sz w:val="20"/>
          <w:szCs w:val="20"/>
          <w:highlight w:val="none"/>
          <w:u w:val="none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 w:val="0"/>
          <w:sz w:val="20"/>
          <w:szCs w:val="20"/>
          <w:highlight w:val="none"/>
        </w:rPr>
        <w:t>WF for NCR RF conformance</w:t>
      </w:r>
      <w:r>
        <w:rPr>
          <w:rFonts w:hint="default" w:ascii="Times New Roman" w:hAnsi="Times New Roman" w:cs="Times New Roman"/>
          <w:b w:val="0"/>
          <w:sz w:val="20"/>
          <w:szCs w:val="20"/>
          <w:highlight w:val="none"/>
          <w:lang w:val="en-US" w:eastAsia="zh-CN"/>
        </w:rPr>
        <w:t>, CATT, approved</w:t>
      </w:r>
    </w:p>
    <w:p>
      <w:pPr>
        <w:numPr>
          <w:ilvl w:val="0"/>
          <w:numId w:val="4"/>
        </w:numPr>
        <w:tabs>
          <w:tab w:val="right" w:pos="10440"/>
          <w:tab w:val="right" w:pos="13323"/>
        </w:tabs>
        <w:spacing w:after="0"/>
        <w:jc w:val="left"/>
        <w:rPr>
          <w:rFonts w:hint="default" w:ascii="Times New Roman" w:hAnsi="Times New Roman" w:cs="Times New Roman"/>
          <w:b w:val="0"/>
          <w:sz w:val="20"/>
          <w:szCs w:val="20"/>
          <w:highlight w:val="none"/>
        </w:rPr>
      </w:pPr>
      <w:r>
        <w:rPr>
          <w:rFonts w:hint="default" w:ascii="Times New Roman" w:hAnsi="Times New Roman" w:cs="Times New Roman"/>
          <w:b w:val="0"/>
          <w:sz w:val="20"/>
          <w:szCs w:val="20"/>
          <w:highlight w:val="none"/>
          <w:u w:val="none"/>
        </w:rPr>
        <w:t>R4-2313906</w:t>
      </w:r>
      <w:r>
        <w:rPr>
          <w:rFonts w:hint="default" w:ascii="Times New Roman" w:hAnsi="Times New Roman" w:cs="Times New Roman"/>
          <w:b w:val="0"/>
          <w:sz w:val="20"/>
          <w:szCs w:val="20"/>
          <w:highlight w:val="none"/>
          <w:u w:val="none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sz w:val="20"/>
          <w:szCs w:val="20"/>
          <w:highlight w:val="none"/>
        </w:rPr>
        <w:t>WF for NCR conformance testing</w:t>
      </w:r>
      <w:r>
        <w:rPr>
          <w:rFonts w:hint="default" w:ascii="Times New Roman" w:hAnsi="Times New Roman" w:cs="Times New Roman"/>
          <w:b w:val="0"/>
          <w:sz w:val="20"/>
          <w:szCs w:val="20"/>
          <w:highlight w:val="none"/>
          <w:lang w:val="en-US" w:eastAsia="zh-CN"/>
        </w:rPr>
        <w:t xml:space="preserve">, CATT, Approved. </w:t>
      </w:r>
    </w:p>
    <w:p>
      <w:pPr>
        <w:numPr>
          <w:ilvl w:val="0"/>
          <w:numId w:val="4"/>
        </w:numPr>
        <w:tabs>
          <w:tab w:val="right" w:pos="10440"/>
          <w:tab w:val="right" w:pos="13323"/>
        </w:tabs>
        <w:spacing w:after="0"/>
        <w:jc w:val="left"/>
        <w:rPr>
          <w:rFonts w:hint="default" w:ascii="Times New Roman" w:hAnsi="Times New Roman" w:cs="Times New Roman"/>
          <w:b w:val="0"/>
          <w:sz w:val="20"/>
          <w:szCs w:val="20"/>
          <w:highlight w:val="none"/>
        </w:rPr>
      </w:pPr>
      <w:r>
        <w:rPr>
          <w:rFonts w:hint="default" w:ascii="Times New Roman" w:hAnsi="Times New Roman" w:cs="Times New Roman"/>
          <w:b w:val="0"/>
          <w:sz w:val="20"/>
          <w:szCs w:val="20"/>
          <w:highlight w:val="none"/>
        </w:rPr>
        <w:t>R4-2316908</w:t>
      </w:r>
      <w:r>
        <w:rPr>
          <w:rFonts w:hint="eastAsia" w:ascii="Times New Roman" w:hAnsi="Times New Roman" w:cs="Times New Roman"/>
          <w:b w:val="0"/>
          <w:sz w:val="20"/>
          <w:szCs w:val="20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sz w:val="20"/>
          <w:szCs w:val="20"/>
          <w:highlight w:val="none"/>
        </w:rPr>
        <w:t xml:space="preserve"> WF on NCR conformance</w:t>
      </w:r>
      <w:r>
        <w:rPr>
          <w:rFonts w:hint="eastAsia" w:ascii="Times New Roman" w:hAnsi="Times New Roman" w:cs="Times New Roman"/>
          <w:b w:val="0"/>
          <w:sz w:val="20"/>
          <w:szCs w:val="20"/>
          <w:highlight w:val="none"/>
          <w:lang w:val="en-US" w:eastAsia="zh-CN"/>
        </w:rPr>
        <w:t>, CATT, approved.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AD7C21"/>
    <w:multiLevelType w:val="singleLevel"/>
    <w:tmpl w:val="DDAD7C21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44EE66C"/>
    <w:multiLevelType w:val="multilevel"/>
    <w:tmpl w:val="044EE66C"/>
    <w:lvl w:ilvl="0" w:tentative="0">
      <w:start w:val="2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42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970CA"/>
    <w:rsid w:val="028E1852"/>
    <w:rsid w:val="02C81B1F"/>
    <w:rsid w:val="035D4591"/>
    <w:rsid w:val="03631D1E"/>
    <w:rsid w:val="03E26584"/>
    <w:rsid w:val="04492C16"/>
    <w:rsid w:val="04B527F1"/>
    <w:rsid w:val="053C405B"/>
    <w:rsid w:val="056F5AD7"/>
    <w:rsid w:val="059E10D1"/>
    <w:rsid w:val="05BF54F8"/>
    <w:rsid w:val="06305334"/>
    <w:rsid w:val="06434355"/>
    <w:rsid w:val="06CC0A35"/>
    <w:rsid w:val="0769686A"/>
    <w:rsid w:val="076E27BD"/>
    <w:rsid w:val="0770402F"/>
    <w:rsid w:val="07CA6B66"/>
    <w:rsid w:val="08973524"/>
    <w:rsid w:val="08A65D3D"/>
    <w:rsid w:val="0900762B"/>
    <w:rsid w:val="09626007"/>
    <w:rsid w:val="09993AB5"/>
    <w:rsid w:val="09F66D51"/>
    <w:rsid w:val="0A0219DF"/>
    <w:rsid w:val="0AA20101"/>
    <w:rsid w:val="0ABA1F25"/>
    <w:rsid w:val="0ADD2F10"/>
    <w:rsid w:val="0AF67B8B"/>
    <w:rsid w:val="0B0758A7"/>
    <w:rsid w:val="0B1B4548"/>
    <w:rsid w:val="0BE65845"/>
    <w:rsid w:val="0BF0521B"/>
    <w:rsid w:val="0BFE4B3A"/>
    <w:rsid w:val="0C8D3125"/>
    <w:rsid w:val="0D545798"/>
    <w:rsid w:val="0D624402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D9288C"/>
    <w:rsid w:val="0FF20B73"/>
    <w:rsid w:val="10003991"/>
    <w:rsid w:val="109C57D8"/>
    <w:rsid w:val="10EF7E56"/>
    <w:rsid w:val="1155307D"/>
    <w:rsid w:val="117C38F8"/>
    <w:rsid w:val="11B5219D"/>
    <w:rsid w:val="11DF67EB"/>
    <w:rsid w:val="122946DB"/>
    <w:rsid w:val="12E83AF4"/>
    <w:rsid w:val="13771DFE"/>
    <w:rsid w:val="14245767"/>
    <w:rsid w:val="145C23B3"/>
    <w:rsid w:val="15350710"/>
    <w:rsid w:val="155F416A"/>
    <w:rsid w:val="156354FD"/>
    <w:rsid w:val="157A51BC"/>
    <w:rsid w:val="15CD7D54"/>
    <w:rsid w:val="15D00CD9"/>
    <w:rsid w:val="15E450B5"/>
    <w:rsid w:val="16371982"/>
    <w:rsid w:val="168B5B89"/>
    <w:rsid w:val="175862BF"/>
    <w:rsid w:val="180D2D20"/>
    <w:rsid w:val="18642373"/>
    <w:rsid w:val="18834ED9"/>
    <w:rsid w:val="18E26C79"/>
    <w:rsid w:val="18FE0AB6"/>
    <w:rsid w:val="19813C3F"/>
    <w:rsid w:val="19B263B5"/>
    <w:rsid w:val="19DF2D99"/>
    <w:rsid w:val="19EA686E"/>
    <w:rsid w:val="1A8670A6"/>
    <w:rsid w:val="1AFD11C6"/>
    <w:rsid w:val="1B00542F"/>
    <w:rsid w:val="1B2F42F1"/>
    <w:rsid w:val="1B3F3E40"/>
    <w:rsid w:val="1B7C00B3"/>
    <w:rsid w:val="1BF509C2"/>
    <w:rsid w:val="1BF95FEE"/>
    <w:rsid w:val="1C700838"/>
    <w:rsid w:val="1CFC261A"/>
    <w:rsid w:val="1D0432AA"/>
    <w:rsid w:val="1D0A4412"/>
    <w:rsid w:val="1D1D5776"/>
    <w:rsid w:val="1D2753AE"/>
    <w:rsid w:val="1D3E218A"/>
    <w:rsid w:val="1D6D7456"/>
    <w:rsid w:val="1D7879E5"/>
    <w:rsid w:val="1D867707"/>
    <w:rsid w:val="1E3D0B9B"/>
    <w:rsid w:val="1E884DB6"/>
    <w:rsid w:val="1EFE1319"/>
    <w:rsid w:val="1F1F489E"/>
    <w:rsid w:val="1F2F076D"/>
    <w:rsid w:val="201828B7"/>
    <w:rsid w:val="203D39F0"/>
    <w:rsid w:val="20817033"/>
    <w:rsid w:val="20990887"/>
    <w:rsid w:val="20EA2C10"/>
    <w:rsid w:val="216C01F4"/>
    <w:rsid w:val="21D70408"/>
    <w:rsid w:val="221E7789"/>
    <w:rsid w:val="228B3B2E"/>
    <w:rsid w:val="235E2230"/>
    <w:rsid w:val="2370600B"/>
    <w:rsid w:val="241B0EB4"/>
    <w:rsid w:val="24513BF6"/>
    <w:rsid w:val="24683E4B"/>
    <w:rsid w:val="246C2851"/>
    <w:rsid w:val="24841763"/>
    <w:rsid w:val="2488042D"/>
    <w:rsid w:val="24C36C6D"/>
    <w:rsid w:val="254E0ABD"/>
    <w:rsid w:val="258A21E5"/>
    <w:rsid w:val="25A10883"/>
    <w:rsid w:val="25D729E7"/>
    <w:rsid w:val="26382DB8"/>
    <w:rsid w:val="26644B8A"/>
    <w:rsid w:val="268A1547"/>
    <w:rsid w:val="268B3CAF"/>
    <w:rsid w:val="26A73075"/>
    <w:rsid w:val="26F853FE"/>
    <w:rsid w:val="274B1605"/>
    <w:rsid w:val="278B3C06"/>
    <w:rsid w:val="27E33F9B"/>
    <w:rsid w:val="2805016B"/>
    <w:rsid w:val="286036CB"/>
    <w:rsid w:val="28AA4C8A"/>
    <w:rsid w:val="294A494E"/>
    <w:rsid w:val="29560760"/>
    <w:rsid w:val="29C71D19"/>
    <w:rsid w:val="2A144016"/>
    <w:rsid w:val="2A24682F"/>
    <w:rsid w:val="2A2C74BF"/>
    <w:rsid w:val="2A53737E"/>
    <w:rsid w:val="2AC70C94"/>
    <w:rsid w:val="2B2A3B5F"/>
    <w:rsid w:val="2C0547C6"/>
    <w:rsid w:val="2C401128"/>
    <w:rsid w:val="2C8A2F49"/>
    <w:rsid w:val="2C9F3BCE"/>
    <w:rsid w:val="2CA64350"/>
    <w:rsid w:val="2D4D51B1"/>
    <w:rsid w:val="2D4D79AC"/>
    <w:rsid w:val="2DB7418D"/>
    <w:rsid w:val="2DD5373D"/>
    <w:rsid w:val="2E9C0F87"/>
    <w:rsid w:val="2EB7077F"/>
    <w:rsid w:val="2EB8044F"/>
    <w:rsid w:val="2EC16B9C"/>
    <w:rsid w:val="2EDF426C"/>
    <w:rsid w:val="2EEC4E92"/>
    <w:rsid w:val="2F1C0982"/>
    <w:rsid w:val="2F747966"/>
    <w:rsid w:val="2FCB6344"/>
    <w:rsid w:val="2FEC1523"/>
    <w:rsid w:val="30524DF2"/>
    <w:rsid w:val="306B7868"/>
    <w:rsid w:val="3099089E"/>
    <w:rsid w:val="31490DA5"/>
    <w:rsid w:val="315F5D75"/>
    <w:rsid w:val="31E91E87"/>
    <w:rsid w:val="3243059C"/>
    <w:rsid w:val="32697D44"/>
    <w:rsid w:val="326D0948"/>
    <w:rsid w:val="328A5CFA"/>
    <w:rsid w:val="32C835E0"/>
    <w:rsid w:val="32DF7982"/>
    <w:rsid w:val="331537CD"/>
    <w:rsid w:val="331E4E70"/>
    <w:rsid w:val="336E17F0"/>
    <w:rsid w:val="33E2230D"/>
    <w:rsid w:val="33FB26D9"/>
    <w:rsid w:val="34291F23"/>
    <w:rsid w:val="348103B3"/>
    <w:rsid w:val="35962F2D"/>
    <w:rsid w:val="35B629AE"/>
    <w:rsid w:val="35B71496"/>
    <w:rsid w:val="35CC12CF"/>
    <w:rsid w:val="35D319E6"/>
    <w:rsid w:val="35E768F5"/>
    <w:rsid w:val="36075C31"/>
    <w:rsid w:val="36510879"/>
    <w:rsid w:val="372F46A7"/>
    <w:rsid w:val="37726C9D"/>
    <w:rsid w:val="37BD6848"/>
    <w:rsid w:val="37CC6816"/>
    <w:rsid w:val="37E810A7"/>
    <w:rsid w:val="380E1C87"/>
    <w:rsid w:val="38A9437C"/>
    <w:rsid w:val="38C2712E"/>
    <w:rsid w:val="38D16127"/>
    <w:rsid w:val="393C0FF6"/>
    <w:rsid w:val="398E1CFA"/>
    <w:rsid w:val="39B62EBE"/>
    <w:rsid w:val="3A436689"/>
    <w:rsid w:val="3A675260"/>
    <w:rsid w:val="3AAC45FF"/>
    <w:rsid w:val="3AC37B79"/>
    <w:rsid w:val="3AE070A1"/>
    <w:rsid w:val="3B617677"/>
    <w:rsid w:val="3B757B5E"/>
    <w:rsid w:val="3BA65BED"/>
    <w:rsid w:val="3C09240E"/>
    <w:rsid w:val="3C146221"/>
    <w:rsid w:val="3CC365B8"/>
    <w:rsid w:val="3CD51844"/>
    <w:rsid w:val="3D08452F"/>
    <w:rsid w:val="3D5001A7"/>
    <w:rsid w:val="3D55441E"/>
    <w:rsid w:val="3D713555"/>
    <w:rsid w:val="3D741DEE"/>
    <w:rsid w:val="3D9C3FFF"/>
    <w:rsid w:val="3E0B0DB0"/>
    <w:rsid w:val="3E116F60"/>
    <w:rsid w:val="3E572F58"/>
    <w:rsid w:val="3E872DEF"/>
    <w:rsid w:val="3E962A3C"/>
    <w:rsid w:val="3E9704BE"/>
    <w:rsid w:val="3F1D2CEE"/>
    <w:rsid w:val="3F8B424E"/>
    <w:rsid w:val="3F934EDE"/>
    <w:rsid w:val="3FCE6ABE"/>
    <w:rsid w:val="403501D5"/>
    <w:rsid w:val="40516596"/>
    <w:rsid w:val="40C60753"/>
    <w:rsid w:val="410113A2"/>
    <w:rsid w:val="41880811"/>
    <w:rsid w:val="41C60C56"/>
    <w:rsid w:val="41E9727E"/>
    <w:rsid w:val="41F50509"/>
    <w:rsid w:val="42375131"/>
    <w:rsid w:val="426339F7"/>
    <w:rsid w:val="42733C91"/>
    <w:rsid w:val="428C76CE"/>
    <w:rsid w:val="42916AC5"/>
    <w:rsid w:val="436807A8"/>
    <w:rsid w:val="439901E8"/>
    <w:rsid w:val="43EC12FF"/>
    <w:rsid w:val="43F11B33"/>
    <w:rsid w:val="43F17986"/>
    <w:rsid w:val="444678CE"/>
    <w:rsid w:val="44565A46"/>
    <w:rsid w:val="447E086E"/>
    <w:rsid w:val="44B454C5"/>
    <w:rsid w:val="44C125DD"/>
    <w:rsid w:val="44DD6689"/>
    <w:rsid w:val="44E7774D"/>
    <w:rsid w:val="45127C50"/>
    <w:rsid w:val="454416D4"/>
    <w:rsid w:val="455E7EDC"/>
    <w:rsid w:val="45830A1B"/>
    <w:rsid w:val="458D51A8"/>
    <w:rsid w:val="459B4244"/>
    <w:rsid w:val="45A33E4B"/>
    <w:rsid w:val="45A94422"/>
    <w:rsid w:val="45B253E8"/>
    <w:rsid w:val="45CC5F92"/>
    <w:rsid w:val="465C2D4B"/>
    <w:rsid w:val="465C457C"/>
    <w:rsid w:val="46E67A01"/>
    <w:rsid w:val="47262D4B"/>
    <w:rsid w:val="47670737"/>
    <w:rsid w:val="47F00216"/>
    <w:rsid w:val="483A3F41"/>
    <w:rsid w:val="48FF25D1"/>
    <w:rsid w:val="49281A93"/>
    <w:rsid w:val="492F313E"/>
    <w:rsid w:val="495010D7"/>
    <w:rsid w:val="4955555E"/>
    <w:rsid w:val="49E453DD"/>
    <w:rsid w:val="49EE4458"/>
    <w:rsid w:val="4A521971"/>
    <w:rsid w:val="4A9C4E28"/>
    <w:rsid w:val="4AFF7B18"/>
    <w:rsid w:val="4B2941E0"/>
    <w:rsid w:val="4BFF2F3E"/>
    <w:rsid w:val="4C261BDE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ED33CE1"/>
    <w:rsid w:val="4F01352B"/>
    <w:rsid w:val="4F13254C"/>
    <w:rsid w:val="4FBF6DE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A57002"/>
    <w:rsid w:val="52FC46EA"/>
    <w:rsid w:val="5350703E"/>
    <w:rsid w:val="538C361F"/>
    <w:rsid w:val="53A46AC8"/>
    <w:rsid w:val="53A54549"/>
    <w:rsid w:val="53F47B4C"/>
    <w:rsid w:val="5403314B"/>
    <w:rsid w:val="544A4CD7"/>
    <w:rsid w:val="545309A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941399"/>
    <w:rsid w:val="569F71AC"/>
    <w:rsid w:val="56F83407"/>
    <w:rsid w:val="572210F5"/>
    <w:rsid w:val="572A730E"/>
    <w:rsid w:val="576146B9"/>
    <w:rsid w:val="577865C9"/>
    <w:rsid w:val="578F7CCE"/>
    <w:rsid w:val="57E1103B"/>
    <w:rsid w:val="57E23AB5"/>
    <w:rsid w:val="58467715"/>
    <w:rsid w:val="587B1239"/>
    <w:rsid w:val="58886F75"/>
    <w:rsid w:val="58B65B9B"/>
    <w:rsid w:val="593309E8"/>
    <w:rsid w:val="59B07FB1"/>
    <w:rsid w:val="59FB712C"/>
    <w:rsid w:val="5A050D40"/>
    <w:rsid w:val="5A8A0BF0"/>
    <w:rsid w:val="5B2F7529"/>
    <w:rsid w:val="5BBA168B"/>
    <w:rsid w:val="5BBD01B3"/>
    <w:rsid w:val="5CCF11D3"/>
    <w:rsid w:val="5D4A309B"/>
    <w:rsid w:val="5D7F7CF2"/>
    <w:rsid w:val="5D851C35"/>
    <w:rsid w:val="5F187E14"/>
    <w:rsid w:val="5FDA5B33"/>
    <w:rsid w:val="5FDC7E75"/>
    <w:rsid w:val="5FF120B4"/>
    <w:rsid w:val="607B393B"/>
    <w:rsid w:val="609B470C"/>
    <w:rsid w:val="60AC4695"/>
    <w:rsid w:val="60BA2331"/>
    <w:rsid w:val="61FE0917"/>
    <w:rsid w:val="623E513D"/>
    <w:rsid w:val="62563CE5"/>
    <w:rsid w:val="62E47AC9"/>
    <w:rsid w:val="6350047D"/>
    <w:rsid w:val="6412053C"/>
    <w:rsid w:val="64430D0B"/>
    <w:rsid w:val="648065F1"/>
    <w:rsid w:val="65046BCA"/>
    <w:rsid w:val="650A2CD2"/>
    <w:rsid w:val="6566621E"/>
    <w:rsid w:val="65821697"/>
    <w:rsid w:val="66495BDD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9156EBB"/>
    <w:rsid w:val="698A6FB3"/>
    <w:rsid w:val="69DD483F"/>
    <w:rsid w:val="6A0568FD"/>
    <w:rsid w:val="6A2B6B3C"/>
    <w:rsid w:val="6B9F60AC"/>
    <w:rsid w:val="6BA350A4"/>
    <w:rsid w:val="6C0A3B4F"/>
    <w:rsid w:val="6C254067"/>
    <w:rsid w:val="6C3426E1"/>
    <w:rsid w:val="6C7A1884"/>
    <w:rsid w:val="6D2E4BAB"/>
    <w:rsid w:val="6D63623C"/>
    <w:rsid w:val="6D853006"/>
    <w:rsid w:val="6E123F24"/>
    <w:rsid w:val="6E3B72E7"/>
    <w:rsid w:val="6E5C02CB"/>
    <w:rsid w:val="6E680DA5"/>
    <w:rsid w:val="6EA0288E"/>
    <w:rsid w:val="6EE509F4"/>
    <w:rsid w:val="6EFC51A7"/>
    <w:rsid w:val="6F023405"/>
    <w:rsid w:val="6F25039A"/>
    <w:rsid w:val="6FBC2EB1"/>
    <w:rsid w:val="70623166"/>
    <w:rsid w:val="709C35CE"/>
    <w:rsid w:val="70F86AD9"/>
    <w:rsid w:val="71032079"/>
    <w:rsid w:val="72100F31"/>
    <w:rsid w:val="72304FDF"/>
    <w:rsid w:val="7247717D"/>
    <w:rsid w:val="729926C8"/>
    <w:rsid w:val="73096F4B"/>
    <w:rsid w:val="73131A58"/>
    <w:rsid w:val="7317045F"/>
    <w:rsid w:val="732D5E85"/>
    <w:rsid w:val="73854316"/>
    <w:rsid w:val="73A57DF9"/>
    <w:rsid w:val="73A744CA"/>
    <w:rsid w:val="73CC19D5"/>
    <w:rsid w:val="741A7D2C"/>
    <w:rsid w:val="74AF2AFE"/>
    <w:rsid w:val="74E146D2"/>
    <w:rsid w:val="74F86B15"/>
    <w:rsid w:val="756A3232"/>
    <w:rsid w:val="75895CE5"/>
    <w:rsid w:val="759901A2"/>
    <w:rsid w:val="759F2407"/>
    <w:rsid w:val="75D02BD6"/>
    <w:rsid w:val="75E15270"/>
    <w:rsid w:val="76325B80"/>
    <w:rsid w:val="76F00D88"/>
    <w:rsid w:val="771928DB"/>
    <w:rsid w:val="771C067A"/>
    <w:rsid w:val="772A6AEC"/>
    <w:rsid w:val="77693C0F"/>
    <w:rsid w:val="776C5E7A"/>
    <w:rsid w:val="77C2468B"/>
    <w:rsid w:val="78A92755"/>
    <w:rsid w:val="78B9366E"/>
    <w:rsid w:val="78BC17CD"/>
    <w:rsid w:val="78D366C6"/>
    <w:rsid w:val="796C47DC"/>
    <w:rsid w:val="79DF2C7C"/>
    <w:rsid w:val="79E47779"/>
    <w:rsid w:val="79F57AA2"/>
    <w:rsid w:val="7A1F66E8"/>
    <w:rsid w:val="7A7D4CC5"/>
    <w:rsid w:val="7AE67D87"/>
    <w:rsid w:val="7B6E2211"/>
    <w:rsid w:val="7BC80470"/>
    <w:rsid w:val="7BE0484E"/>
    <w:rsid w:val="7C081A8C"/>
    <w:rsid w:val="7C0F40E4"/>
    <w:rsid w:val="7C92278E"/>
    <w:rsid w:val="7C970076"/>
    <w:rsid w:val="7CF22D0E"/>
    <w:rsid w:val="7D0C0035"/>
    <w:rsid w:val="7D9E7791"/>
    <w:rsid w:val="7DC50AE8"/>
    <w:rsid w:val="7DCE3976"/>
    <w:rsid w:val="7E4C3A0F"/>
    <w:rsid w:val="7E4C3A98"/>
    <w:rsid w:val="7E9E07CB"/>
    <w:rsid w:val="7EDD5D31"/>
    <w:rsid w:val="7F23352A"/>
    <w:rsid w:val="7F7D33DC"/>
    <w:rsid w:val="7FAA1790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6"/>
    <w:unhideWhenUsed/>
    <w:qFormat/>
    <w:uiPriority w:val="9"/>
    <w:pPr>
      <w:keepNext/>
      <w:keepLines/>
      <w:spacing w:before="50" w:beforeLines="50" w:after="50" w:afterLines="50" w:line="240" w:lineRule="auto"/>
      <w:outlineLvl w:val="2"/>
    </w:pPr>
    <w:rPr>
      <w:rFonts w:ascii="Arial" w:hAnsi="Arial" w:eastAsia="Arial Unicode MS"/>
      <w:bCs/>
      <w:sz w:val="30"/>
      <w:szCs w:val="32"/>
    </w:rPr>
  </w:style>
  <w:style w:type="paragraph" w:styleId="5">
    <w:name w:val="heading 5"/>
    <w:basedOn w:val="1"/>
    <w:next w:val="1"/>
    <w:link w:val="5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0"/>
    <w:qFormat/>
    <w:uiPriority w:val="35"/>
    <w:pPr>
      <w:widowControl/>
      <w:spacing w:before="120" w:after="120"/>
      <w:jc w:val="left"/>
    </w:pPr>
    <w:rPr>
      <w:rFonts w:ascii="Times New Roman" w:hAnsi="Times New Roman" w:eastAsia="MS Mincho"/>
      <w:b/>
      <w:kern w:val="0"/>
      <w:sz w:val="20"/>
      <w:szCs w:val="20"/>
      <w:lang w:val="en-GB" w:eastAsia="en-US"/>
    </w:rPr>
  </w:style>
  <w:style w:type="paragraph" w:styleId="7">
    <w:name w:val="Document Map"/>
    <w:basedOn w:val="1"/>
    <w:link w:val="39"/>
    <w:semiHidden/>
    <w:unhideWhenUsed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37"/>
    <w:unhideWhenUsed/>
    <w:qFormat/>
    <w:uiPriority w:val="0"/>
    <w:pPr>
      <w:jc w:val="left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annotation subject"/>
    <w:basedOn w:val="8"/>
    <w:next w:val="8"/>
    <w:link w:val="38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unhideWhenUsed/>
    <w:qFormat/>
    <w:uiPriority w:val="99"/>
    <w:rPr>
      <w:sz w:val="21"/>
      <w:szCs w:val="21"/>
    </w:rPr>
  </w:style>
  <w:style w:type="character" w:customStyle="1" w:styleId="21">
    <w:name w:val="Header Char"/>
    <w:basedOn w:val="18"/>
    <w:link w:val="13"/>
    <w:qFormat/>
    <w:uiPriority w:val="99"/>
    <w:rPr>
      <w:sz w:val="18"/>
      <w:szCs w:val="18"/>
    </w:rPr>
  </w:style>
  <w:style w:type="character" w:customStyle="1" w:styleId="22">
    <w:name w:val="Footer Char"/>
    <w:basedOn w:val="18"/>
    <w:link w:val="12"/>
    <w:qFormat/>
    <w:uiPriority w:val="99"/>
    <w:rPr>
      <w:sz w:val="18"/>
      <w:szCs w:val="18"/>
    </w:rPr>
  </w:style>
  <w:style w:type="character" w:customStyle="1" w:styleId="23">
    <w:name w:val="Char Char"/>
    <w:link w:val="24"/>
    <w:qFormat/>
    <w:uiPriority w:val="0"/>
    <w:rPr>
      <w:rFonts w:ascii="Arial" w:hAnsi="Arial"/>
      <w:sz w:val="32"/>
      <w:szCs w:val="36"/>
    </w:rPr>
  </w:style>
  <w:style w:type="paragraph" w:customStyle="1" w:styleId="24">
    <w:name w:val="Char"/>
    <w:basedOn w:val="25"/>
    <w:link w:val="23"/>
    <w:qFormat/>
    <w:uiPriority w:val="0"/>
    <w:pPr>
      <w:keepNext/>
      <w:keepLines/>
      <w:widowControl/>
      <w:pBdr>
        <w:top w:val="single" w:color="auto" w:sz="12" w:space="1"/>
      </w:pBdr>
      <w:tabs>
        <w:tab w:val="left" w:pos="1985"/>
      </w:tabs>
      <w:spacing w:before="240" w:after="180"/>
      <w:ind w:left="360" w:firstLine="0" w:firstLineChars="0"/>
      <w:outlineLvl w:val="0"/>
    </w:pPr>
    <w:rPr>
      <w:rFonts w:ascii="Arial" w:hAnsi="Arial" w:eastAsiaTheme="minorEastAsia" w:cstheme="minorBidi"/>
      <w:sz w:val="32"/>
      <w:szCs w:val="36"/>
    </w:rPr>
  </w:style>
  <w:style w:type="paragraph" w:styleId="25">
    <w:name w:val="List Paragraph"/>
    <w:basedOn w:val="1"/>
    <w:link w:val="41"/>
    <w:qFormat/>
    <w:uiPriority w:val="34"/>
    <w:pPr>
      <w:ind w:firstLine="420" w:firstLineChars="200"/>
    </w:pPr>
  </w:style>
  <w:style w:type="character" w:customStyle="1" w:styleId="26">
    <w:name w:val="TAH Car"/>
    <w:link w:val="27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paragraph" w:customStyle="1" w:styleId="27">
    <w:name w:val="TAH"/>
    <w:basedOn w:val="28"/>
    <w:link w:val="26"/>
    <w:qFormat/>
    <w:uiPriority w:val="0"/>
    <w:rPr>
      <w:b/>
    </w:rPr>
  </w:style>
  <w:style w:type="paragraph" w:customStyle="1" w:styleId="28">
    <w:name w:val="TAC"/>
    <w:basedOn w:val="29"/>
    <w:link w:val="32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29">
    <w:name w:val="TAL"/>
    <w:basedOn w:val="1"/>
    <w:link w:val="36"/>
    <w:qFormat/>
    <w:uiPriority w:val="0"/>
    <w:pPr>
      <w:keepNext/>
      <w:keepLines/>
      <w:widowControl/>
      <w:jc w:val="left"/>
    </w:pPr>
    <w:rPr>
      <w:rFonts w:ascii="Arial" w:hAnsi="Arial" w:eastAsia="Times New Roman"/>
      <w:kern w:val="0"/>
      <w:sz w:val="18"/>
      <w:szCs w:val="20"/>
      <w:lang w:val="en-GB" w:eastAsia="en-US"/>
    </w:rPr>
  </w:style>
  <w:style w:type="character" w:customStyle="1" w:styleId="30">
    <w:name w:val="B1 Char"/>
    <w:link w:val="31"/>
    <w:qFormat/>
    <w:uiPriority w:val="0"/>
    <w:rPr>
      <w:rFonts w:ascii="Times New Roman" w:hAnsi="Times New Roman" w:eastAsia="MS Mincho"/>
      <w:lang w:val="en-GB" w:eastAsia="de-DE"/>
    </w:rPr>
  </w:style>
  <w:style w:type="paragraph" w:customStyle="1" w:styleId="31">
    <w:name w:val="B1"/>
    <w:basedOn w:val="10"/>
    <w:link w:val="30"/>
    <w:qFormat/>
    <w:uiPriority w:val="0"/>
    <w:pPr>
      <w:widowControl/>
      <w:spacing w:after="180"/>
      <w:ind w:left="568" w:hanging="284" w:firstLineChars="0"/>
      <w:jc w:val="left"/>
    </w:pPr>
    <w:rPr>
      <w:rFonts w:ascii="Times New Roman" w:hAnsi="Times New Roman" w:eastAsia="MS Mincho" w:cstheme="minorBidi"/>
      <w:lang w:val="en-GB" w:eastAsia="de-DE"/>
    </w:rPr>
  </w:style>
  <w:style w:type="character" w:customStyle="1" w:styleId="32">
    <w:name w:val="TAC Char"/>
    <w:link w:val="2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styleId="33">
    <w:name w:val="No Spacing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paragraph" w:customStyle="1" w:styleId="34">
    <w:name w:val="_Style 0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character" w:customStyle="1" w:styleId="35">
    <w:name w:val="Balloon Text Char"/>
    <w:basedOn w:val="18"/>
    <w:link w:val="11"/>
    <w:semiHidden/>
    <w:qFormat/>
    <w:uiPriority w:val="99"/>
    <w:rPr>
      <w:rFonts w:ascii="CG Times (WN)" w:hAnsi="CG Times (WN)" w:eastAsia="宋体" w:cs="Times New Roman"/>
      <w:sz w:val="18"/>
      <w:szCs w:val="18"/>
    </w:rPr>
  </w:style>
  <w:style w:type="character" w:customStyle="1" w:styleId="36">
    <w:name w:val="TAL Char"/>
    <w:link w:val="2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37">
    <w:name w:val="Comment Text Char"/>
    <w:basedOn w:val="18"/>
    <w:link w:val="8"/>
    <w:qFormat/>
    <w:uiPriority w:val="0"/>
    <w:rPr>
      <w:rFonts w:ascii="CG Times (WN)" w:hAnsi="CG Times (WN)" w:eastAsia="宋体" w:cs="Times New Roman"/>
    </w:rPr>
  </w:style>
  <w:style w:type="character" w:customStyle="1" w:styleId="38">
    <w:name w:val="Comment Subject Char"/>
    <w:basedOn w:val="37"/>
    <w:link w:val="15"/>
    <w:semiHidden/>
    <w:qFormat/>
    <w:uiPriority w:val="99"/>
    <w:rPr>
      <w:rFonts w:ascii="CG Times (WN)" w:hAnsi="CG Times (WN)" w:eastAsia="宋体" w:cs="Times New Roman"/>
      <w:b/>
      <w:bCs/>
    </w:rPr>
  </w:style>
  <w:style w:type="character" w:customStyle="1" w:styleId="39">
    <w:name w:val="Document Map Char"/>
    <w:basedOn w:val="18"/>
    <w:link w:val="7"/>
    <w:semiHidden/>
    <w:qFormat/>
    <w:uiPriority w:val="99"/>
    <w:rPr>
      <w:rFonts w:ascii="宋体" w:hAnsi="CG Times (WN)" w:eastAsia="宋体" w:cs="Times New Roman"/>
      <w:sz w:val="18"/>
      <w:szCs w:val="18"/>
    </w:rPr>
  </w:style>
  <w:style w:type="character" w:customStyle="1" w:styleId="40">
    <w:name w:val="Caption Char"/>
    <w:link w:val="6"/>
    <w:qFormat/>
    <w:uiPriority w:val="35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1">
    <w:name w:val="List Paragraph Char"/>
    <w:link w:val="25"/>
    <w:qFormat/>
    <w:uiPriority w:val="34"/>
    <w:rPr>
      <w:rFonts w:ascii="CG Times (WN)" w:hAnsi="CG Times (WN)" w:eastAsia="宋体" w:cs="Times New Roman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43">
    <w:name w:val="Heading 2 Char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44">
    <w:name w:val="网格型1"/>
    <w:basedOn w:val="16"/>
    <w:qFormat/>
    <w:uiPriority w:val="3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">
    <w:name w:val="网格型2"/>
    <w:basedOn w:val="16"/>
    <w:qFormat/>
    <w:uiPriority w:val="0"/>
    <w:pPr>
      <w:spacing w:after="160" w:line="259" w:lineRule="auto"/>
    </w:pPr>
    <w:rPr>
      <w:lang w:val="fi-FI" w:eastAsia="fi-F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6">
    <w:name w:val="Heading 3 Char"/>
    <w:basedOn w:val="18"/>
    <w:link w:val="4"/>
    <w:qFormat/>
    <w:uiPriority w:val="9"/>
    <w:rPr>
      <w:rFonts w:ascii="Arial" w:hAnsi="Arial" w:eastAsia="Arial Unicode MS" w:cs="Times New Roman"/>
      <w:bCs/>
      <w:sz w:val="30"/>
      <w:szCs w:val="32"/>
    </w:rPr>
  </w:style>
  <w:style w:type="table" w:customStyle="1" w:styleId="47">
    <w:name w:val="网格型3"/>
    <w:basedOn w:val="1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laceholder Text"/>
    <w:basedOn w:val="18"/>
    <w:semiHidden/>
    <w:qFormat/>
    <w:uiPriority w:val="99"/>
    <w:rPr>
      <w:color w:val="808080"/>
    </w:rPr>
  </w:style>
  <w:style w:type="table" w:customStyle="1" w:styleId="49">
    <w:name w:val="Table Grid1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">
    <w:name w:val="Heading 5 Char"/>
    <w:basedOn w:val="18"/>
    <w:link w:val="5"/>
    <w:semiHidden/>
    <w:qFormat/>
    <w:uiPriority w:val="9"/>
    <w:rPr>
      <w:rFonts w:ascii="CG Times (WN)" w:hAnsi="CG Times (WN)" w:eastAsia="宋体" w:cs="Times New Roman"/>
      <w:b/>
      <w:bCs/>
      <w:sz w:val="28"/>
      <w:szCs w:val="28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2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787</Words>
  <Characters>4487</Characters>
  <Lines>37</Lines>
  <Paragraphs>10</Paragraphs>
  <TotalTime>1</TotalTime>
  <ScaleCrop>false</ScaleCrop>
  <LinksUpToDate>false</LinksUpToDate>
  <CharactersWithSpaces>5264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:creator>cmcc</dc:creator>
  <cp:lastModifiedBy>cmcc-chunxia Guo</cp:lastModifiedBy>
  <dcterms:modified xsi:type="dcterms:W3CDTF">2023-11-03T03:31:56Z</dcterms:modified>
  <cp:revision>181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