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24E2">
        <w:fldChar w:fldCharType="begin"/>
      </w:r>
      <w:r w:rsidR="00AB24E2">
        <w:instrText xml:space="preserve"> DOCPROPERTY  TSG/WGRef  \* MERGEFORMAT </w:instrText>
      </w:r>
      <w:r w:rsidR="00AB24E2">
        <w:fldChar w:fldCharType="separate"/>
      </w:r>
      <w:r w:rsidR="003609EF">
        <w:rPr>
          <w:b/>
          <w:noProof/>
          <w:sz w:val="24"/>
        </w:rPr>
        <w:t>RAN4</w:t>
      </w:r>
      <w:r w:rsidR="00AB24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B24E2">
        <w:fldChar w:fldCharType="begin"/>
      </w:r>
      <w:r w:rsidR="00AB24E2">
        <w:instrText xml:space="preserve"> DOCPROPERTY  MtgSeq  \* MERGEFORMAT </w:instrText>
      </w:r>
      <w:r w:rsidR="00AB24E2">
        <w:fldChar w:fldCharType="separate"/>
      </w:r>
      <w:r w:rsidR="00EB09B7" w:rsidRPr="00EB09B7">
        <w:rPr>
          <w:b/>
          <w:noProof/>
          <w:sz w:val="24"/>
        </w:rPr>
        <w:t>109</w:t>
      </w:r>
      <w:r w:rsidR="00AB24E2">
        <w:rPr>
          <w:b/>
          <w:noProof/>
          <w:sz w:val="24"/>
        </w:rPr>
        <w:fldChar w:fldCharType="end"/>
      </w:r>
      <w:r w:rsidR="00AB24E2">
        <w:fldChar w:fldCharType="begin"/>
      </w:r>
      <w:r w:rsidR="00AB24E2">
        <w:instrText xml:space="preserve"> DOCPROPERTY  MtgTitle  \* MERGEFORMAT </w:instrText>
      </w:r>
      <w:r w:rsidR="00AB24E2">
        <w:fldChar w:fldCharType="separate"/>
      </w:r>
      <w:r w:rsidR="00AB24E2">
        <w:fldChar w:fldCharType="end"/>
      </w:r>
      <w:r>
        <w:rPr>
          <w:b/>
          <w:i/>
          <w:noProof/>
          <w:sz w:val="28"/>
        </w:rPr>
        <w:tab/>
      </w:r>
      <w:r w:rsidR="00AB24E2">
        <w:fldChar w:fldCharType="begin"/>
      </w:r>
      <w:r w:rsidR="00AB24E2">
        <w:instrText xml:space="preserve"> DOCPROPERTY  Tdoc#  \* MERGEFORMAT </w:instrText>
      </w:r>
      <w:r w:rsidR="00AB24E2">
        <w:fldChar w:fldCharType="separate"/>
      </w:r>
      <w:r w:rsidR="00E13F3D" w:rsidRPr="00E13F3D">
        <w:rPr>
          <w:b/>
          <w:i/>
          <w:noProof/>
          <w:sz w:val="28"/>
        </w:rPr>
        <w:t>R4-2318542</w:t>
      </w:r>
      <w:r w:rsidR="00AB24E2">
        <w:rPr>
          <w:b/>
          <w:i/>
          <w:noProof/>
          <w:sz w:val="28"/>
        </w:rPr>
        <w:fldChar w:fldCharType="end"/>
      </w:r>
    </w:p>
    <w:p w14:paraId="7CB45193" w14:textId="77777777" w:rsidR="001E41F3" w:rsidRDefault="00AB24E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B24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38.852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B24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B24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B2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7EF95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7AF697" w:rsidR="00F25D98" w:rsidRDefault="008749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B24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TR 38.852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B24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Union Inter. Chemins de Fer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AB24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B24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NR_RAIL_EU_1900MHz_TDD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B24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B2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B24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98FF0B" w:rsidR="001E41F3" w:rsidRDefault="000E3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reference to uncoordinated deployment of </w:t>
            </w:r>
            <w:r w:rsidR="008E7D85">
              <w:rPr>
                <w:noProof/>
              </w:rPr>
              <w:t>RMR BS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6B1D9A" w:rsidR="001E41F3" w:rsidRDefault="00822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  <w:r w:rsidR="005E5C72">
              <w:rPr>
                <w:rFonts w:ascii="Calibri" w:hAnsi="Calibri" w:cs="Calibri"/>
                <w:sz w:val="22"/>
                <w:szCs w:val="22"/>
              </w:rPr>
              <w:t>n case of implementation of a coordination procedure or other mitigation measures it is possible to deploy higher e.i.r.p. for RMR BS than stated in the technical conditions in ECC Decision (20)02 Annex 2 and 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1A9B27" w:rsidR="001E41F3" w:rsidRDefault="00F54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limitation of m</w:t>
            </w:r>
            <w:r w:rsidR="007B7CBB">
              <w:rPr>
                <w:noProof/>
              </w:rPr>
              <w:t>aximum</w:t>
            </w:r>
            <w:r w:rsidR="00043CB2">
              <w:rPr>
                <w:noProof/>
              </w:rPr>
              <w:t xml:space="preserve"> RMR</w:t>
            </w:r>
            <w:r w:rsidR="007B7CBB">
              <w:rPr>
                <w:noProof/>
              </w:rPr>
              <w:t xml:space="preserve"> BS conducted output power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AF0BB3" w:rsidR="001E41F3" w:rsidRDefault="00F45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B53B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6414A">
              <w:rPr>
                <w:noProof/>
              </w:rPr>
              <w:t>38.104</w:t>
            </w:r>
            <w:r>
              <w:rPr>
                <w:noProof/>
              </w:rPr>
              <w:t xml:space="preserve"> CR </w:t>
            </w:r>
            <w:r w:rsidR="002F502D">
              <w:rPr>
                <w:noProof/>
              </w:rPr>
              <w:t>R4-2318562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042A5D" w:rsidR="001E41F3" w:rsidRDefault="006B3C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6B576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027FF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E5F80">
              <w:rPr>
                <w:noProof/>
              </w:rPr>
              <w:t>38.141-1</w:t>
            </w:r>
            <w:r>
              <w:rPr>
                <w:noProof/>
              </w:rPr>
              <w:t xml:space="preserve"> CR </w:t>
            </w:r>
            <w:r w:rsidR="00C85F4F">
              <w:rPr>
                <w:noProof/>
              </w:rPr>
              <w:t>R4 23-18563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46E57C" w:rsidR="001E41F3" w:rsidRDefault="00F45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8610D1E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6C99F" w14:textId="77777777" w:rsidR="005F180F" w:rsidRPr="00627236" w:rsidRDefault="005F180F" w:rsidP="005F180F">
      <w:pPr>
        <w:pStyle w:val="Title"/>
        <w:jc w:val="left"/>
        <w:rPr>
          <w:lang w:eastAsia="zh-CN"/>
        </w:rPr>
      </w:pPr>
      <w:r w:rsidRPr="006D53EE">
        <w:rPr>
          <w:rFonts w:ascii="Arial" w:hAnsi="Arial" w:cs="Arial"/>
          <w:b w:val="0"/>
          <w:i/>
          <w:color w:val="FF0000"/>
        </w:rPr>
        <w:lastRenderedPageBreak/>
        <w:t>&lt;</w:t>
      </w:r>
      <w:r w:rsidRPr="006D53EE">
        <w:rPr>
          <w:rFonts w:ascii="Arial" w:hAnsi="Arial" w:cs="Arial"/>
          <w:b w:val="0"/>
          <w:i/>
          <w:color w:val="FF0000"/>
          <w:lang w:eastAsia="zh-CN"/>
        </w:rPr>
        <w:t>Start</w:t>
      </w:r>
      <w:r w:rsidRPr="006D53EE">
        <w:rPr>
          <w:rFonts w:ascii="Arial" w:hAnsi="Arial" w:cs="Arial"/>
          <w:b w:val="0"/>
          <w:i/>
          <w:color w:val="FF0000"/>
        </w:rPr>
        <w:t xml:space="preserve"> of Change&gt;</w:t>
      </w:r>
    </w:p>
    <w:p w14:paraId="20A1893E" w14:textId="77777777" w:rsidR="005F180F" w:rsidRDefault="005F180F" w:rsidP="005F180F">
      <w:pPr>
        <w:pStyle w:val="TH"/>
        <w:jc w:val="left"/>
      </w:pPr>
    </w:p>
    <w:p w14:paraId="2624B6AD" w14:textId="77777777" w:rsidR="005C7D70" w:rsidRDefault="005C7D70" w:rsidP="005C7D70">
      <w:pPr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</w:rPr>
        <w:t>9              Deployment aspects</w:t>
      </w:r>
    </w:p>
    <w:p w14:paraId="6980D686" w14:textId="6C4354C3" w:rsidR="005C7D70" w:rsidRDefault="005C7D70" w:rsidP="005C7D7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In general, network deployment aspects are out of scope of the RAN4 work. </w:t>
      </w:r>
    </w:p>
    <w:p w14:paraId="0EB2BE0E" w14:textId="1EF7DCFD" w:rsidR="005C7D70" w:rsidRDefault="005C7D70" w:rsidP="005C7D7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In accordance with ECC Decision (20)02 Decides 4 [1], in case of implementation of a coordination procedure or other mitigation measures it is possible to deploy higher e.i.r.p. for RMR BS than stated in the technical conditions in ECC Decision (20)02 Annex 2 and 3 [1]. </w:t>
      </w:r>
      <w:r w:rsidR="00AB24E2">
        <w:rPr>
          <w:rFonts w:ascii="Calibri" w:hAnsi="Calibri" w:cs="Calibri"/>
          <w:sz w:val="22"/>
          <w:szCs w:val="22"/>
        </w:rPr>
        <w:t xml:space="preserve">Hence the TS 38.104 </w:t>
      </w:r>
      <w:r w:rsidR="00AB24E2" w:rsidRPr="00B1003B">
        <w:rPr>
          <w:rFonts w:ascii="Calibri" w:hAnsi="Calibri" w:cs="Calibri"/>
          <w:sz w:val="22"/>
          <w:szCs w:val="22"/>
        </w:rPr>
        <w:t xml:space="preserve">Table 6.2.1-1: BS type 1-C rated output power </w:t>
      </w:r>
      <w:r w:rsidR="00AB24E2">
        <w:rPr>
          <w:rFonts w:ascii="Calibri" w:hAnsi="Calibri" w:cs="Calibri"/>
          <w:sz w:val="22"/>
          <w:szCs w:val="22"/>
        </w:rPr>
        <w:t xml:space="preserve">limits should apply to RMR BS in band </w:t>
      </w:r>
      <w:r>
        <w:rPr>
          <w:rFonts w:ascii="Calibri" w:hAnsi="Calibri" w:cs="Calibri"/>
          <w:sz w:val="22"/>
          <w:szCs w:val="22"/>
        </w:rPr>
        <w:t>n101.</w:t>
      </w:r>
    </w:p>
    <w:p w14:paraId="21CD6023" w14:textId="25EACF05" w:rsidR="00F4228F" w:rsidRDefault="00F4228F" w:rsidP="005C7D7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use of spectrum and its related conditions, e.g., </w:t>
      </w:r>
      <w:r w:rsidR="005A4C78">
        <w:rPr>
          <w:rFonts w:ascii="Calibri" w:hAnsi="Calibri" w:cs="Calibri"/>
          <w:sz w:val="22"/>
          <w:szCs w:val="22"/>
        </w:rPr>
        <w:t>e.i.r.p.</w:t>
      </w:r>
      <w:r>
        <w:rPr>
          <w:rFonts w:ascii="Calibri" w:hAnsi="Calibri" w:cs="Calibri"/>
          <w:sz w:val="22"/>
          <w:szCs w:val="22"/>
        </w:rPr>
        <w:t xml:space="preserve">, in accordance to ECC Decision (20)02 </w:t>
      </w:r>
      <w:r w:rsidR="00764894">
        <w:rPr>
          <w:rFonts w:ascii="Calibri" w:hAnsi="Calibri" w:cs="Calibri"/>
          <w:sz w:val="22"/>
          <w:szCs w:val="22"/>
        </w:rPr>
        <w:t>Annex 2 and 3</w:t>
      </w:r>
      <w:r>
        <w:rPr>
          <w:rFonts w:ascii="Calibri" w:hAnsi="Calibri" w:cs="Calibri"/>
          <w:sz w:val="22"/>
          <w:szCs w:val="22"/>
        </w:rPr>
        <w:t xml:space="preserve"> [1], are in the responsibility of national regulation and coordination among involved parties.</w:t>
      </w:r>
    </w:p>
    <w:p w14:paraId="20C377C4" w14:textId="77777777" w:rsidR="005F180F" w:rsidRPr="00A1115A" w:rsidRDefault="005F180F" w:rsidP="005F180F"/>
    <w:p w14:paraId="05D66A15" w14:textId="77777777" w:rsidR="005F180F" w:rsidRDefault="005F180F" w:rsidP="005F180F">
      <w:pPr>
        <w:pStyle w:val="Title"/>
        <w:jc w:val="left"/>
        <w:rPr>
          <w:rFonts w:ascii="Arial" w:hAnsi="Arial" w:cs="Arial"/>
          <w:b w:val="0"/>
          <w:i/>
          <w:color w:val="FF0000"/>
          <w:lang w:eastAsia="zh-CN"/>
        </w:rPr>
      </w:pPr>
      <w:r w:rsidRPr="00F52E98">
        <w:rPr>
          <w:rFonts w:ascii="Arial" w:hAnsi="Arial" w:cs="Arial"/>
          <w:b w:val="0"/>
          <w:i/>
          <w:color w:val="FF0000"/>
        </w:rPr>
        <w:t>&lt;</w:t>
      </w:r>
      <w:r w:rsidRPr="00F52E98">
        <w:rPr>
          <w:rFonts w:ascii="Arial" w:hAnsi="Arial" w:cs="Arial"/>
          <w:b w:val="0"/>
          <w:i/>
          <w:color w:val="FF0000"/>
          <w:lang w:eastAsia="zh-CN"/>
        </w:rPr>
        <w:t xml:space="preserve">End </w:t>
      </w:r>
      <w:r w:rsidRPr="00F52E98">
        <w:rPr>
          <w:rFonts w:ascii="Arial" w:hAnsi="Arial" w:cs="Arial"/>
          <w:b w:val="0"/>
          <w:i/>
          <w:color w:val="FF0000"/>
        </w:rPr>
        <w:t>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06F85" w14:textId="77777777" w:rsidR="007C450E" w:rsidRDefault="007C450E">
      <w:r>
        <w:separator/>
      </w:r>
    </w:p>
  </w:endnote>
  <w:endnote w:type="continuationSeparator" w:id="0">
    <w:p w14:paraId="61BCC9AD" w14:textId="77777777" w:rsidR="007C450E" w:rsidRDefault="007C4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575C0" w14:textId="77777777" w:rsidR="007C450E" w:rsidRDefault="007C450E">
      <w:r>
        <w:separator/>
      </w:r>
    </w:p>
  </w:footnote>
  <w:footnote w:type="continuationSeparator" w:id="0">
    <w:p w14:paraId="04E7202B" w14:textId="77777777" w:rsidR="007C450E" w:rsidRDefault="007C4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5EF"/>
    <w:rsid w:val="00043CB2"/>
    <w:rsid w:val="000A6394"/>
    <w:rsid w:val="000B7FED"/>
    <w:rsid w:val="000C038A"/>
    <w:rsid w:val="000C6598"/>
    <w:rsid w:val="000D44B3"/>
    <w:rsid w:val="000E3D33"/>
    <w:rsid w:val="00122CA6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502D"/>
    <w:rsid w:val="00305409"/>
    <w:rsid w:val="00332925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4C78"/>
    <w:rsid w:val="005C7D70"/>
    <w:rsid w:val="005E2C44"/>
    <w:rsid w:val="005E5C72"/>
    <w:rsid w:val="005F180F"/>
    <w:rsid w:val="00621188"/>
    <w:rsid w:val="006257ED"/>
    <w:rsid w:val="006611A7"/>
    <w:rsid w:val="00665C47"/>
    <w:rsid w:val="00695808"/>
    <w:rsid w:val="006B3C77"/>
    <w:rsid w:val="006B46FB"/>
    <w:rsid w:val="006E21FB"/>
    <w:rsid w:val="007176FF"/>
    <w:rsid w:val="00764894"/>
    <w:rsid w:val="00792342"/>
    <w:rsid w:val="007977A8"/>
    <w:rsid w:val="007B512A"/>
    <w:rsid w:val="007B7CBB"/>
    <w:rsid w:val="007C2097"/>
    <w:rsid w:val="007C450E"/>
    <w:rsid w:val="007D6A07"/>
    <w:rsid w:val="007F7259"/>
    <w:rsid w:val="008040A8"/>
    <w:rsid w:val="008229FD"/>
    <w:rsid w:val="008279FA"/>
    <w:rsid w:val="008626E7"/>
    <w:rsid w:val="00870EE7"/>
    <w:rsid w:val="008749C0"/>
    <w:rsid w:val="008863B9"/>
    <w:rsid w:val="008A45A6"/>
    <w:rsid w:val="008E7D8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4E2"/>
    <w:rsid w:val="00AC5820"/>
    <w:rsid w:val="00AD1CD8"/>
    <w:rsid w:val="00B258BB"/>
    <w:rsid w:val="00B67B97"/>
    <w:rsid w:val="00B968C8"/>
    <w:rsid w:val="00BA0B40"/>
    <w:rsid w:val="00BA3EC5"/>
    <w:rsid w:val="00BA51D9"/>
    <w:rsid w:val="00BB5DFC"/>
    <w:rsid w:val="00BD279D"/>
    <w:rsid w:val="00BD6BB8"/>
    <w:rsid w:val="00BE5F80"/>
    <w:rsid w:val="00C6414A"/>
    <w:rsid w:val="00C66BA2"/>
    <w:rsid w:val="00C85F4F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228F"/>
    <w:rsid w:val="00F45900"/>
    <w:rsid w:val="00F544A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uiPriority w:val="99"/>
    <w:qFormat/>
    <w:rsid w:val="005F18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F180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180F"/>
    <w:rPr>
      <w:rFonts w:ascii="Arial" w:hAnsi="Arial"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5F180F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F180F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5F180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locked/>
    <w:rsid w:val="005F180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4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375</Words>
  <Characters>3083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Martens, Dick</cp:lastModifiedBy>
  <cp:revision>26</cp:revision>
  <cp:lastPrinted>1899-12-31T23:00:00Z</cp:lastPrinted>
  <dcterms:created xsi:type="dcterms:W3CDTF">2023-11-02T13:23:00Z</dcterms:created>
  <dcterms:modified xsi:type="dcterms:W3CDTF">2023-11-02T15:12:00Z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R4-2318542</vt:lpwstr>
  </property>
  <property fmtid="{D5CDD505-2E9C-101B-9397-08002B2CF9AE}" pid="10" name="Spec#">
    <vt:lpwstr>38.852</vt:lpwstr>
  </property>
  <property fmtid="{D5CDD505-2E9C-101B-9397-08002B2CF9AE}" pid="11" name="Cr#">
    <vt:lpwstr>0005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TR 38.852</vt:lpwstr>
  </property>
  <property fmtid="{D5CDD505-2E9C-101B-9397-08002B2CF9AE}" pid="15" name="SourceIfWg">
    <vt:lpwstr>Union Inter. Chemins de Fer</vt:lpwstr>
  </property>
  <property fmtid="{D5CDD505-2E9C-101B-9397-08002B2CF9AE}" pid="16" name="SourceIfTsg">
    <vt:lpwstr/>
  </property>
  <property fmtid="{D5CDD505-2E9C-101B-9397-08002B2CF9AE}" pid="17" name="RelatedWis">
    <vt:lpwstr>NR_RAIL_EU_1900MHz_TDD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Rel-17</vt:lpwstr>
  </property>
</Properties>
</file>