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10</w:t>
      </w:r>
      <w:r>
        <w:rPr>
          <w:rFonts w:hint="eastAsia" w:ascii="Arial" w:hAnsi="Arial" w:eastAsia="宋体" w:cs="Arial"/>
          <w:b/>
          <w:lang w:val="en-US" w:eastAsia="zh-CN"/>
        </w:rPr>
        <w:t>8</w:t>
      </w:r>
      <w:r>
        <w:rPr>
          <w:rFonts w:hint="eastAsia" w:ascii="Arial" w:hAnsi="Arial" w:eastAsia="宋体" w:cs="Arial"/>
          <w:b/>
          <w:bCs/>
          <w:lang w:val="en-US" w:eastAsia="zh-CN"/>
        </w:rPr>
        <w:t>bis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  <w:highlight w:val="none"/>
        </w:rPr>
        <w:t>R4-</w:t>
      </w:r>
      <w:bookmarkEnd w:id="0"/>
      <w:r>
        <w:rPr>
          <w:rFonts w:ascii="Arial" w:hAnsi="Arial" w:cs="Arial"/>
          <w:b/>
          <w:bCs/>
          <w:highlight w:val="none"/>
        </w:rPr>
        <w:t>23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16991</w:t>
      </w:r>
    </w:p>
    <w:p>
      <w:pPr>
        <w:spacing w:after="120"/>
        <w:ind w:left="1985" w:hanging="1985"/>
        <w:rPr>
          <w:rFonts w:hint="eastAsia" w:ascii="Arial" w:hAnsi="Arial" w:cs="Arial" w:eastAsiaTheme="minorEastAsia"/>
          <w:b/>
          <w:sz w:val="24"/>
          <w:szCs w:val="24"/>
          <w:lang w:eastAsia="zh-CN"/>
        </w:rPr>
      </w:pP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Xiamen, China, October 09 - October 13, 2023</w:t>
      </w:r>
    </w:p>
    <w:p>
      <w:pPr>
        <w:spacing w:after="120"/>
        <w:ind w:left="1985" w:hanging="1985"/>
        <w:rPr>
          <w:rFonts w:hint="eastAsia" w:ascii="Arial" w:hAnsi="Arial" w:cs="Arial" w:eastAsiaTheme="minorEastAsia"/>
          <w:b/>
          <w:sz w:val="24"/>
          <w:szCs w:val="24"/>
          <w:lang w:eastAsia="zh-CN"/>
        </w:rPr>
      </w:pPr>
    </w:p>
    <w:p>
      <w:pPr>
        <w:tabs>
          <w:tab w:val="left" w:pos="1770"/>
          <w:tab w:val="center" w:pos="4557"/>
        </w:tabs>
        <w:spacing w:after="180"/>
        <w:rPr>
          <w:rFonts w:hint="default" w:ascii="Arial" w:hAnsi="Arial" w:eastAsia="宋体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sz w:val="22"/>
          <w:highlight w:val="none"/>
          <w:lang w:val="en-US" w:eastAsia="zh-CN"/>
        </w:rPr>
        <w:t>WF on NR_ATG_Demod</w:t>
      </w:r>
    </w:p>
    <w:p>
      <w:pPr>
        <w:tabs>
          <w:tab w:val="left" w:pos="1770"/>
          <w:tab w:val="center" w:pos="4557"/>
        </w:tabs>
        <w:spacing w:after="180"/>
        <w:rPr>
          <w:rFonts w:hint="eastAsia" w:ascii="Arial" w:hAnsi="Arial" w:eastAsia="宋体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sz w:val="22"/>
          <w:lang w:val="en-US" w:eastAsia="zh-CN"/>
        </w:rPr>
        <w:t>5</w:t>
      </w:r>
      <w:r>
        <w:rPr>
          <w:rFonts w:ascii="Arial" w:hAnsi="Arial" w:cs="Arial"/>
          <w:sz w:val="22"/>
        </w:rPr>
        <w:t>.1</w:t>
      </w:r>
      <w:r>
        <w:rPr>
          <w:rFonts w:hint="eastAsia" w:ascii="Arial" w:hAnsi="Arial" w:eastAsia="宋体" w:cs="Arial"/>
          <w:sz w:val="22"/>
          <w:lang w:val="en-US" w:eastAsia="zh-CN"/>
        </w:rPr>
        <w:t>3</w:t>
      </w:r>
      <w:r>
        <w:rPr>
          <w:rFonts w:ascii="Arial" w:hAnsi="Arial" w:cs="Arial"/>
          <w:sz w:val="22"/>
        </w:rPr>
        <w:t>.</w:t>
      </w:r>
      <w:r>
        <w:rPr>
          <w:rFonts w:hint="eastAsia" w:ascii="Arial" w:hAnsi="Arial" w:eastAsia="宋体" w:cs="Arial"/>
          <w:sz w:val="22"/>
          <w:lang w:val="en-US" w:eastAsia="zh-CN"/>
        </w:rPr>
        <w:t>8</w:t>
      </w:r>
    </w:p>
    <w:p>
      <w:pPr>
        <w:tabs>
          <w:tab w:val="left" w:pos="1765"/>
        </w:tabs>
        <w:spacing w:after="180"/>
        <w:rPr>
          <w:rFonts w:ascii="Arial" w:hAnsi="Arial" w:cs="Arial" w:eastAsiaTheme="minorEastAsia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bookmarkStart w:id="1" w:name="_Hlk41145958"/>
      <w:r>
        <w:rPr>
          <w:rFonts w:ascii="Arial" w:hAnsi="Arial" w:cs="Arial"/>
          <w:sz w:val="22"/>
        </w:rPr>
        <w:t>CMCC</w:t>
      </w:r>
      <w:bookmarkEnd w:id="1"/>
      <w:bookmarkStart w:id="2" w:name="OLE_LINK8"/>
      <w:bookmarkStart w:id="3" w:name="OLE_LINK7"/>
    </w:p>
    <w:bookmarkEnd w:id="2"/>
    <w:bookmarkEnd w:id="3"/>
    <w:p>
      <w:pPr>
        <w:tabs>
          <w:tab w:val="left" w:pos="1765"/>
        </w:tabs>
        <w:spacing w:after="180"/>
        <w:rPr>
          <w:rFonts w:hint="default"/>
          <w:lang w:val="en-US"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Approval</w:t>
      </w:r>
      <w:bookmarkStart w:id="4" w:name="OLE_LINK2"/>
      <w:bookmarkStart w:id="5" w:name="_Hlk70326378"/>
      <w:bookmarkStart w:id="6" w:name="OLE_LINK1"/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cs="Arial"/>
          <w:b w:val="0"/>
          <w:bCs w:val="0"/>
          <w:kern w:val="0"/>
          <w:sz w:val="28"/>
          <w:szCs w:val="28"/>
        </w:rPr>
      </w:pPr>
      <w:r>
        <w:rPr>
          <w:rFonts w:hint="eastAsia" w:eastAsia="宋体" w:cs="Arial"/>
          <w:b w:val="0"/>
          <w:bCs w:val="0"/>
          <w:kern w:val="0"/>
          <w:sz w:val="28"/>
          <w:szCs w:val="28"/>
          <w:lang w:val="en-US" w:eastAsia="zh-CN"/>
        </w:rPr>
        <w:t xml:space="preserve">General </w:t>
      </w:r>
    </w:p>
    <w:p>
      <w:pPr>
        <w:rPr>
          <w:b/>
          <w:sz w:val="20"/>
          <w:szCs w:val="20"/>
          <w:u w:val="single"/>
          <w:lang w:eastAsia="zh-CN"/>
        </w:rPr>
      </w:pPr>
      <w:r>
        <w:rPr>
          <w:b/>
          <w:sz w:val="20"/>
          <w:szCs w:val="20"/>
          <w:u w:val="single"/>
          <w:lang w:eastAsia="ko-KR"/>
        </w:rPr>
        <w:t xml:space="preserve">Issue 1-1: 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TDD pattern</w:t>
      </w:r>
      <w:bookmarkStart w:id="8" w:name="_GoBack"/>
      <w:bookmarkEnd w:id="8"/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 xml:space="preserve">For new incremental ATG PDSCH, introduce test cases of new TDD pattern configuration 30D4S6U. 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PDSCH requirements are optional based on UE capability.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FFS</w:t>
      </w:r>
      <w:r>
        <w:rPr>
          <w:rFonts w:hint="eastAsia" w:eastAsia="宋体" w:cs="Times New Roman"/>
          <w:color w:val="auto"/>
          <w:sz w:val="20"/>
          <w:szCs w:val="20"/>
          <w:highlight w:val="none"/>
          <w:lang w:val="en-US" w:eastAsia="zh-CN"/>
        </w:rPr>
        <w:t xml:space="preserve"> on how to intr</w:t>
      </w: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oduce new TDD pattern configuration 30D4S6U in ATG PUSCH requirements.</w:t>
      </w:r>
    </w:p>
    <w:p>
      <w:pPr>
        <w:spacing w:after="120"/>
        <w:ind w:left="1080"/>
        <w:rPr>
          <w:szCs w:val="24"/>
          <w:lang w:eastAsia="zh-CN"/>
        </w:rPr>
      </w:pPr>
    </w:p>
    <w:p>
      <w:pPr>
        <w:rPr>
          <w:b/>
          <w:sz w:val="20"/>
          <w:szCs w:val="20"/>
          <w:u w:val="single"/>
          <w:lang w:eastAsia="ko-KR"/>
        </w:rPr>
      </w:pPr>
      <w:r>
        <w:rPr>
          <w:b/>
          <w:sz w:val="20"/>
          <w:szCs w:val="20"/>
          <w:u w:val="single"/>
          <w:lang w:eastAsia="ko-KR"/>
        </w:rPr>
        <w:t>Issue 1-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2</w:t>
      </w:r>
      <w:r>
        <w:rPr>
          <w:b/>
          <w:sz w:val="20"/>
          <w:szCs w:val="20"/>
          <w:u w:val="single"/>
          <w:lang w:eastAsia="ko-KR"/>
        </w:rPr>
        <w:t xml:space="preserve">: 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Applicability rule for TDD pattern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For PDSCH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Legacy TDD pattern can be skipped if the test of the case with the new TDD pattern is passed.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For PUSCH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Depending on outcome of issue 1-1.</w:t>
      </w:r>
    </w:p>
    <w:p>
      <w:pPr>
        <w:spacing w:after="120"/>
        <w:ind w:left="2016"/>
        <w:rPr>
          <w:szCs w:val="24"/>
          <w:lang w:eastAsia="zh-CN"/>
        </w:rPr>
      </w:pPr>
    </w:p>
    <w:p>
      <w:pPr>
        <w:rPr>
          <w:b/>
          <w:sz w:val="20"/>
          <w:szCs w:val="20"/>
          <w:u w:val="single"/>
          <w:lang w:val="en-US" w:eastAsia="ko-KR"/>
        </w:rPr>
      </w:pPr>
      <w:r>
        <w:rPr>
          <w:b/>
          <w:sz w:val="20"/>
          <w:szCs w:val="20"/>
          <w:u w:val="single"/>
          <w:lang w:eastAsia="ko-KR"/>
        </w:rPr>
        <w:t>Issue 1-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3</w:t>
      </w:r>
      <w:r>
        <w:rPr>
          <w:b/>
          <w:sz w:val="20"/>
          <w:szCs w:val="20"/>
          <w:u w:val="single"/>
          <w:lang w:eastAsia="ko-KR"/>
        </w:rPr>
        <w:t xml:space="preserve">: 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Specification impact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Consider the following as baseline for specification drafting: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 xml:space="preserve">Add applicability requirements for ATG UE in section 5.1.1 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For PDSCH, introduce a new section for ATG demodulation requirements.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 xml:space="preserve">For PDCCH, PBCH and CQI reporting, do not introduce new section for ATG demodulation requirements. 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New section for ATG new incremental PUSCH requirements should be introduced in 38.104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New section for ATG applicability of PUSCH requirements and [Applicability of requirements for TDD with different UL-DL patterns] should be introduced in 38.141-1 and 38.141-2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New section for ATG applicability of PUCCH requirements should be introduced in 38.141-1 and 38.141-2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New section for ATG applicability of PRACH requirements should be introduced in 38.141-1 and 38.141-2</w:t>
      </w:r>
    </w:p>
    <w:p>
      <w:pPr>
        <w:spacing w:after="120"/>
        <w:rPr>
          <w:rFonts w:eastAsiaTheme="minorEastAsia"/>
          <w:lang w:eastAsia="zh-CN"/>
        </w:rPr>
      </w:pPr>
    </w:p>
    <w:p>
      <w:pPr>
        <w:rPr>
          <w:b/>
          <w:sz w:val="20"/>
          <w:szCs w:val="20"/>
          <w:u w:val="single"/>
          <w:lang w:val="en-US" w:eastAsia="ko-KR"/>
        </w:rPr>
      </w:pPr>
      <w:r>
        <w:rPr>
          <w:b/>
          <w:sz w:val="20"/>
          <w:szCs w:val="20"/>
          <w:u w:val="single"/>
          <w:lang w:eastAsia="ko-KR"/>
        </w:rPr>
        <w:t>Issue 1-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4</w:t>
      </w:r>
      <w:r>
        <w:rPr>
          <w:b/>
          <w:sz w:val="20"/>
          <w:szCs w:val="20"/>
          <w:u w:val="single"/>
          <w:lang w:eastAsia="ko-KR"/>
        </w:rPr>
        <w:t xml:space="preserve">: 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Channel model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Option 1 T</w:t>
      </w:r>
      <w:r>
        <w:rPr>
          <w:rFonts w:hint="eastAsia" w:eastAsia="宋体" w:cs="Times New Roman"/>
          <w:sz w:val="20"/>
          <w:szCs w:val="20"/>
          <w:highlight w:val="none"/>
          <w:lang w:eastAsia="zh-CN"/>
        </w:rPr>
        <w:t>he values of the channel matrix used for demodulation requirements is the static channel defined in B.1 in TS 38.101-4</w:t>
      </w:r>
    </w:p>
    <w:p>
      <w:pPr>
        <w:rPr>
          <w:b/>
          <w:sz w:val="20"/>
          <w:szCs w:val="20"/>
          <w:highlight w:val="yellow"/>
          <w:u w:val="single"/>
          <w:lang w:eastAsia="ko-KR"/>
        </w:rPr>
      </w:pPr>
    </w:p>
    <w:bookmarkEnd w:id="4"/>
    <w:bookmarkEnd w:id="5"/>
    <w:bookmarkEnd w:id="6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240" w:after="18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>
        <w:rPr>
          <w:rFonts w:hint="eastAsia" w:eastAsia="宋体" w:cs="Arial"/>
          <w:b w:val="0"/>
          <w:bCs w:val="0"/>
          <w:kern w:val="0"/>
          <w:sz w:val="28"/>
          <w:szCs w:val="28"/>
          <w:lang w:val="en-US" w:eastAsia="zh-CN"/>
        </w:rPr>
        <w:t>UE demodulation</w:t>
      </w:r>
    </w:p>
    <w:p>
      <w:pPr>
        <w:rPr>
          <w:b/>
          <w:sz w:val="20"/>
          <w:szCs w:val="20"/>
          <w:u w:val="single"/>
          <w:lang w:val="en-US" w:eastAsia="zh-CN"/>
        </w:rPr>
      </w:pPr>
      <w:r>
        <w:rPr>
          <w:rFonts w:hint="eastAsia"/>
          <w:b/>
          <w:sz w:val="20"/>
          <w:szCs w:val="20"/>
          <w:u w:val="single"/>
          <w:lang w:val="en-US" w:eastAsia="zh-CN"/>
        </w:rPr>
        <w:t>Issue 2-1-1: Test scope for PDSCH</w:t>
      </w:r>
      <w:r>
        <w:rPr>
          <w:b/>
          <w:sz w:val="20"/>
          <w:szCs w:val="20"/>
          <w:u w:val="single"/>
          <w:lang w:val="en-US" w:eastAsia="zh-CN"/>
        </w:rPr>
        <w:t>: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For new incremental requirements: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 xml:space="preserve">introduces </w:t>
      </w:r>
      <w:r>
        <w:rPr>
          <w:rFonts w:hint="eastAsia" w:eastAsia="宋体" w:cs="Times New Roman"/>
          <w:sz w:val="20"/>
          <w:szCs w:val="20"/>
          <w:highlight w:val="none"/>
          <w:lang w:val="en-US" w:eastAsia="ja-JP"/>
        </w:rPr>
        <w:t>following test cases for new PDSCH requirements</w:t>
      </w: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6"/>
        <w:gridCol w:w="989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FDD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10 MHz 15kHz SCS</w:t>
            </w:r>
          </w:p>
        </w:tc>
        <w:tc>
          <w:tcPr>
            <w:tcW w:w="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2T2R, 2T4R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16QAM (MCS 13 in table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64QAM (MCS 22 in table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 xml:space="preserve">256QAM (MCS </w:t>
            </w:r>
            <w:r>
              <w:rPr>
                <w:rFonts w:hint="eastAsia" w:eastAsia="Yu Mincho"/>
                <w:bCs/>
                <w:sz w:val="20"/>
                <w:szCs w:val="20"/>
                <w:highlight w:val="none"/>
                <w:u w:val="single"/>
              </w:rPr>
              <w:t>24</w:t>
            </w: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 xml:space="preserve"> in table 2)</w:t>
            </w:r>
          </w:p>
        </w:tc>
      </w:tr>
    </w:tbl>
    <w:p>
      <w:pPr>
        <w:pStyle w:val="74"/>
        <w:ind w:left="720" w:firstLine="0" w:firstLineChars="0"/>
        <w:rPr>
          <w:sz w:val="20"/>
          <w:szCs w:val="20"/>
          <w:highlight w:val="green"/>
        </w:rPr>
      </w:pP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1"/>
        <w:gridCol w:w="1824"/>
        <w:gridCol w:w="1020"/>
        <w:gridCol w:w="3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8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TDD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hint="eastAsia"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40</w:t>
            </w: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MHz 30kHz SCS</w:t>
            </w:r>
          </w:p>
        </w:tc>
        <w:tc>
          <w:tcPr>
            <w:tcW w:w="18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7D1S2U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</w:rPr>
            </w:pPr>
            <w:r>
              <w:rPr>
                <w:rFonts w:hint="eastAsia" w:eastAsia="Yu Mincho"/>
                <w:bCs/>
                <w:sz w:val="20"/>
                <w:szCs w:val="20"/>
                <w:highlight w:val="none"/>
                <w:u w:val="single"/>
              </w:rPr>
              <w:t>&amp;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N</w:t>
            </w:r>
            <w:r>
              <w:rPr>
                <w:rFonts w:hint="eastAsia"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ew TDD pattern</w:t>
            </w: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 xml:space="preserve"> 30D4S6U</w:t>
            </w:r>
          </w:p>
        </w:tc>
        <w:tc>
          <w:tcPr>
            <w:tcW w:w="10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2T2R, 2T4R</w:t>
            </w:r>
          </w:p>
        </w:tc>
        <w:tc>
          <w:tcPr>
            <w:tcW w:w="3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16QAM (MCS 13 in table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18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10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3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64QAM (MCS 22 in table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18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10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3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 xml:space="preserve">256QAM (MCS </w:t>
            </w:r>
            <w:r>
              <w:rPr>
                <w:rFonts w:hint="eastAsia" w:eastAsia="Yu Mincho"/>
                <w:bCs/>
                <w:sz w:val="20"/>
                <w:szCs w:val="20"/>
                <w:highlight w:val="none"/>
                <w:u w:val="single"/>
              </w:rPr>
              <w:t>24</w:t>
            </w: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 xml:space="preserve"> in table 2)</w:t>
            </w:r>
          </w:p>
        </w:tc>
      </w:tr>
    </w:tbl>
    <w:p>
      <w:pPr>
        <w:rPr>
          <w:b/>
          <w:u w:val="single"/>
          <w:lang w:val="en-US" w:eastAsia="zh-CN"/>
        </w:rPr>
      </w:pPr>
    </w:p>
    <w:p>
      <w:pPr>
        <w:rPr>
          <w:rFonts w:hint="eastAsia"/>
          <w:b/>
          <w:sz w:val="20"/>
          <w:szCs w:val="20"/>
          <w:u w:val="single"/>
          <w:lang w:val="en-US" w:eastAsia="ko-KR"/>
        </w:rPr>
      </w:pPr>
      <w:r>
        <w:rPr>
          <w:rFonts w:hint="eastAsia"/>
          <w:b/>
          <w:sz w:val="20"/>
          <w:szCs w:val="20"/>
          <w:u w:val="single"/>
          <w:lang w:val="en-US" w:eastAsia="ko-KR"/>
        </w:rPr>
        <w:t>Issue 2-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1-2</w:t>
      </w:r>
      <w:r>
        <w:rPr>
          <w:rFonts w:hint="eastAsia"/>
          <w:b/>
          <w:sz w:val="20"/>
          <w:szCs w:val="20"/>
          <w:u w:val="single"/>
          <w:lang w:val="en-US" w:eastAsia="ko-KR"/>
        </w:rPr>
        <w:t>: Test scope for PDCCH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 xml:space="preserve">To consider legacy PDCCH requirements for ATG PDCCH requirements to cover all AL. 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The following test cases are for down-selection: (if necessary)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1T2R FDD: Test number 1, 3 and 5 in 5.3.2.1.1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2T2R FDD: Test number 3 in 5.3.2.1.2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1T2R TDD: All test cases in 5.3.2.2.1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2T2R TDD: All test cases in 5.3.2.2.2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1T4R FDD: Test number 1, 3 and 5 in 5.3.3.1.1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2T4R FDD: Test number 3 in 5.3.3.1.2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1T4R TDD: All test cases in 5.3.3.2.1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2T4R TDD: All test cases in 5.3.3.2.2</w:t>
      </w:r>
    </w:p>
    <w:p>
      <w:pPr>
        <w:pStyle w:val="74"/>
        <w:overflowPunct/>
        <w:autoSpaceDE/>
        <w:autoSpaceDN/>
        <w:adjustRightInd/>
        <w:spacing w:after="120"/>
        <w:ind w:left="1860" w:firstLine="0" w:firstLineChars="0"/>
        <w:textAlignment w:val="auto"/>
        <w:rPr>
          <w:rFonts w:eastAsia="宋体"/>
          <w:szCs w:val="24"/>
          <w:lang w:eastAsia="zh-CN"/>
        </w:rPr>
      </w:pPr>
    </w:p>
    <w:p>
      <w:pPr>
        <w:rPr>
          <w:rFonts w:hint="eastAsia"/>
          <w:b/>
          <w:sz w:val="20"/>
          <w:szCs w:val="20"/>
          <w:u w:val="single"/>
          <w:lang w:val="en-US" w:eastAsia="zh-CN"/>
        </w:rPr>
      </w:pPr>
      <w:r>
        <w:rPr>
          <w:rFonts w:hint="eastAsia"/>
          <w:b/>
          <w:sz w:val="20"/>
          <w:szCs w:val="20"/>
          <w:u w:val="single"/>
          <w:lang w:val="en-US" w:eastAsia="ko-KR"/>
        </w:rPr>
        <w:t>Issue 2-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1-3</w:t>
      </w:r>
      <w:r>
        <w:rPr>
          <w:rFonts w:hint="eastAsia"/>
          <w:b/>
          <w:sz w:val="20"/>
          <w:szCs w:val="20"/>
          <w:u w:val="single"/>
          <w:lang w:val="en-US" w:eastAsia="ko-KR"/>
        </w:rPr>
        <w:t>: Test scope for P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BCH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Legacy PBCH requirements are applicable for ATG UE.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No specification impact of PBCH requirements other than applicability for ATG UE</w:t>
      </w:r>
    </w:p>
    <w:p>
      <w:pPr>
        <w:pStyle w:val="74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szCs w:val="24"/>
          <w:lang w:val="en-US" w:eastAsia="zh-CN"/>
        </w:rPr>
      </w:pPr>
    </w:p>
    <w:p>
      <w:pPr>
        <w:rPr>
          <w:rFonts w:hint="eastAsia"/>
          <w:b/>
          <w:color w:val="auto"/>
          <w:sz w:val="20"/>
          <w:szCs w:val="20"/>
          <w:u w:val="single"/>
          <w:lang w:val="en-US" w:eastAsia="ko-KR"/>
        </w:rPr>
      </w:pPr>
      <w:r>
        <w:rPr>
          <w:rFonts w:hint="eastAsia"/>
          <w:b/>
          <w:color w:val="auto"/>
          <w:sz w:val="20"/>
          <w:szCs w:val="20"/>
          <w:u w:val="single"/>
          <w:lang w:val="en-US" w:eastAsia="ko-KR"/>
        </w:rPr>
        <w:t>Issue 2-</w:t>
      </w:r>
      <w:r>
        <w:rPr>
          <w:rFonts w:hint="eastAsia"/>
          <w:b/>
          <w:color w:val="auto"/>
          <w:sz w:val="20"/>
          <w:szCs w:val="20"/>
          <w:u w:val="single"/>
          <w:lang w:val="en-US" w:eastAsia="zh-CN"/>
        </w:rPr>
        <w:t>1-4</w:t>
      </w:r>
      <w:r>
        <w:rPr>
          <w:rFonts w:hint="eastAsia"/>
          <w:b/>
          <w:color w:val="auto"/>
          <w:sz w:val="20"/>
          <w:szCs w:val="20"/>
          <w:u w:val="single"/>
          <w:lang w:val="en-US" w:eastAsia="ko-KR"/>
        </w:rPr>
        <w:t>: SDR test cases</w:t>
      </w:r>
    </w:p>
    <w:p>
      <w:pPr>
        <w:spacing w:after="60"/>
        <w:rPr>
          <w:rFonts w:hint="default" w:eastAsiaTheme="minorEastAsia"/>
          <w:b/>
          <w:bCs/>
          <w:iCs/>
          <w:color w:val="auto"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color w:val="auto"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highlight w:val="none"/>
          <w:lang w:val="en-US" w:eastAsia="zh-CN"/>
        </w:rPr>
        <w:t xml:space="preserve">Legacy SDR requirements of 1 MIMO layer are applicable for ATG UE with antenna configuration 1x2 and 1x4. </w:t>
      </w:r>
    </w:p>
    <w:p>
      <w:pPr>
        <w:pStyle w:val="74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szCs w:val="24"/>
          <w:lang w:val="en-US" w:eastAsia="zh-CN"/>
        </w:rPr>
      </w:pPr>
    </w:p>
    <w:p>
      <w:pPr>
        <w:rPr>
          <w:rFonts w:hint="eastAsia"/>
          <w:b/>
          <w:sz w:val="20"/>
          <w:szCs w:val="20"/>
          <w:u w:val="single"/>
          <w:lang w:val="en-US" w:eastAsia="ko-KR"/>
        </w:rPr>
      </w:pPr>
      <w:r>
        <w:rPr>
          <w:rFonts w:hint="eastAsia"/>
          <w:b/>
          <w:sz w:val="20"/>
          <w:szCs w:val="20"/>
          <w:u w:val="single"/>
          <w:lang w:val="en-US" w:eastAsia="ko-KR"/>
        </w:rPr>
        <w:t>Issue 2-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2-1</w:t>
      </w:r>
      <w:r>
        <w:rPr>
          <w:rFonts w:hint="eastAsia"/>
          <w:b/>
          <w:sz w:val="20"/>
          <w:szCs w:val="20"/>
          <w:u w:val="single"/>
          <w:lang w:val="en-US" w:eastAsia="ko-KR"/>
        </w:rPr>
        <w:t>: T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est scope for CSI reporting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Do not introduce PMI requirements for ATG UE</w:t>
      </w:r>
    </w:p>
    <w:p>
      <w:pPr>
        <w:rPr>
          <w:b/>
          <w:u w:val="single"/>
          <w:lang w:eastAsia="ko-KR"/>
        </w:rPr>
      </w:pPr>
    </w:p>
    <w:p>
      <w:pPr>
        <w:rPr>
          <w:rFonts w:hint="eastAsia"/>
          <w:b/>
          <w:sz w:val="20"/>
          <w:szCs w:val="20"/>
          <w:u w:val="single"/>
          <w:lang w:val="en-US" w:eastAsia="zh-CN"/>
        </w:rPr>
      </w:pPr>
      <w:r>
        <w:rPr>
          <w:rFonts w:hint="eastAsia"/>
          <w:b/>
          <w:sz w:val="20"/>
          <w:szCs w:val="20"/>
          <w:u w:val="single"/>
          <w:lang w:val="en-US" w:eastAsia="ko-KR"/>
        </w:rPr>
        <w:t>Issue 2-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3-1</w:t>
      </w:r>
      <w:r>
        <w:rPr>
          <w:rFonts w:hint="eastAsia"/>
          <w:b/>
          <w:sz w:val="20"/>
          <w:szCs w:val="20"/>
          <w:u w:val="single"/>
          <w:lang w:val="en-US" w:eastAsia="ko-KR"/>
        </w:rPr>
        <w:t xml:space="preserve">: 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Applicability rule for UE demodulation requirements</w:t>
      </w:r>
    </w:p>
    <w:p>
      <w:pPr>
        <w:spacing w:after="60"/>
        <w:rPr>
          <w:rFonts w:hint="eastAsia"/>
          <w:b/>
          <w:color w:val="auto"/>
          <w:sz w:val="20"/>
          <w:szCs w:val="20"/>
          <w:u w:val="single"/>
          <w:lang w:val="en-US" w:eastAsia="ko-KR"/>
        </w:rPr>
      </w:pPr>
      <w:r>
        <w:rPr>
          <w:rFonts w:hint="eastAsia" w:eastAsiaTheme="minorEastAsia"/>
          <w:b/>
          <w:bCs/>
          <w:iCs/>
          <w:color w:val="auto"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highlight w:val="none"/>
          <w:lang w:val="en-US" w:eastAsia="zh-CN"/>
        </w:rPr>
        <w:t>Directly check the CR in next meeting</w:t>
      </w:r>
    </w:p>
    <w:p>
      <w:pPr>
        <w:pStyle w:val="74"/>
        <w:numPr>
          <w:ilvl w:val="0"/>
          <w:numId w:val="0"/>
        </w:numPr>
        <w:spacing w:after="120"/>
        <w:rPr>
          <w:rFonts w:hint="eastAsia" w:eastAsia="宋体" w:cs="Times New Roman"/>
          <w:color w:val="ED7D31" w:themeColor="accent2"/>
          <w:sz w:val="20"/>
          <w:szCs w:val="20"/>
          <w:highlight w:val="none"/>
          <w:lang w:eastAsia="zh-CN"/>
        </w:rPr>
      </w:pP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240" w:after="18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>
        <w:rPr>
          <w:rFonts w:hint="eastAsia" w:eastAsia="宋体" w:cs="Arial"/>
          <w:b w:val="0"/>
          <w:bCs w:val="0"/>
          <w:kern w:val="0"/>
          <w:sz w:val="28"/>
          <w:szCs w:val="28"/>
          <w:lang w:val="en-US" w:eastAsia="zh-CN"/>
        </w:rPr>
        <w:t>BS demodulation</w:t>
      </w:r>
    </w:p>
    <w:p>
      <w:pPr>
        <w:rPr>
          <w:rFonts w:hint="eastAsia"/>
          <w:b/>
          <w:sz w:val="20"/>
          <w:szCs w:val="20"/>
          <w:u w:val="single"/>
          <w:lang w:val="en-US" w:eastAsia="zh-CN"/>
        </w:rPr>
      </w:pPr>
      <w:r>
        <w:rPr>
          <w:rFonts w:hint="eastAsia"/>
          <w:b/>
          <w:sz w:val="20"/>
          <w:szCs w:val="20"/>
          <w:u w:val="single"/>
          <w:lang w:val="en-US" w:eastAsia="ko-KR"/>
        </w:rPr>
        <w:t xml:space="preserve">Issue 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3</w:t>
      </w:r>
      <w:r>
        <w:rPr>
          <w:rFonts w:hint="eastAsia"/>
          <w:b/>
          <w:sz w:val="20"/>
          <w:szCs w:val="20"/>
          <w:u w:val="single"/>
          <w:lang w:val="en-US" w:eastAsia="ko-KR"/>
        </w:rPr>
        <w:t>-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1-1</w:t>
      </w:r>
      <w:r>
        <w:rPr>
          <w:rFonts w:hint="eastAsia"/>
          <w:b/>
          <w:sz w:val="20"/>
          <w:szCs w:val="20"/>
          <w:u w:val="single"/>
          <w:lang w:val="en-US" w:eastAsia="ko-KR"/>
        </w:rPr>
        <w:t xml:space="preserve">: Test 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Scope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Introduce new dedicated test cases for 64QAM MCS 28 and 256QAM MCS 22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If ATG BS declares support of 256QAM, new ATG test case for 256QAM is tested, new ATG test case for 64QAM is skipped, legacy 64QAM is tested.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Separate FDD and TDD test cases</w:t>
      </w:r>
    </w:p>
    <w:p>
      <w:pPr>
        <w:pStyle w:val="74"/>
        <w:numPr>
          <w:ilvl w:val="0"/>
          <w:numId w:val="0"/>
        </w:numPr>
        <w:spacing w:after="12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240" w:after="18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>
        <w:rPr>
          <w:rFonts w:hint="eastAsia" w:eastAsia="宋体" w:cs="Arial"/>
          <w:b w:val="0"/>
          <w:bCs w:val="0"/>
          <w:kern w:val="0"/>
          <w:sz w:val="28"/>
          <w:szCs w:val="28"/>
          <w:lang w:val="en-US" w:eastAsia="zh-CN"/>
        </w:rPr>
        <w:t>CR split</w:t>
      </w:r>
    </w:p>
    <w:tbl>
      <w:tblPr>
        <w:tblStyle w:val="1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61"/>
        <w:gridCol w:w="5982"/>
        <w:gridCol w:w="9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Spec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Section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Company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38101-4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pStyle w:val="17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9" w:lineRule="atLeast"/>
              <w:ind w:left="0" w:right="0"/>
              <w:rPr>
                <w:rFonts w:hint="default" w:ascii="Arial" w:hAnsi="Arial" w:cs="Arial"/>
              </w:rPr>
            </w:pPr>
            <w:bookmarkStart w:id="7" w:name="_Toc21338137"/>
            <w:r>
              <w:rPr>
                <w:rFonts w:hint="default" w:ascii="Arial" w:hAnsi="Arial" w:cs="Arial"/>
                <w:caps w:val="0"/>
                <w:spacing w:val="0"/>
                <w:u w:val="none"/>
              </w:rPr>
              <w:fldChar w:fldCharType="begin"/>
            </w:r>
            <w:r>
              <w:rPr>
                <w:rFonts w:hint="default" w:ascii="Arial" w:hAnsi="Arial" w:cs="Arial"/>
                <w:caps w:val="0"/>
                <w:spacing w:val="0"/>
                <w:u w:val="none"/>
              </w:rPr>
              <w:instrText xml:space="preserve"> HYPERLINK "C:/Users/cmcc/AppData/Roaming/Foxmail7/Temp-14180-20231009082229/null" \t "C:/Users/cmcc/AppData/Roaming/Foxmail7/Temp-14180-20231009082229/_blank" </w:instrText>
            </w:r>
            <w:r>
              <w:rPr>
                <w:rFonts w:hint="default" w:ascii="Arial" w:hAnsi="Arial" w:cs="Arial"/>
                <w:caps w:val="0"/>
                <w:spacing w:val="0"/>
                <w:u w:val="none"/>
              </w:rPr>
              <w:fldChar w:fldCharType="separate"/>
            </w:r>
            <w:r>
              <w:rPr>
                <w:rStyle w:val="22"/>
                <w:rFonts w:hint="default" w:ascii="Times New Roman" w:hAnsi="Times New Roman" w:cs="Times New Roman"/>
                <w:caps w:val="0"/>
                <w:color w:val="000000"/>
                <w:spacing w:val="0"/>
                <w:sz w:val="20"/>
                <w:szCs w:val="20"/>
                <w:u w:val="none"/>
              </w:rPr>
              <w:t>3.3</w:t>
            </w:r>
            <w:bookmarkEnd w:id="7"/>
            <w:r>
              <w:rPr>
                <w:rFonts w:hint="default" w:ascii="Arial" w:hAnsi="Arial" w:cs="Arial"/>
                <w:caps w:val="0"/>
                <w:spacing w:val="0"/>
                <w:u w:val="none"/>
              </w:rPr>
              <w:fldChar w:fldCharType="end"/>
            </w:r>
            <w:r>
              <w:rPr>
                <w:rFonts w:hint="default" w:ascii="Times New Roman" w:hAnsi="Times New Roman" w:cs="Times New Roman"/>
                <w:caps w:val="0"/>
                <w:color w:val="000000"/>
                <w:spacing w:val="0"/>
                <w:sz w:val="20"/>
                <w:szCs w:val="20"/>
              </w:rPr>
              <w:t> Abbreviations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5.1.1.x Applicability of requirements for ATG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default" w:ascii="Times New Roman" w:hAnsi="Times New Roman" w:eastAsia="Yu Mincho Light" w:cs="Times New Roman"/>
                <w:caps w:val="0"/>
                <w:color w:val="1F3864"/>
                <w:spacing w:val="0"/>
                <w:kern w:val="0"/>
                <w:sz w:val="20"/>
                <w:szCs w:val="20"/>
                <w:lang w:val="en-US" w:eastAsia="zh-CN" w:bidi="ar"/>
              </w:rPr>
              <w:t>QC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5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rPr>
                <w:rFonts w:hint="default" w:ascii="Arial" w:hAnsi="Arial" w:cs="Arial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5.2.2.1.x  FDD 2Rx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5.2.2.2.x  FDD 4Rx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5.2.3.1.x TDD 2Rx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5.2.3.2.x TDD 4Rx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default" w:ascii="Times New Roman" w:hAnsi="Times New Roman" w:eastAsia="Yu Mincho Light" w:cs="Times New Roman"/>
                <w:caps w:val="0"/>
                <w:spacing w:val="0"/>
                <w:kern w:val="0"/>
                <w:sz w:val="20"/>
                <w:szCs w:val="20"/>
                <w:lang w:val="en-US" w:eastAsia="zh-CN" w:bidi="ar"/>
              </w:rPr>
              <w:t>Huawei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rPr>
                <w:rFonts w:hint="default" w:ascii="Arial" w:hAnsi="Arial" w:cs="Arial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A.3.2.1.x RMC for FDD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A.3.2.1.x RMC for TDD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default" w:ascii="Times New Roman" w:hAnsi="Times New Roman" w:eastAsia="Yu Mincho Light" w:cs="Times New Roman"/>
                <w:caps w:val="0"/>
                <w:spacing w:val="0"/>
                <w:kern w:val="0"/>
                <w:sz w:val="20"/>
                <w:szCs w:val="20"/>
                <w:lang w:val="en-US" w:eastAsia="zh-CN" w:bidi="ar"/>
              </w:rPr>
              <w:t>Ericsson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38104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pStyle w:val="17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9" w:lineRule="atLeast"/>
              <w:ind w:left="0" w:right="0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cs="Times New Roman"/>
                <w:caps w:val="0"/>
                <w:color w:val="000000"/>
                <w:spacing w:val="0"/>
                <w:sz w:val="20"/>
                <w:szCs w:val="20"/>
              </w:rPr>
              <w:t>3.3 Abbreviations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4.6.1 Manufacturer declarations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  <w:lang w:val="en-US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Times New Roman" w:hAnsi="Times New Roman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CMCC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rPr>
                <w:rFonts w:hint="default" w:ascii="Arial" w:hAnsi="Arial" w:cs="Arial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8.2.x PUSCH requirements for ATG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11.2.1.x Requirements for PUSCH for ATG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A.x FRC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default" w:ascii="Times New Roman" w:hAnsi="Times New Roman" w:eastAsia="Yu Mincho Light" w:cs="Times New Roman"/>
                <w:caps w:val="0"/>
                <w:spacing w:val="0"/>
                <w:kern w:val="0"/>
                <w:sz w:val="20"/>
                <w:szCs w:val="20"/>
                <w:lang w:val="en-US" w:eastAsia="zh-CN" w:bidi="ar"/>
              </w:rPr>
              <w:t>Huawei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38.141-1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pStyle w:val="17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9" w:lineRule="atLeast"/>
              <w:ind w:left="0" w:right="0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cs="Times New Roman"/>
                <w:caps w:val="0"/>
                <w:color w:val="000000"/>
                <w:spacing w:val="0"/>
                <w:sz w:val="20"/>
                <w:szCs w:val="20"/>
              </w:rPr>
              <w:t>3.3 Abbreviations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8.1.2.x Applicability of PUSCH for ATG performance requirements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8.1.2.x Applicability of PUCCH for ATG performance requirements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8.1.2.x Applicability of PRACH for ATG performance requirements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 Samsung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rPr>
                <w:rFonts w:hint="default" w:ascii="Arial" w:hAnsi="Arial" w:cs="Arial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8.2.x Requirements for PUSCH for ATG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A.x FRC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default" w:ascii="Times New Roman" w:hAnsi="Times New Roman" w:eastAsia="Yu Mincho Light" w:cs="Times New Roman"/>
                <w:caps w:val="0"/>
                <w:spacing w:val="0"/>
                <w:kern w:val="0"/>
                <w:sz w:val="20"/>
                <w:szCs w:val="20"/>
                <w:lang w:val="en-US" w:eastAsia="zh-CN" w:bidi="ar"/>
              </w:rPr>
              <w:t>Ericsson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38.141-2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pStyle w:val="17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9" w:lineRule="atLeast"/>
              <w:ind w:left="0" w:right="0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cs="Times New Roman"/>
                <w:caps w:val="0"/>
                <w:color w:val="000000"/>
                <w:spacing w:val="0"/>
                <w:sz w:val="20"/>
                <w:szCs w:val="20"/>
              </w:rPr>
              <w:t>3.3 Abbreviations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8.1.2.x Applicability of PUSCH for ATG performance requirements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8.1.2.x Applicability of PUCCH for ATG performance requirements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8.1.2.x Applicability of PRACH for ATG performance requirements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 ZTE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rPr>
                <w:rFonts w:hint="default" w:ascii="Arial" w:hAnsi="Arial" w:cs="Arial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8.2.x Requirements for PUSCH for ATG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A.x FRC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pStyle w:val="17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9" w:lineRule="atLeast"/>
              <w:ind w:left="0" w:right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aps w:val="0"/>
                <w:spacing w:val="0"/>
                <w:sz w:val="13"/>
                <w:szCs w:val="13"/>
              </w:rPr>
              <w:t>ZTE</w:t>
            </w:r>
          </w:p>
        </w:tc>
      </w:tr>
    </w:tbl>
    <w:p>
      <w:pPr>
        <w:pStyle w:val="74"/>
        <w:numPr>
          <w:ilvl w:val="0"/>
          <w:numId w:val="0"/>
        </w:numPr>
        <w:spacing w:after="12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</w:p>
    <w:sectPr>
      <w:pgSz w:w="11900" w:h="16840"/>
      <w:pgMar w:top="1440" w:right="98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 Light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eastAsia"/>
        <w:sz w:val="24"/>
        <w:szCs w:val="22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eastAsia"/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-"/>
      <w:lvlJc w:val="left"/>
      <w:pPr>
        <w:ind w:left="4536" w:hanging="360"/>
      </w:pPr>
      <w:rPr>
        <w:rFonts w:hint="default" w:ascii="Times New Roman" w:hAnsi="Times New Roman" w:eastAsia="Yu Mincho" w:cs="Times New Roman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2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3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hyphenationZone w:val="425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014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CD4"/>
    <w:rsid w:val="00021E70"/>
    <w:rsid w:val="00021FAA"/>
    <w:rsid w:val="00021FBB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0FA4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6B76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017"/>
    <w:rsid w:val="00043405"/>
    <w:rsid w:val="00043582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B63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063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1A8"/>
    <w:rsid w:val="000955A5"/>
    <w:rsid w:val="0009562E"/>
    <w:rsid w:val="000958F3"/>
    <w:rsid w:val="00095BAA"/>
    <w:rsid w:val="00095CFB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4F"/>
    <w:rsid w:val="000B31CC"/>
    <w:rsid w:val="000B31DC"/>
    <w:rsid w:val="000B397D"/>
    <w:rsid w:val="000B3B83"/>
    <w:rsid w:val="000B4172"/>
    <w:rsid w:val="000B49FC"/>
    <w:rsid w:val="000B5617"/>
    <w:rsid w:val="000B567F"/>
    <w:rsid w:val="000B576E"/>
    <w:rsid w:val="000B58DA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0F7FA8"/>
    <w:rsid w:val="001003DA"/>
    <w:rsid w:val="00100DC7"/>
    <w:rsid w:val="00101852"/>
    <w:rsid w:val="00101941"/>
    <w:rsid w:val="00101971"/>
    <w:rsid w:val="00102417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56D"/>
    <w:rsid w:val="00125C8E"/>
    <w:rsid w:val="00125F9A"/>
    <w:rsid w:val="00126513"/>
    <w:rsid w:val="001268A6"/>
    <w:rsid w:val="0012701D"/>
    <w:rsid w:val="00127131"/>
    <w:rsid w:val="001271AB"/>
    <w:rsid w:val="001272B8"/>
    <w:rsid w:val="00127534"/>
    <w:rsid w:val="001276BF"/>
    <w:rsid w:val="001277CC"/>
    <w:rsid w:val="00130076"/>
    <w:rsid w:val="0013080B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0F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2F7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C75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933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A2"/>
    <w:rsid w:val="001A3EF5"/>
    <w:rsid w:val="001A57E9"/>
    <w:rsid w:val="001A5987"/>
    <w:rsid w:val="001A5E11"/>
    <w:rsid w:val="001A65D8"/>
    <w:rsid w:val="001A68C5"/>
    <w:rsid w:val="001A725B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3B1"/>
    <w:rsid w:val="001E6BEA"/>
    <w:rsid w:val="001E70FF"/>
    <w:rsid w:val="001E7B45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445"/>
    <w:rsid w:val="001F55EA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87D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A5E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229"/>
    <w:rsid w:val="002512F8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C83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0F5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78D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970"/>
    <w:rsid w:val="00294A12"/>
    <w:rsid w:val="00294A34"/>
    <w:rsid w:val="00295160"/>
    <w:rsid w:val="00295CDB"/>
    <w:rsid w:val="0029700E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321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89A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171"/>
    <w:rsid w:val="002D46AD"/>
    <w:rsid w:val="002D4B3D"/>
    <w:rsid w:val="002D54FA"/>
    <w:rsid w:val="002D5775"/>
    <w:rsid w:val="002D58FE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DF2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D63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E93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2B2B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44F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55F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50B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07F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876BF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2EC"/>
    <w:rsid w:val="003973E9"/>
    <w:rsid w:val="003977B1"/>
    <w:rsid w:val="00397D15"/>
    <w:rsid w:val="003A09AB"/>
    <w:rsid w:val="003A0B30"/>
    <w:rsid w:val="003A0CEA"/>
    <w:rsid w:val="003A1253"/>
    <w:rsid w:val="003A189B"/>
    <w:rsid w:val="003A1AC3"/>
    <w:rsid w:val="003A1D28"/>
    <w:rsid w:val="003A22F7"/>
    <w:rsid w:val="003A270C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1E3F"/>
    <w:rsid w:val="003D2868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D7BDB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4D1"/>
    <w:rsid w:val="003E56D2"/>
    <w:rsid w:val="003E5967"/>
    <w:rsid w:val="003E615C"/>
    <w:rsid w:val="003E62ED"/>
    <w:rsid w:val="003E6DF0"/>
    <w:rsid w:val="003E7DD4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1D8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2F9F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618"/>
    <w:rsid w:val="00460B70"/>
    <w:rsid w:val="00460DE6"/>
    <w:rsid w:val="00461052"/>
    <w:rsid w:val="00461397"/>
    <w:rsid w:val="00462AB7"/>
    <w:rsid w:val="00463249"/>
    <w:rsid w:val="00463511"/>
    <w:rsid w:val="00463C8A"/>
    <w:rsid w:val="004644F3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363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C92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705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1F98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57D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5C44"/>
    <w:rsid w:val="004F6F4E"/>
    <w:rsid w:val="004F737B"/>
    <w:rsid w:val="004F7ADC"/>
    <w:rsid w:val="004F7C2F"/>
    <w:rsid w:val="004F7E22"/>
    <w:rsid w:val="00500078"/>
    <w:rsid w:val="005000B5"/>
    <w:rsid w:val="005006BD"/>
    <w:rsid w:val="00500A00"/>
    <w:rsid w:val="00501433"/>
    <w:rsid w:val="005015F2"/>
    <w:rsid w:val="005019CF"/>
    <w:rsid w:val="005022B1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1D0"/>
    <w:rsid w:val="0051071A"/>
    <w:rsid w:val="00510A01"/>
    <w:rsid w:val="00510D0D"/>
    <w:rsid w:val="00510DDC"/>
    <w:rsid w:val="00510ECB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4A3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29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2F4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C2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84B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2EAB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9D6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05C"/>
    <w:rsid w:val="005A07D5"/>
    <w:rsid w:val="005A09B2"/>
    <w:rsid w:val="005A133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1A78"/>
    <w:rsid w:val="005C27E6"/>
    <w:rsid w:val="005C2A62"/>
    <w:rsid w:val="005C2AEC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6803"/>
    <w:rsid w:val="005C71B6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31D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57D"/>
    <w:rsid w:val="005F19EE"/>
    <w:rsid w:val="005F1B59"/>
    <w:rsid w:val="005F1D91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07AE2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1F95"/>
    <w:rsid w:val="006227DD"/>
    <w:rsid w:val="00622EE2"/>
    <w:rsid w:val="00623338"/>
    <w:rsid w:val="0062341A"/>
    <w:rsid w:val="00623B8C"/>
    <w:rsid w:val="00623CA9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465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43D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87DB2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B6D"/>
    <w:rsid w:val="006A6DBB"/>
    <w:rsid w:val="006A7C44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B60"/>
    <w:rsid w:val="006C4D5C"/>
    <w:rsid w:val="006C54CC"/>
    <w:rsid w:val="006C5622"/>
    <w:rsid w:val="006C56DC"/>
    <w:rsid w:val="006C56FE"/>
    <w:rsid w:val="006C5727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0924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4A5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C60"/>
    <w:rsid w:val="0072068B"/>
    <w:rsid w:val="0072091B"/>
    <w:rsid w:val="007209C1"/>
    <w:rsid w:val="0072113D"/>
    <w:rsid w:val="0072134D"/>
    <w:rsid w:val="00721862"/>
    <w:rsid w:val="00721F97"/>
    <w:rsid w:val="007220A7"/>
    <w:rsid w:val="00722C59"/>
    <w:rsid w:val="00722D78"/>
    <w:rsid w:val="00723052"/>
    <w:rsid w:val="00723598"/>
    <w:rsid w:val="0072368F"/>
    <w:rsid w:val="00723A4F"/>
    <w:rsid w:val="00723C26"/>
    <w:rsid w:val="0072468C"/>
    <w:rsid w:val="00724712"/>
    <w:rsid w:val="00726826"/>
    <w:rsid w:val="00726ED8"/>
    <w:rsid w:val="00727246"/>
    <w:rsid w:val="00727FF5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8BD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5E80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26C6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40D"/>
    <w:rsid w:val="0077695A"/>
    <w:rsid w:val="00777D65"/>
    <w:rsid w:val="00780EAB"/>
    <w:rsid w:val="007814F0"/>
    <w:rsid w:val="007816F7"/>
    <w:rsid w:val="00781B73"/>
    <w:rsid w:val="00782279"/>
    <w:rsid w:val="00782393"/>
    <w:rsid w:val="007823B2"/>
    <w:rsid w:val="007828A0"/>
    <w:rsid w:val="007828AD"/>
    <w:rsid w:val="00782A18"/>
    <w:rsid w:val="00782C0F"/>
    <w:rsid w:val="00782EC3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17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576"/>
    <w:rsid w:val="007C3ABD"/>
    <w:rsid w:val="007C3F3E"/>
    <w:rsid w:val="007C481F"/>
    <w:rsid w:val="007C483C"/>
    <w:rsid w:val="007C4DD0"/>
    <w:rsid w:val="007C5255"/>
    <w:rsid w:val="007C531C"/>
    <w:rsid w:val="007C5E5F"/>
    <w:rsid w:val="007C6027"/>
    <w:rsid w:val="007C61E5"/>
    <w:rsid w:val="007C628D"/>
    <w:rsid w:val="007C62B1"/>
    <w:rsid w:val="007C6368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0E10"/>
    <w:rsid w:val="007F0FA7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47D"/>
    <w:rsid w:val="008016F2"/>
    <w:rsid w:val="00801BA3"/>
    <w:rsid w:val="00802CA1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C0D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71A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5E07"/>
    <w:rsid w:val="00826A48"/>
    <w:rsid w:val="00826E8B"/>
    <w:rsid w:val="008276A0"/>
    <w:rsid w:val="00827827"/>
    <w:rsid w:val="00827DE6"/>
    <w:rsid w:val="00830DB5"/>
    <w:rsid w:val="00830FD9"/>
    <w:rsid w:val="008317D7"/>
    <w:rsid w:val="00831ECF"/>
    <w:rsid w:val="0083266B"/>
    <w:rsid w:val="00832937"/>
    <w:rsid w:val="00833316"/>
    <w:rsid w:val="0083343A"/>
    <w:rsid w:val="0083347F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63A3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A9C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55F3"/>
    <w:rsid w:val="00846634"/>
    <w:rsid w:val="008471E0"/>
    <w:rsid w:val="00847276"/>
    <w:rsid w:val="00847E7B"/>
    <w:rsid w:val="008506F4"/>
    <w:rsid w:val="0085071B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4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A8A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194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3FB2"/>
    <w:rsid w:val="0087521A"/>
    <w:rsid w:val="0087566C"/>
    <w:rsid w:val="00875697"/>
    <w:rsid w:val="008757E1"/>
    <w:rsid w:val="00875958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32"/>
    <w:rsid w:val="008816DB"/>
    <w:rsid w:val="0088195F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A43"/>
    <w:rsid w:val="008A6B19"/>
    <w:rsid w:val="008A71AC"/>
    <w:rsid w:val="008A722F"/>
    <w:rsid w:val="008A7539"/>
    <w:rsid w:val="008A7CD2"/>
    <w:rsid w:val="008B02CF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6947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96E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BDC"/>
    <w:rsid w:val="008F4CAC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33A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4E64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A1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122B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582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B0A"/>
    <w:rsid w:val="00963F77"/>
    <w:rsid w:val="0096459E"/>
    <w:rsid w:val="00964834"/>
    <w:rsid w:val="00964878"/>
    <w:rsid w:val="00964E1A"/>
    <w:rsid w:val="00965247"/>
    <w:rsid w:val="009652EE"/>
    <w:rsid w:val="009655CA"/>
    <w:rsid w:val="00967901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1B64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3CF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B16"/>
    <w:rsid w:val="00991C0B"/>
    <w:rsid w:val="00991CA8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2D89"/>
    <w:rsid w:val="009A32E9"/>
    <w:rsid w:val="009A3719"/>
    <w:rsid w:val="009A3A7E"/>
    <w:rsid w:val="009A4C2A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14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041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27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440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BF5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566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678D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3D19"/>
    <w:rsid w:val="00A24BD4"/>
    <w:rsid w:val="00A24F17"/>
    <w:rsid w:val="00A25EF7"/>
    <w:rsid w:val="00A26279"/>
    <w:rsid w:val="00A26738"/>
    <w:rsid w:val="00A26962"/>
    <w:rsid w:val="00A26A40"/>
    <w:rsid w:val="00A26CCE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9EF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AF3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26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6F19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3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E7AB1"/>
    <w:rsid w:val="00AF04D0"/>
    <w:rsid w:val="00AF1315"/>
    <w:rsid w:val="00AF1674"/>
    <w:rsid w:val="00AF1C4C"/>
    <w:rsid w:val="00AF1C82"/>
    <w:rsid w:val="00AF1ECD"/>
    <w:rsid w:val="00AF220B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34B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1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2C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B02"/>
    <w:rsid w:val="00B76449"/>
    <w:rsid w:val="00B76FEB"/>
    <w:rsid w:val="00B77A49"/>
    <w:rsid w:val="00B77C2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470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137"/>
    <w:rsid w:val="00BB622A"/>
    <w:rsid w:val="00BB670B"/>
    <w:rsid w:val="00BB6A7E"/>
    <w:rsid w:val="00BB712F"/>
    <w:rsid w:val="00BC0612"/>
    <w:rsid w:val="00BC074C"/>
    <w:rsid w:val="00BC0B56"/>
    <w:rsid w:val="00BC0D32"/>
    <w:rsid w:val="00BC19C7"/>
    <w:rsid w:val="00BC1CD3"/>
    <w:rsid w:val="00BC234F"/>
    <w:rsid w:val="00BC24A5"/>
    <w:rsid w:val="00BC38ED"/>
    <w:rsid w:val="00BC39D1"/>
    <w:rsid w:val="00BC420E"/>
    <w:rsid w:val="00BC4296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BF78BD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D7E"/>
    <w:rsid w:val="00C14F91"/>
    <w:rsid w:val="00C150C3"/>
    <w:rsid w:val="00C152E4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220E"/>
    <w:rsid w:val="00C33D5F"/>
    <w:rsid w:val="00C33EE0"/>
    <w:rsid w:val="00C340C9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113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5767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2E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D7E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3CA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0EA"/>
    <w:rsid w:val="00CA7335"/>
    <w:rsid w:val="00CA7D9E"/>
    <w:rsid w:val="00CB07FB"/>
    <w:rsid w:val="00CB15A9"/>
    <w:rsid w:val="00CB1D57"/>
    <w:rsid w:val="00CB2585"/>
    <w:rsid w:val="00CB2A12"/>
    <w:rsid w:val="00CB303B"/>
    <w:rsid w:val="00CB3C55"/>
    <w:rsid w:val="00CB3D79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776"/>
    <w:rsid w:val="00CD183E"/>
    <w:rsid w:val="00CD29F4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8D"/>
    <w:rsid w:val="00CE15A0"/>
    <w:rsid w:val="00CE1A88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5E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0F7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07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1D47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5FC0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46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1FBC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28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670D"/>
    <w:rsid w:val="00D8748D"/>
    <w:rsid w:val="00D879C5"/>
    <w:rsid w:val="00D87AFC"/>
    <w:rsid w:val="00D87C09"/>
    <w:rsid w:val="00D87D81"/>
    <w:rsid w:val="00D9002A"/>
    <w:rsid w:val="00D91DE5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9E6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72B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5F"/>
    <w:rsid w:val="00E04DFF"/>
    <w:rsid w:val="00E052C3"/>
    <w:rsid w:val="00E053DD"/>
    <w:rsid w:val="00E05875"/>
    <w:rsid w:val="00E05C72"/>
    <w:rsid w:val="00E070D4"/>
    <w:rsid w:val="00E0754F"/>
    <w:rsid w:val="00E07907"/>
    <w:rsid w:val="00E07986"/>
    <w:rsid w:val="00E07EC7"/>
    <w:rsid w:val="00E103F0"/>
    <w:rsid w:val="00E10C0B"/>
    <w:rsid w:val="00E10D47"/>
    <w:rsid w:val="00E11324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370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9D9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3D7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0A4"/>
    <w:rsid w:val="00E66DBA"/>
    <w:rsid w:val="00E67D5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36E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051"/>
    <w:rsid w:val="00EA07CA"/>
    <w:rsid w:val="00EA0C79"/>
    <w:rsid w:val="00EA0C89"/>
    <w:rsid w:val="00EA1040"/>
    <w:rsid w:val="00EA1B37"/>
    <w:rsid w:val="00EA1EDC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48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64E"/>
    <w:rsid w:val="00EF1759"/>
    <w:rsid w:val="00EF1BE4"/>
    <w:rsid w:val="00EF1C89"/>
    <w:rsid w:val="00EF2596"/>
    <w:rsid w:val="00EF29B6"/>
    <w:rsid w:val="00EF346A"/>
    <w:rsid w:val="00EF347B"/>
    <w:rsid w:val="00EF39FE"/>
    <w:rsid w:val="00EF3B89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0C7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531"/>
    <w:rsid w:val="00F07912"/>
    <w:rsid w:val="00F07C01"/>
    <w:rsid w:val="00F1030C"/>
    <w:rsid w:val="00F104D0"/>
    <w:rsid w:val="00F1057B"/>
    <w:rsid w:val="00F105C1"/>
    <w:rsid w:val="00F10D04"/>
    <w:rsid w:val="00F115A0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65A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8A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AFB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7E2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C34"/>
    <w:rsid w:val="00F979EA"/>
    <w:rsid w:val="00F97F30"/>
    <w:rsid w:val="00FA02EA"/>
    <w:rsid w:val="00FA0DB9"/>
    <w:rsid w:val="00FA0F20"/>
    <w:rsid w:val="00FA1013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0C7"/>
    <w:rsid w:val="00FC15C7"/>
    <w:rsid w:val="00FC1B0B"/>
    <w:rsid w:val="00FC1D6A"/>
    <w:rsid w:val="00FC224B"/>
    <w:rsid w:val="00FC23FC"/>
    <w:rsid w:val="00FC273B"/>
    <w:rsid w:val="00FC27B6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5BB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99B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91F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2A4735E"/>
    <w:rsid w:val="096469A0"/>
    <w:rsid w:val="09BC511C"/>
    <w:rsid w:val="0CF42026"/>
    <w:rsid w:val="0DC24706"/>
    <w:rsid w:val="0F3F6B84"/>
    <w:rsid w:val="12DE28ED"/>
    <w:rsid w:val="13C337B6"/>
    <w:rsid w:val="14761E85"/>
    <w:rsid w:val="15853D06"/>
    <w:rsid w:val="163C286C"/>
    <w:rsid w:val="172D5256"/>
    <w:rsid w:val="17636559"/>
    <w:rsid w:val="1A4C2F31"/>
    <w:rsid w:val="1B8532CB"/>
    <w:rsid w:val="24EE2AFB"/>
    <w:rsid w:val="255911D5"/>
    <w:rsid w:val="269419E1"/>
    <w:rsid w:val="27825488"/>
    <w:rsid w:val="2F9C12B9"/>
    <w:rsid w:val="333D1021"/>
    <w:rsid w:val="33446891"/>
    <w:rsid w:val="376B3E71"/>
    <w:rsid w:val="3F10784D"/>
    <w:rsid w:val="42A10772"/>
    <w:rsid w:val="48972CE1"/>
    <w:rsid w:val="48ED265B"/>
    <w:rsid w:val="4BE62CCB"/>
    <w:rsid w:val="4CAA01F4"/>
    <w:rsid w:val="4F546C40"/>
    <w:rsid w:val="529F6D65"/>
    <w:rsid w:val="5554191A"/>
    <w:rsid w:val="5B79631C"/>
    <w:rsid w:val="5D522C41"/>
    <w:rsid w:val="5E4547C8"/>
    <w:rsid w:val="5F2F37F8"/>
    <w:rsid w:val="67185448"/>
    <w:rsid w:val="67CA7248"/>
    <w:rsid w:val="68C06926"/>
    <w:rsid w:val="69E20EDE"/>
    <w:rsid w:val="6ADA1BF9"/>
    <w:rsid w:val="6B206672"/>
    <w:rsid w:val="6E4E2AD1"/>
    <w:rsid w:val="719A4603"/>
    <w:rsid w:val="74214194"/>
    <w:rsid w:val="755A7479"/>
    <w:rsid w:val="7D2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Revision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table" w:customStyle="1" w:styleId="77">
    <w:name w:val="网格型1"/>
    <w:basedOn w:val="19"/>
    <w:qFormat/>
    <w:uiPriority w:val="0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hAnsi="Times New Roman"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C7325-1688-4DFF-89AD-E5611C1B83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2198</Words>
  <Characters>12534</Characters>
  <Lines>104</Lines>
  <Paragraphs>29</Paragraphs>
  <TotalTime>0</TotalTime>
  <ScaleCrop>false</ScaleCrop>
  <LinksUpToDate>false</LinksUpToDate>
  <CharactersWithSpaces>14703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CMCC-shiyuan1012</cp:lastModifiedBy>
  <dcterms:modified xsi:type="dcterms:W3CDTF">2023-10-13T01:26:35Z</dcterms:modified>
  <cp:revision>178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C3279B7E580A4B39A1EF86D141DB5B88</vt:lpwstr>
  </property>
</Properties>
</file>