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C2E283" w14:textId="4105D6B0" w:rsidR="005319C4" w:rsidRPr="008C39F7" w:rsidRDefault="005319C4" w:rsidP="005319C4">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C39F7">
        <w:rPr>
          <w:rFonts w:ascii="Arial" w:eastAsia="SimSun" w:hAnsi="Arial" w:cs="Times New Roman"/>
          <w:b/>
          <w:bCs/>
          <w:sz w:val="24"/>
          <w:szCs w:val="20"/>
        </w:rPr>
        <w:t>3GPP T</w:t>
      </w:r>
      <w:bookmarkStart w:id="2" w:name="_Ref452454252"/>
      <w:bookmarkEnd w:id="2"/>
      <w:r w:rsidRPr="008C39F7">
        <w:rPr>
          <w:rFonts w:ascii="Arial" w:eastAsia="SimSun" w:hAnsi="Arial" w:cs="Times New Roman"/>
          <w:b/>
          <w:bCs/>
          <w:sz w:val="24"/>
          <w:szCs w:val="20"/>
        </w:rPr>
        <w:t xml:space="preserve">SG-RAN </w:t>
      </w:r>
      <w:r w:rsidRPr="008C39F7">
        <w:rPr>
          <w:rFonts w:ascii="Arial" w:eastAsia="SimSun" w:hAnsi="Arial" w:cs="Times New Roman"/>
          <w:b/>
          <w:sz w:val="24"/>
          <w:szCs w:val="20"/>
        </w:rPr>
        <w:t>WG4 Meeting #</w:t>
      </w:r>
      <w:r>
        <w:rPr>
          <w:rFonts w:ascii="Arial" w:eastAsia="SimSun" w:hAnsi="Arial" w:cs="Times New Roman"/>
          <w:b/>
          <w:sz w:val="24"/>
          <w:szCs w:val="20"/>
        </w:rPr>
        <w:t xml:space="preserve"> </w:t>
      </w:r>
      <w:r w:rsidRPr="008C39F7">
        <w:rPr>
          <w:rFonts w:ascii="Arial" w:eastAsia="SimSun" w:hAnsi="Arial" w:cs="Times New Roman"/>
          <w:b/>
          <w:sz w:val="24"/>
          <w:szCs w:val="20"/>
        </w:rPr>
        <w:t>10</w:t>
      </w:r>
      <w:r>
        <w:rPr>
          <w:rFonts w:ascii="Arial" w:eastAsia="SimSun" w:hAnsi="Arial" w:cs="Times New Roman"/>
          <w:b/>
          <w:sz w:val="24"/>
          <w:szCs w:val="20"/>
        </w:rPr>
        <w:t>8bis</w:t>
      </w:r>
      <w:r w:rsidRPr="008C39F7">
        <w:rPr>
          <w:rFonts w:ascii="Arial" w:eastAsia="SimSun" w:hAnsi="Arial" w:cs="Times New Roman"/>
          <w:b/>
          <w:bCs/>
          <w:sz w:val="24"/>
          <w:szCs w:val="20"/>
        </w:rPr>
        <w:tab/>
      </w:r>
      <w:r w:rsidR="004E18C0" w:rsidRPr="004E18C0">
        <w:rPr>
          <w:rFonts w:ascii="Arial" w:eastAsia="SimSun" w:hAnsi="Arial" w:cs="Times New Roman"/>
          <w:b/>
          <w:bCs/>
          <w:sz w:val="24"/>
          <w:szCs w:val="20"/>
          <w:lang w:eastAsia="ja-JP"/>
        </w:rPr>
        <w:t>R4-2316259</w:t>
      </w:r>
    </w:p>
    <w:p w14:paraId="3878B2F4" w14:textId="77777777" w:rsidR="005319C4" w:rsidRPr="002B69F3" w:rsidRDefault="005319C4" w:rsidP="005319C4">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2B69F3">
        <w:rPr>
          <w:rFonts w:ascii="Arial" w:eastAsia="SimSun" w:hAnsi="Arial" w:cs="Times New Roman"/>
          <w:b/>
          <w:sz w:val="24"/>
          <w:szCs w:val="20"/>
        </w:rPr>
        <w:t>Xiamen, China, October 09 – October 13, 2023</w:t>
      </w:r>
    </w:p>
    <w:bookmarkEnd w:id="0"/>
    <w:bookmarkEnd w:id="1"/>
    <w:p w14:paraId="2D160778" w14:textId="77777777" w:rsidR="00841BCD" w:rsidRPr="008C39F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41294469" w14:textId="77777777"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 xml:space="preserve">Nokia, </w:t>
      </w:r>
      <w:r w:rsidR="0043750A" w:rsidRPr="008C39F7">
        <w:rPr>
          <w:rFonts w:ascii="Arial" w:eastAsia="Calibri" w:hAnsi="Arial" w:cs="Arial"/>
          <w:b/>
          <w:bCs/>
          <w:sz w:val="24"/>
        </w:rPr>
        <w:t>Nokia</w:t>
      </w:r>
      <w:r w:rsidRPr="008C39F7">
        <w:rPr>
          <w:rFonts w:ascii="Arial" w:eastAsia="Calibri" w:hAnsi="Arial" w:cs="Arial"/>
          <w:b/>
          <w:bCs/>
          <w:sz w:val="24"/>
        </w:rPr>
        <w:t xml:space="preserve"> Shanghai Bell</w:t>
      </w:r>
    </w:p>
    <w:p w14:paraId="6732445D" w14:textId="2A6AD580" w:rsidR="00841BCD" w:rsidRPr="00D03BD3" w:rsidRDefault="00841BCD" w:rsidP="00841BCD">
      <w:pPr>
        <w:ind w:left="1985" w:hanging="1985"/>
        <w:rPr>
          <w:rFonts w:ascii="Arial" w:eastAsia="Calibri" w:hAnsi="Arial" w:cs="Arial"/>
          <w:b/>
          <w:bCs/>
          <w:sz w:val="24"/>
          <w:lang w:val="en-GB"/>
        </w:rPr>
      </w:pPr>
      <w:r w:rsidRPr="00D03BD3">
        <w:rPr>
          <w:rFonts w:ascii="Arial" w:eastAsia="Calibri" w:hAnsi="Arial" w:cs="Arial"/>
          <w:b/>
          <w:bCs/>
          <w:sz w:val="24"/>
          <w:lang w:val="en-GB"/>
        </w:rPr>
        <w:t>Title:</w:t>
      </w:r>
      <w:r w:rsidRPr="00D03BD3">
        <w:rPr>
          <w:rFonts w:ascii="Arial" w:eastAsia="Calibri" w:hAnsi="Arial" w:cs="Arial"/>
          <w:b/>
          <w:bCs/>
          <w:sz w:val="24"/>
          <w:lang w:val="en-GB"/>
        </w:rPr>
        <w:tab/>
      </w:r>
      <w:r w:rsidR="00275C92" w:rsidRPr="00275C92">
        <w:rPr>
          <w:rFonts w:ascii="Arial" w:eastAsia="Calibri" w:hAnsi="Arial" w:cs="Arial"/>
          <w:b/>
          <w:bCs/>
          <w:sz w:val="24"/>
          <w:lang w:val="en-GB"/>
        </w:rPr>
        <w:t>Test cases scope and configuration for NTN enhancements</w:t>
      </w:r>
    </w:p>
    <w:p w14:paraId="0E7583EC" w14:textId="1C80FE03" w:rsidR="00841BCD" w:rsidRPr="00D03BD3" w:rsidRDefault="00841BCD" w:rsidP="00841BCD">
      <w:pPr>
        <w:tabs>
          <w:tab w:val="left" w:pos="1985"/>
        </w:tabs>
        <w:spacing w:after="120" w:line="240" w:lineRule="auto"/>
        <w:rPr>
          <w:rFonts w:ascii="Arial" w:eastAsia="MS Mincho" w:hAnsi="Arial" w:cs="Arial"/>
          <w:b/>
          <w:bCs/>
          <w:sz w:val="24"/>
          <w:szCs w:val="20"/>
          <w:lang w:val="pt-BR"/>
        </w:rPr>
      </w:pPr>
      <w:r w:rsidRPr="00D03BD3">
        <w:rPr>
          <w:rFonts w:ascii="Arial" w:eastAsia="MS Mincho" w:hAnsi="Arial" w:cs="Arial"/>
          <w:b/>
          <w:bCs/>
          <w:sz w:val="24"/>
          <w:szCs w:val="20"/>
          <w:lang w:val="pt-BR"/>
        </w:rPr>
        <w:t>Agenda item:</w:t>
      </w:r>
      <w:r w:rsidRPr="00D03BD3">
        <w:rPr>
          <w:rFonts w:ascii="Arial" w:eastAsia="MS Mincho" w:hAnsi="Arial" w:cs="Arial"/>
          <w:b/>
          <w:bCs/>
          <w:sz w:val="24"/>
          <w:szCs w:val="20"/>
          <w:lang w:val="pt-BR"/>
        </w:rPr>
        <w:tab/>
      </w:r>
      <w:r w:rsidR="00441669">
        <w:rPr>
          <w:rFonts w:ascii="Arial" w:eastAsia="MS Mincho" w:hAnsi="Arial" w:cs="Arial"/>
          <w:b/>
          <w:bCs/>
          <w:sz w:val="24"/>
          <w:szCs w:val="20"/>
          <w:lang w:val="pt-BR"/>
        </w:rPr>
        <w:t>5</w:t>
      </w:r>
      <w:r w:rsidR="00E87EA0">
        <w:rPr>
          <w:rFonts w:ascii="Arial" w:eastAsia="MS Mincho" w:hAnsi="Arial" w:cs="Arial"/>
          <w:b/>
          <w:bCs/>
          <w:sz w:val="24"/>
          <w:szCs w:val="20"/>
          <w:lang w:val="pt-BR"/>
        </w:rPr>
        <w:t>.26.</w:t>
      </w:r>
      <w:r w:rsidR="008D1814">
        <w:rPr>
          <w:rFonts w:ascii="Arial" w:eastAsia="MS Mincho" w:hAnsi="Arial" w:cs="Arial"/>
          <w:b/>
          <w:bCs/>
          <w:sz w:val="24"/>
          <w:szCs w:val="20"/>
          <w:lang w:val="pt-BR"/>
        </w:rPr>
        <w:t>7</w:t>
      </w:r>
    </w:p>
    <w:p w14:paraId="4D52A9EF" w14:textId="77777777" w:rsidR="00D66188" w:rsidRPr="00ED1787" w:rsidRDefault="00841BCD" w:rsidP="00841BCD">
      <w:pPr>
        <w:tabs>
          <w:tab w:val="left" w:pos="1985"/>
        </w:tabs>
        <w:rPr>
          <w:rFonts w:ascii="Arial" w:eastAsia="Calibri" w:hAnsi="Arial" w:cs="Arial"/>
          <w:b/>
          <w:bCs/>
          <w:sz w:val="24"/>
          <w:lang w:val="pt-BR"/>
        </w:rPr>
      </w:pPr>
      <w:proofErr w:type="spellStart"/>
      <w:r w:rsidRPr="00ED1787">
        <w:rPr>
          <w:rFonts w:ascii="Arial" w:eastAsia="Calibri" w:hAnsi="Arial" w:cs="Arial"/>
          <w:b/>
          <w:bCs/>
          <w:sz w:val="24"/>
          <w:lang w:val="pt-BR"/>
        </w:rPr>
        <w:t>Document</w:t>
      </w:r>
      <w:proofErr w:type="spellEnd"/>
      <w:r w:rsidRPr="00ED1787">
        <w:rPr>
          <w:rFonts w:ascii="Arial" w:eastAsia="Calibri" w:hAnsi="Arial" w:cs="Arial"/>
          <w:b/>
          <w:bCs/>
          <w:sz w:val="24"/>
          <w:lang w:val="pt-BR"/>
        </w:rPr>
        <w:t xml:space="preserve"> for:</w:t>
      </w:r>
      <w:r w:rsidRPr="00ED1787">
        <w:rPr>
          <w:rFonts w:ascii="Arial" w:eastAsia="Calibri" w:hAnsi="Arial" w:cs="Arial"/>
          <w:b/>
          <w:bCs/>
          <w:sz w:val="24"/>
          <w:lang w:val="pt-BR"/>
        </w:rPr>
        <w:tab/>
      </w:r>
      <w:proofErr w:type="spellStart"/>
      <w:r w:rsidR="00AE6D09" w:rsidRPr="00ED1787">
        <w:rPr>
          <w:rFonts w:ascii="Arial" w:eastAsia="Calibri" w:hAnsi="Arial" w:cs="Arial"/>
          <w:b/>
          <w:bCs/>
          <w:sz w:val="24"/>
          <w:lang w:val="pt-BR"/>
        </w:rPr>
        <w:t>Discussion</w:t>
      </w:r>
      <w:proofErr w:type="spellEnd"/>
    </w:p>
    <w:p w14:paraId="774E0E50" w14:textId="77777777" w:rsidR="00E323E9" w:rsidRPr="00ED1787" w:rsidRDefault="00E323E9" w:rsidP="00841BCD">
      <w:pPr>
        <w:tabs>
          <w:tab w:val="left" w:pos="1985"/>
        </w:tabs>
        <w:rPr>
          <w:rFonts w:ascii="Arial" w:eastAsia="Calibri" w:hAnsi="Arial" w:cs="Arial"/>
          <w:b/>
          <w:bCs/>
          <w:sz w:val="24"/>
          <w:lang w:val="pt-BR"/>
        </w:rPr>
      </w:pPr>
    </w:p>
    <w:p w14:paraId="088800C3" w14:textId="77777777" w:rsidR="00841BCD" w:rsidRPr="008C39F7" w:rsidRDefault="00841BCD" w:rsidP="00A37002">
      <w:pPr>
        <w:pStyle w:val="RAN4H1"/>
      </w:pPr>
      <w:bookmarkStart w:id="3" w:name="_Toc116995841"/>
      <w:r w:rsidRPr="008C39F7">
        <w:t>Intro</w:t>
      </w:r>
      <w:r w:rsidRPr="008C39F7">
        <w:rPr>
          <w:rStyle w:val="RAN4H1Char"/>
          <w:lang w:val="en-US"/>
        </w:rPr>
        <w:t>ductio</w:t>
      </w:r>
      <w:r w:rsidRPr="008C39F7">
        <w:t>n</w:t>
      </w:r>
      <w:bookmarkEnd w:id="3"/>
    </w:p>
    <w:p w14:paraId="718A45F0" w14:textId="77777777" w:rsidR="001C0296" w:rsidRPr="00C75CEB" w:rsidRDefault="001C0296" w:rsidP="001C0296">
      <w:r w:rsidRPr="00C75CEB">
        <w:t>The NTN WI</w:t>
      </w:r>
      <w:r>
        <w:t>,</w:t>
      </w:r>
      <w:r w:rsidRPr="00C75CEB">
        <w:t xml:space="preserve"> </w:t>
      </w:r>
      <w:r>
        <w:t>as</w:t>
      </w:r>
      <w:r w:rsidRPr="00C75CEB">
        <w:t xml:space="preserve"> presented in [1], </w:t>
      </w:r>
      <w:r>
        <w:t>includes the following o</w:t>
      </w:r>
      <w:r w:rsidRPr="00C75CEB">
        <w:t xml:space="preserve">bjectives </w:t>
      </w:r>
      <w:r>
        <w:t>related to NTN deployment in above 10GHz bands</w:t>
      </w:r>
      <w:r w:rsidRPr="00C75CEB">
        <w:t>:</w:t>
      </w:r>
    </w:p>
    <w:tbl>
      <w:tblPr>
        <w:tblStyle w:val="TableGrid"/>
        <w:tblW w:w="0" w:type="auto"/>
        <w:tblLook w:val="04A0" w:firstRow="1" w:lastRow="0" w:firstColumn="1" w:lastColumn="0" w:noHBand="0" w:noVBand="1"/>
      </w:tblPr>
      <w:tblGrid>
        <w:gridCol w:w="9617"/>
      </w:tblGrid>
      <w:tr w:rsidR="001C0296" w:rsidRPr="00FF6B64" w14:paraId="2FD4D29C" w14:textId="77777777">
        <w:tc>
          <w:tcPr>
            <w:tcW w:w="9617" w:type="dxa"/>
          </w:tcPr>
          <w:p w14:paraId="60AA0504" w14:textId="77777777" w:rsidR="001C0296" w:rsidRPr="00134B7D" w:rsidRDefault="001C0296">
            <w:pPr>
              <w:rPr>
                <w:bCs/>
              </w:rPr>
            </w:pPr>
            <w:r w:rsidRPr="00134B7D">
              <w:rPr>
                <w:bCs/>
              </w:rPr>
              <w:t>4.1.2</w:t>
            </w:r>
            <w:r w:rsidRPr="00134B7D">
              <w:rPr>
                <w:bCs/>
              </w:rPr>
              <w:tab/>
              <w:t>NR-NTN deployment in above 10 GHz bands</w:t>
            </w:r>
          </w:p>
          <w:p w14:paraId="758F5BF7" w14:textId="77777777" w:rsidR="001C0296" w:rsidRPr="00134B7D" w:rsidRDefault="001C0296">
            <w:pPr>
              <w:rPr>
                <w:bCs/>
              </w:rPr>
            </w:pPr>
          </w:p>
          <w:p w14:paraId="17C81A0E" w14:textId="77777777" w:rsidR="001C0296" w:rsidRPr="00134B7D" w:rsidRDefault="001C0296">
            <w:pPr>
              <w:rPr>
                <w:bCs/>
              </w:rPr>
            </w:pPr>
            <w:r w:rsidRPr="00134B7D">
              <w:rPr>
                <w:bCs/>
              </w:rPr>
              <w:t>The following assumptions are taken a baseline for this work:</w:t>
            </w:r>
          </w:p>
          <w:p w14:paraId="729C405B" w14:textId="77777777" w:rsidR="001C0296" w:rsidRPr="00134B7D" w:rsidRDefault="001C0296" w:rsidP="001C0296">
            <w:pPr>
              <w:numPr>
                <w:ilvl w:val="0"/>
                <w:numId w:val="27"/>
              </w:numPr>
              <w:overflowPunct w:val="0"/>
              <w:autoSpaceDE w:val="0"/>
              <w:autoSpaceDN w:val="0"/>
              <w:adjustRightInd w:val="0"/>
              <w:textAlignment w:val="baseline"/>
              <w:rPr>
                <w:bCs/>
              </w:rPr>
            </w:pPr>
            <w:r w:rsidRPr="00134B7D">
              <w:rPr>
                <w:bCs/>
              </w:rPr>
              <w:t>GSO and NGSO (</w:t>
            </w:r>
            <w:proofErr w:type="gramStart"/>
            <w:r w:rsidRPr="00134B7D">
              <w:rPr>
                <w:bCs/>
              </w:rPr>
              <w:t>e.g.</w:t>
            </w:r>
            <w:proofErr w:type="gramEnd"/>
            <w:r w:rsidRPr="00134B7D">
              <w:rPr>
                <w:bCs/>
              </w:rPr>
              <w:t xml:space="preserve"> LEO, MEO, HEO) based satellite access to be considered</w:t>
            </w:r>
          </w:p>
          <w:p w14:paraId="6F5DE8E1" w14:textId="77777777" w:rsidR="001C0296" w:rsidRPr="00134B7D" w:rsidRDefault="001C0296" w:rsidP="001C0296">
            <w:pPr>
              <w:numPr>
                <w:ilvl w:val="1"/>
                <w:numId w:val="27"/>
              </w:numPr>
              <w:overflowPunct w:val="0"/>
              <w:autoSpaceDE w:val="0"/>
              <w:autoSpaceDN w:val="0"/>
              <w:adjustRightInd w:val="0"/>
              <w:textAlignment w:val="baseline"/>
              <w:rPr>
                <w:bCs/>
              </w:rPr>
            </w:pPr>
            <w:r w:rsidRPr="00134B7D">
              <w:rPr>
                <w:bCs/>
              </w:rPr>
              <w:t xml:space="preserve">ESIM scenarios for NGSO in Ka band are not considered in this WI. </w:t>
            </w:r>
          </w:p>
          <w:p w14:paraId="00BBE977" w14:textId="77777777" w:rsidR="001C0296" w:rsidRPr="00134B7D" w:rsidRDefault="001C0296" w:rsidP="001C0296">
            <w:pPr>
              <w:numPr>
                <w:ilvl w:val="0"/>
                <w:numId w:val="27"/>
              </w:numPr>
              <w:overflowPunct w:val="0"/>
              <w:autoSpaceDE w:val="0"/>
              <w:autoSpaceDN w:val="0"/>
              <w:adjustRightInd w:val="0"/>
              <w:textAlignment w:val="baseline"/>
              <w:rPr>
                <w:bCs/>
              </w:rPr>
            </w:pPr>
            <w:r w:rsidRPr="00134B7D">
              <w:rPr>
                <w:bCs/>
              </w:rPr>
              <w:t xml:space="preserve">Targeted UE types: fixed and mobile VSAT. VSAT UE characteristics from TR38.821 to be considered in priority but additional NTN UE classes may be considered if </w:t>
            </w:r>
            <w:proofErr w:type="gramStart"/>
            <w:r w:rsidRPr="00134B7D">
              <w:rPr>
                <w:bCs/>
              </w:rPr>
              <w:t>justified</w:t>
            </w:r>
            <w:proofErr w:type="gramEnd"/>
          </w:p>
          <w:p w14:paraId="43F83918" w14:textId="77777777" w:rsidR="001C0296" w:rsidRPr="00134B7D" w:rsidRDefault="001C0296" w:rsidP="001C0296">
            <w:pPr>
              <w:numPr>
                <w:ilvl w:val="1"/>
                <w:numId w:val="27"/>
              </w:numPr>
              <w:overflowPunct w:val="0"/>
              <w:autoSpaceDE w:val="0"/>
              <w:autoSpaceDN w:val="0"/>
              <w:adjustRightInd w:val="0"/>
              <w:textAlignment w:val="baseline"/>
              <w:rPr>
                <w:bCs/>
              </w:rPr>
            </w:pPr>
            <w:r w:rsidRPr="00134B7D">
              <w:rPr>
                <w:bCs/>
              </w:rPr>
              <w:t xml:space="preserve">Regarding mobile VSAT, three types of </w:t>
            </w:r>
            <w:proofErr w:type="gramStart"/>
            <w:r w:rsidRPr="00134B7D">
              <w:rPr>
                <w:bCs/>
              </w:rPr>
              <w:t>terminal</w:t>
            </w:r>
            <w:proofErr w:type="gramEnd"/>
            <w:r w:rsidRPr="00134B7D">
              <w:rPr>
                <w:bCs/>
              </w:rPr>
              <w:t xml:space="preserve"> and scenario exist; airborne, maritime and land based ESIM.</w:t>
            </w:r>
            <w:r w:rsidRPr="00134B7D">
              <w:t xml:space="preserve"> </w:t>
            </w:r>
            <w:r w:rsidRPr="00134B7D">
              <w:rPr>
                <w:bCs/>
              </w:rPr>
              <w:t>Which type(s) to be specified depends on the outcome of the regulation analysis and co-existence study.</w:t>
            </w:r>
          </w:p>
          <w:p w14:paraId="24B336C5" w14:textId="77777777" w:rsidR="001C0296" w:rsidRPr="00134B7D" w:rsidRDefault="001C0296" w:rsidP="001C0296">
            <w:pPr>
              <w:numPr>
                <w:ilvl w:val="0"/>
                <w:numId w:val="27"/>
              </w:numPr>
              <w:overflowPunct w:val="0"/>
              <w:autoSpaceDE w:val="0"/>
              <w:autoSpaceDN w:val="0"/>
              <w:adjustRightInd w:val="0"/>
              <w:textAlignment w:val="baseline"/>
              <w:rPr>
                <w:bCs/>
              </w:rPr>
            </w:pPr>
            <w:r w:rsidRPr="00134B7D">
              <w:rPr>
                <w:bCs/>
              </w:rPr>
              <w:t xml:space="preserve">FDD mode is assumed for satellite operation above 10 GHz, while TDD mode is assumed for terrestrial operation in </w:t>
            </w:r>
            <w:proofErr w:type="gramStart"/>
            <w:r w:rsidRPr="00134B7D">
              <w:rPr>
                <w:bCs/>
              </w:rPr>
              <w:t>FR2</w:t>
            </w:r>
            <w:proofErr w:type="gramEnd"/>
          </w:p>
          <w:p w14:paraId="0A48FBD6" w14:textId="77777777" w:rsidR="001C0296" w:rsidRPr="00134B7D" w:rsidRDefault="001C0296" w:rsidP="001C0296">
            <w:pPr>
              <w:numPr>
                <w:ilvl w:val="0"/>
                <w:numId w:val="27"/>
              </w:numPr>
              <w:overflowPunct w:val="0"/>
              <w:autoSpaceDE w:val="0"/>
              <w:autoSpaceDN w:val="0"/>
              <w:adjustRightInd w:val="0"/>
              <w:textAlignment w:val="baseline"/>
              <w:rPr>
                <w:bCs/>
              </w:rPr>
            </w:pPr>
            <w:r w:rsidRPr="00134B7D">
              <w:rPr>
                <w:bCs/>
              </w:rPr>
              <w:t xml:space="preserve">The </w:t>
            </w:r>
            <w:r>
              <w:rPr>
                <w:bCs/>
              </w:rPr>
              <w:t>ITU-R</w:t>
            </w:r>
            <w:r w:rsidRPr="00134B7D">
              <w:rPr>
                <w:bCs/>
              </w:rPr>
              <w:t xml:space="preserve"> harmonized Ka band</w:t>
            </w:r>
            <w:r>
              <w:rPr>
                <w:bCs/>
              </w:rPr>
              <w:t xml:space="preserve"> </w:t>
            </w:r>
            <w:r w:rsidRPr="00134B7D">
              <w:rPr>
                <w:bCs/>
              </w:rPr>
              <w:t xml:space="preserve">will serve as </w:t>
            </w:r>
            <w:proofErr w:type="gramStart"/>
            <w:r w:rsidRPr="00134B7D">
              <w:rPr>
                <w:bCs/>
              </w:rPr>
              <w:t>reference</w:t>
            </w:r>
            <w:proofErr w:type="gramEnd"/>
          </w:p>
          <w:p w14:paraId="2CF1F32C" w14:textId="77777777" w:rsidR="001C0296" w:rsidRPr="00134B7D" w:rsidRDefault="001C0296" w:rsidP="001C0296">
            <w:pPr>
              <w:numPr>
                <w:ilvl w:val="0"/>
                <w:numId w:val="27"/>
              </w:numPr>
              <w:overflowPunct w:val="0"/>
              <w:autoSpaceDE w:val="0"/>
              <w:autoSpaceDN w:val="0"/>
              <w:adjustRightInd w:val="0"/>
              <w:textAlignment w:val="baseline"/>
              <w:rPr>
                <w:bCs/>
              </w:rPr>
            </w:pPr>
            <w:r w:rsidRPr="00134B7D">
              <w:rPr>
                <w:bCs/>
              </w:rPr>
              <w:t>Co-existence between overlapping NTN and TN band portions is</w:t>
            </w:r>
            <w:r>
              <w:rPr>
                <w:bCs/>
              </w:rPr>
              <w:t xml:space="preserve"> out of scope of this work item. This aspect will be captured in the specification.</w:t>
            </w:r>
          </w:p>
          <w:p w14:paraId="590A9BD3" w14:textId="77777777" w:rsidR="001C0296" w:rsidRPr="00134B7D" w:rsidRDefault="001C0296">
            <w:pPr>
              <w:rPr>
                <w:bCs/>
              </w:rPr>
            </w:pPr>
          </w:p>
          <w:p w14:paraId="0708DA61" w14:textId="77777777" w:rsidR="001C0296" w:rsidRPr="00134B7D" w:rsidRDefault="001C0296">
            <w:pPr>
              <w:rPr>
                <w:bCs/>
              </w:rPr>
            </w:pPr>
            <w:r w:rsidRPr="00134B7D">
              <w:rPr>
                <w:bCs/>
              </w:rPr>
              <w:t xml:space="preserve">The following covers the objectives for NR-NTN deployment in above 10 GHz bands. </w:t>
            </w:r>
            <w:r>
              <w:rPr>
                <w:bCs/>
              </w:rPr>
              <w:t>T</w:t>
            </w:r>
            <w:r w:rsidRPr="00134B7D">
              <w:rPr>
                <w:bCs/>
              </w:rPr>
              <w:t>his work</w:t>
            </w:r>
            <w:r>
              <w:rPr>
                <w:bCs/>
              </w:rPr>
              <w:t xml:space="preserve"> is expected to start after June 2022.</w:t>
            </w:r>
          </w:p>
          <w:p w14:paraId="79AE5DDA" w14:textId="77777777" w:rsidR="001C0296" w:rsidRPr="00134B7D" w:rsidRDefault="001C0296">
            <w:pPr>
              <w:rPr>
                <w:bCs/>
              </w:rPr>
            </w:pPr>
          </w:p>
          <w:p w14:paraId="31537140" w14:textId="77777777" w:rsidR="001C0296" w:rsidRPr="00134B7D" w:rsidRDefault="001C0296" w:rsidP="001C0296">
            <w:pPr>
              <w:numPr>
                <w:ilvl w:val="0"/>
                <w:numId w:val="28"/>
              </w:numPr>
              <w:overflowPunct w:val="0"/>
              <w:autoSpaceDE w:val="0"/>
              <w:autoSpaceDN w:val="0"/>
              <w:adjustRightInd w:val="0"/>
              <w:textAlignment w:val="baseline"/>
              <w:rPr>
                <w:bCs/>
              </w:rPr>
            </w:pPr>
            <w:r w:rsidRPr="00134B7D">
              <w:rPr>
                <w:bCs/>
              </w:rPr>
              <w:t>Study and identify NTN example band: Analysis of regulations and adjacent channel co-existence scenarios. The example band shall be identified early in the WI. Additional bands can be introduced in a release-independent manner. [RAN4]</w:t>
            </w:r>
          </w:p>
          <w:p w14:paraId="692C843B" w14:textId="77777777" w:rsidR="001C0296" w:rsidRPr="00134B7D" w:rsidRDefault="001C0296" w:rsidP="001C0296">
            <w:pPr>
              <w:numPr>
                <w:ilvl w:val="1"/>
                <w:numId w:val="28"/>
              </w:numPr>
              <w:overflowPunct w:val="0"/>
              <w:autoSpaceDE w:val="0"/>
              <w:autoSpaceDN w:val="0"/>
              <w:adjustRightInd w:val="0"/>
              <w:textAlignment w:val="baseline"/>
              <w:rPr>
                <w:bCs/>
              </w:rPr>
            </w:pPr>
            <w:r w:rsidRPr="00134B7D">
              <w:rPr>
                <w:bCs/>
              </w:rPr>
              <w:t>Consider the satellite harmonized Ka band as a reference, according to ITU allocation; taking into account deployment type (</w:t>
            </w:r>
            <w:proofErr w:type="gramStart"/>
            <w:r w:rsidRPr="00134B7D">
              <w:rPr>
                <w:bCs/>
              </w:rPr>
              <w:t>e.g.</w:t>
            </w:r>
            <w:proofErr w:type="gramEnd"/>
            <w:r w:rsidRPr="00134B7D">
              <w:rPr>
                <w:bCs/>
              </w:rPr>
              <w:t xml:space="preserve"> VSAT, ESIM), scenarios, and ITU-R/regional regulations, define an example band suitable for development of generic 3GPP minimum performance requirements (the example RAN4 band may be a portion of or the entire harmonized Ka band). [RAN4]</w:t>
            </w:r>
          </w:p>
          <w:p w14:paraId="6BD9BF6C" w14:textId="77777777" w:rsidR="001C0296" w:rsidRPr="00134B7D" w:rsidRDefault="001C0296" w:rsidP="001C0296">
            <w:pPr>
              <w:numPr>
                <w:ilvl w:val="1"/>
                <w:numId w:val="28"/>
              </w:numPr>
              <w:overflowPunct w:val="0"/>
              <w:autoSpaceDE w:val="0"/>
              <w:autoSpaceDN w:val="0"/>
              <w:adjustRightInd w:val="0"/>
              <w:textAlignment w:val="baseline"/>
              <w:rPr>
                <w:bCs/>
              </w:rPr>
            </w:pPr>
            <w:r w:rsidRPr="00134B7D">
              <w:rPr>
                <w:bCs/>
              </w:rPr>
              <w:t>Study implications of FDD operation in FR2 and derive requirements for the identified example band appropriately. Satellite bands introduced in 3GPP for NTN for FDD shall not impact the existing 3GPP TDD specifications for terrestrial bands adjacent to the NTN band (see note 3 of the approved way forward RP-211596 in RAN#92-e). [RAN4]</w:t>
            </w:r>
          </w:p>
          <w:p w14:paraId="1B9172F8" w14:textId="77777777" w:rsidR="001C0296" w:rsidRPr="00134B7D" w:rsidRDefault="001C0296" w:rsidP="001C0296">
            <w:pPr>
              <w:numPr>
                <w:ilvl w:val="1"/>
                <w:numId w:val="28"/>
              </w:numPr>
              <w:overflowPunct w:val="0"/>
              <w:autoSpaceDE w:val="0"/>
              <w:autoSpaceDN w:val="0"/>
              <w:adjustRightInd w:val="0"/>
              <w:textAlignment w:val="baseline"/>
              <w:rPr>
                <w:bCs/>
              </w:rPr>
            </w:pPr>
            <w:r w:rsidRPr="00134B7D">
              <w:rPr>
                <w:bCs/>
              </w:rPr>
              <w:t>Relevant coexistence scenarios and analysis to be considered in RAN4, if and where applicable, to ensure that satellite bands introduced in 3GPP for NTN shall not impact the existing specifications and shall not cause degradation (in the sense of RAN4 co-existence studies) to networks in 3GPP specified terrestrial bands adjacent to the NTN band. In that, it is assumed that the NTN-TN adjacent band coexistence will be performed</w:t>
            </w:r>
            <w:r>
              <w:rPr>
                <w:bCs/>
              </w:rPr>
              <w:t xml:space="preserve"> at the harmonized </w:t>
            </w:r>
            <w:r w:rsidRPr="00134B7D">
              <w:rPr>
                <w:bCs/>
              </w:rPr>
              <w:t>Ka band edges</w:t>
            </w:r>
            <w:bookmarkStart w:id="4" w:name="_Hlk90540445"/>
            <w:r w:rsidRPr="0098115F">
              <w:rPr>
                <w:bCs/>
              </w:rPr>
              <w:t>. The outcome is expected to be applicable to all NTN-TN adjacent band scenarios (if any) in the whole Ka band range where applicable and regulations allow</w:t>
            </w:r>
            <w:r w:rsidRPr="00134B7D">
              <w:rPr>
                <w:bCs/>
              </w:rPr>
              <w:t>.</w:t>
            </w:r>
            <w:bookmarkEnd w:id="4"/>
            <w:r w:rsidRPr="00134B7D">
              <w:rPr>
                <w:bCs/>
              </w:rPr>
              <w:t xml:space="preserve"> [RAN4]</w:t>
            </w:r>
          </w:p>
          <w:p w14:paraId="35F45AC1" w14:textId="77777777" w:rsidR="001C0296" w:rsidRPr="00134B7D" w:rsidRDefault="001C0296" w:rsidP="001C0296">
            <w:pPr>
              <w:numPr>
                <w:ilvl w:val="1"/>
                <w:numId w:val="28"/>
              </w:numPr>
              <w:overflowPunct w:val="0"/>
              <w:autoSpaceDE w:val="0"/>
              <w:autoSpaceDN w:val="0"/>
              <w:adjustRightInd w:val="0"/>
              <w:textAlignment w:val="baseline"/>
              <w:rPr>
                <w:bCs/>
              </w:rPr>
            </w:pPr>
            <w:r w:rsidRPr="00134B7D">
              <w:rPr>
                <w:bCs/>
              </w:rPr>
              <w:t>For all the above, RAN4 process as agreed for NTN in FR1 should be used for coexistence analysis in above 10 GHz bands [RAN4].</w:t>
            </w:r>
          </w:p>
          <w:p w14:paraId="7A4A5C9A" w14:textId="77777777" w:rsidR="001C0296" w:rsidRPr="00134B7D" w:rsidRDefault="001C0296" w:rsidP="001C0296">
            <w:pPr>
              <w:numPr>
                <w:ilvl w:val="1"/>
                <w:numId w:val="28"/>
              </w:numPr>
              <w:overflowPunct w:val="0"/>
              <w:autoSpaceDE w:val="0"/>
              <w:autoSpaceDN w:val="0"/>
              <w:adjustRightInd w:val="0"/>
              <w:textAlignment w:val="baseline"/>
              <w:rPr>
                <w:bCs/>
              </w:rPr>
            </w:pPr>
            <w:r w:rsidRPr="00134B7D">
              <w:rPr>
                <w:bCs/>
              </w:rPr>
              <w:t xml:space="preserve">Definition of NTN band(s) above 10 GHz does not change the current FR1/FR2 definition, nor automatically apply to future terrestrial bands defined in this frequency region; (see proposal 2 of the approved way forward </w:t>
            </w:r>
            <w:bookmarkStart w:id="5" w:name="_Hlk89787333"/>
            <w:r w:rsidRPr="00134B7D">
              <w:rPr>
                <w:bCs/>
              </w:rPr>
              <w:t xml:space="preserve">RP-211596 </w:t>
            </w:r>
            <w:bookmarkEnd w:id="5"/>
            <w:r w:rsidRPr="00134B7D">
              <w:rPr>
                <w:bCs/>
              </w:rPr>
              <w:t>in RAN#92-e) [RAN4]</w:t>
            </w:r>
          </w:p>
          <w:p w14:paraId="11CF6C85" w14:textId="77777777" w:rsidR="001C0296" w:rsidRPr="00134B7D" w:rsidRDefault="001C0296" w:rsidP="001C0296">
            <w:pPr>
              <w:numPr>
                <w:ilvl w:val="0"/>
                <w:numId w:val="28"/>
              </w:numPr>
              <w:overflowPunct w:val="0"/>
              <w:autoSpaceDE w:val="0"/>
              <w:autoSpaceDN w:val="0"/>
              <w:adjustRightInd w:val="0"/>
              <w:textAlignment w:val="baseline"/>
              <w:rPr>
                <w:bCs/>
              </w:rPr>
            </w:pPr>
            <w:r w:rsidRPr="00134B7D">
              <w:rPr>
                <w:bCs/>
              </w:rPr>
              <w:lastRenderedPageBreak/>
              <w:t>Specify Rx/Tx requirements for satellite access node and different VSAT UE class (not only 60 cm aperture) as appropriate for the identified example band [RAN4]</w:t>
            </w:r>
          </w:p>
          <w:p w14:paraId="5D82E56F" w14:textId="77777777" w:rsidR="001C0296" w:rsidRPr="00134B7D" w:rsidRDefault="001C0296" w:rsidP="001C0296">
            <w:pPr>
              <w:numPr>
                <w:ilvl w:val="0"/>
                <w:numId w:val="28"/>
              </w:numPr>
              <w:overflowPunct w:val="0"/>
              <w:autoSpaceDE w:val="0"/>
              <w:autoSpaceDN w:val="0"/>
              <w:adjustRightInd w:val="0"/>
              <w:textAlignment w:val="baseline"/>
              <w:rPr>
                <w:bCs/>
              </w:rPr>
            </w:pPr>
            <w:r w:rsidRPr="00134B7D">
              <w:rPr>
                <w:bCs/>
              </w:rPr>
              <w:t>Identify values for physical layer parameters chosen from the existing FR1 and FR2 sets. The following set of parameters to specify, but not necessarily limited to, are listed.as follows [RAN4]:</w:t>
            </w:r>
          </w:p>
          <w:p w14:paraId="01A8B93B" w14:textId="77777777" w:rsidR="001C0296" w:rsidRPr="00134B7D" w:rsidRDefault="001C0296" w:rsidP="001C0296">
            <w:pPr>
              <w:numPr>
                <w:ilvl w:val="1"/>
                <w:numId w:val="28"/>
              </w:numPr>
              <w:overflowPunct w:val="0"/>
              <w:autoSpaceDE w:val="0"/>
              <w:autoSpaceDN w:val="0"/>
              <w:adjustRightInd w:val="0"/>
              <w:textAlignment w:val="baseline"/>
            </w:pPr>
            <w:r>
              <w:t xml:space="preserve">time relationship related enhancement (e.g., </w:t>
            </w:r>
            <w:proofErr w:type="spellStart"/>
            <w:r>
              <w:t>K_offset</w:t>
            </w:r>
            <w:proofErr w:type="spellEnd"/>
            <w:r>
              <w:t>)</w:t>
            </w:r>
          </w:p>
          <w:p w14:paraId="40D6C11C" w14:textId="77777777" w:rsidR="001C0296" w:rsidRPr="00134B7D" w:rsidRDefault="001C0296" w:rsidP="001C0296">
            <w:pPr>
              <w:numPr>
                <w:ilvl w:val="1"/>
                <w:numId w:val="28"/>
              </w:numPr>
              <w:overflowPunct w:val="0"/>
              <w:autoSpaceDE w:val="0"/>
              <w:autoSpaceDN w:val="0"/>
              <w:adjustRightInd w:val="0"/>
              <w:textAlignment w:val="baseline"/>
              <w:rPr>
                <w:bCs/>
              </w:rPr>
            </w:pPr>
            <w:r w:rsidRPr="00134B7D">
              <w:rPr>
                <w:bCs/>
              </w:rPr>
              <w:t>subcarrier spacing for different UL/DL signals/</w:t>
            </w:r>
            <w:proofErr w:type="gramStart"/>
            <w:r w:rsidRPr="00134B7D">
              <w:rPr>
                <w:bCs/>
              </w:rPr>
              <w:t>channels</w:t>
            </w:r>
            <w:proofErr w:type="gramEnd"/>
          </w:p>
          <w:p w14:paraId="09BB1D41" w14:textId="77777777" w:rsidR="001C0296" w:rsidRPr="00134B7D" w:rsidRDefault="001C0296" w:rsidP="001C0296">
            <w:pPr>
              <w:numPr>
                <w:ilvl w:val="1"/>
                <w:numId w:val="28"/>
              </w:numPr>
              <w:overflowPunct w:val="0"/>
              <w:autoSpaceDE w:val="0"/>
              <w:autoSpaceDN w:val="0"/>
              <w:adjustRightInd w:val="0"/>
              <w:textAlignment w:val="baseline"/>
              <w:rPr>
                <w:bCs/>
              </w:rPr>
            </w:pPr>
            <w:r w:rsidRPr="00134B7D">
              <w:rPr>
                <w:bCs/>
              </w:rPr>
              <w:t>PRACH configuration index for FDD above 10 GHz.</w:t>
            </w:r>
          </w:p>
          <w:p w14:paraId="6A5DE987" w14:textId="77777777" w:rsidR="001C0296" w:rsidRPr="00F43845" w:rsidRDefault="001C0296">
            <w:pPr>
              <w:rPr>
                <w:i/>
                <w:iCs/>
              </w:rPr>
            </w:pPr>
          </w:p>
        </w:tc>
      </w:tr>
    </w:tbl>
    <w:p w14:paraId="24EBE5FB" w14:textId="77777777" w:rsidR="00A520D9" w:rsidRDefault="00A520D9" w:rsidP="005C23A4"/>
    <w:p w14:paraId="3F85F141" w14:textId="5695F3E5" w:rsidR="001C0296" w:rsidRPr="008C39F7" w:rsidRDefault="00275C92" w:rsidP="005C23A4">
      <w:r>
        <w:t>In this meeting discussions are started for the performance scope based on the newly introduced features as well as for the configuration of the test cases.</w:t>
      </w:r>
    </w:p>
    <w:p w14:paraId="08E28A22" w14:textId="77777777" w:rsidR="0060543D" w:rsidRPr="008C39F7" w:rsidRDefault="0060543D" w:rsidP="005C23A4"/>
    <w:p w14:paraId="75D9EA74" w14:textId="77777777" w:rsidR="003B659E" w:rsidRDefault="003B659E" w:rsidP="00AE56B1">
      <w:pPr>
        <w:pStyle w:val="RAN4H1"/>
      </w:pPr>
      <w:bookmarkStart w:id="6" w:name="_Toc116995842"/>
      <w:r w:rsidRPr="008C39F7">
        <w:t>Discussion</w:t>
      </w:r>
      <w:bookmarkEnd w:id="6"/>
    </w:p>
    <w:p w14:paraId="1478A87E" w14:textId="314DDB28" w:rsidR="00AD0082" w:rsidRDefault="00275C92" w:rsidP="00AD0082">
      <w:pPr>
        <w:pStyle w:val="RAN4H2"/>
      </w:pPr>
      <w:r>
        <w:t>On the configuration of test cases</w:t>
      </w:r>
    </w:p>
    <w:p w14:paraId="5A9E139F" w14:textId="21D876B3" w:rsidR="00275C92" w:rsidRDefault="00275C92" w:rsidP="00275C92">
      <w:r>
        <w:t xml:space="preserve">In the last RAN plenary meeting (RAN #101), some companies have raised concerns about the testability of NGSO test cases. The reason for the concern is that some companies argued that RAN5 would take more time to finalize the </w:t>
      </w:r>
      <w:proofErr w:type="gramStart"/>
      <w:r>
        <w:t>work, if</w:t>
      </w:r>
      <w:proofErr w:type="gramEnd"/>
      <w:r>
        <w:t xml:space="preserve"> it was needed to parametrize the reference orbital values. Based on that, RAN plenary has approved a simplification of the test framework for NGSO </w:t>
      </w:r>
      <w:r w:rsidR="001F75E6">
        <w:fldChar w:fldCharType="begin"/>
      </w:r>
      <w:r w:rsidR="001F75E6">
        <w:instrText xml:space="preserve"> REF _Ref146643586 \r \h </w:instrText>
      </w:r>
      <w:r w:rsidR="001F75E6">
        <w:fldChar w:fldCharType="separate"/>
      </w:r>
      <w:r w:rsidR="001F75E6">
        <w:t>[4]</w:t>
      </w:r>
      <w:r w:rsidR="001F75E6">
        <w:fldChar w:fldCharType="end"/>
      </w:r>
      <w:r>
        <w:t xml:space="preserve">. </w:t>
      </w:r>
    </w:p>
    <w:tbl>
      <w:tblPr>
        <w:tblStyle w:val="TableGrid"/>
        <w:tblW w:w="0" w:type="auto"/>
        <w:tblLook w:val="04A0" w:firstRow="1" w:lastRow="0" w:firstColumn="1" w:lastColumn="0" w:noHBand="0" w:noVBand="1"/>
      </w:tblPr>
      <w:tblGrid>
        <w:gridCol w:w="9617"/>
      </w:tblGrid>
      <w:tr w:rsidR="00275C92" w14:paraId="43D0B166" w14:textId="77777777" w:rsidTr="00ED664F">
        <w:tc>
          <w:tcPr>
            <w:tcW w:w="9617" w:type="dxa"/>
          </w:tcPr>
          <w:p w14:paraId="46384F15" w14:textId="49AECC7D" w:rsidR="001F75E6" w:rsidRPr="001F75E6" w:rsidRDefault="001F75E6" w:rsidP="001F75E6">
            <w:pPr>
              <w:rPr>
                <w:lang w:val="en-GB"/>
              </w:rPr>
            </w:pPr>
            <w:r>
              <w:rPr>
                <w:lang w:val="en-GB"/>
              </w:rPr>
              <w:t>Decision from the Plenary:</w:t>
            </w:r>
          </w:p>
          <w:p w14:paraId="7D63AAB3" w14:textId="084E7DAF" w:rsidR="00275C92" w:rsidRPr="00BC6B72" w:rsidRDefault="00275C92" w:rsidP="00275C92">
            <w:pPr>
              <w:numPr>
                <w:ilvl w:val="0"/>
                <w:numId w:val="35"/>
              </w:numPr>
              <w:rPr>
                <w:lang w:val="en-GB"/>
              </w:rPr>
            </w:pPr>
            <w:r w:rsidRPr="00BC6B72">
              <w:rPr>
                <w:rFonts w:hint="eastAsia"/>
              </w:rPr>
              <w:t xml:space="preserve">RAN tasks RAN4 to discuss and conclude in Oct meeting on </w:t>
            </w:r>
          </w:p>
          <w:p w14:paraId="7398A377" w14:textId="77777777" w:rsidR="00275C92" w:rsidRPr="00BC6B72" w:rsidRDefault="00275C92" w:rsidP="00275C92">
            <w:pPr>
              <w:numPr>
                <w:ilvl w:val="1"/>
                <w:numId w:val="35"/>
              </w:numPr>
              <w:rPr>
                <w:lang w:val="en-GB"/>
              </w:rPr>
            </w:pPr>
            <w:r w:rsidRPr="00BC6B72">
              <w:rPr>
                <w:rFonts w:hint="eastAsia"/>
              </w:rPr>
              <w:t xml:space="preserve">The condition for testing the frequency error requirements to verify NGSO UE pre-compensation functionality for Doppler shift, which will be implemented in the RAN5 NTN </w:t>
            </w:r>
            <w:proofErr w:type="gramStart"/>
            <w:r w:rsidRPr="00BC6B72">
              <w:rPr>
                <w:rFonts w:hint="eastAsia"/>
              </w:rPr>
              <w:t>specifications</w:t>
            </w:r>
            <w:proofErr w:type="gramEnd"/>
          </w:p>
          <w:p w14:paraId="41C3F19C" w14:textId="77777777" w:rsidR="00275C92" w:rsidRPr="00BC6B72" w:rsidRDefault="00275C92" w:rsidP="00275C92">
            <w:pPr>
              <w:numPr>
                <w:ilvl w:val="2"/>
                <w:numId w:val="35"/>
              </w:numPr>
              <w:rPr>
                <w:lang w:val="en-GB"/>
              </w:rPr>
            </w:pPr>
            <w:r w:rsidRPr="00BC6B72">
              <w:rPr>
                <w:rFonts w:hint="eastAsia"/>
              </w:rPr>
              <w:t>For example, setting an artificial fixed Doppler shift, which is randomly selected out of a range of Doppler shift values decided by RAN4, as the condition in a test</w:t>
            </w:r>
          </w:p>
          <w:p w14:paraId="1518BE5F" w14:textId="77777777" w:rsidR="00275C92" w:rsidRPr="00BC6B72" w:rsidRDefault="00275C92" w:rsidP="00275C92">
            <w:pPr>
              <w:numPr>
                <w:ilvl w:val="1"/>
                <w:numId w:val="35"/>
              </w:numPr>
              <w:rPr>
                <w:lang w:val="en-GB"/>
              </w:rPr>
            </w:pPr>
            <w:r w:rsidRPr="00BC6B72">
              <w:rPr>
                <w:rFonts w:hint="eastAsia"/>
              </w:rPr>
              <w:t xml:space="preserve">The condition for RRM uplink timing test cases to verify NGSO UE delay pre-compensation functionality, which can be implemented in RAN5 NTN </w:t>
            </w:r>
            <w:proofErr w:type="gramStart"/>
            <w:r w:rsidRPr="00BC6B72">
              <w:rPr>
                <w:rFonts w:hint="eastAsia"/>
              </w:rPr>
              <w:t>specifications</w:t>
            </w:r>
            <w:proofErr w:type="gramEnd"/>
          </w:p>
          <w:p w14:paraId="714C0E09" w14:textId="77777777" w:rsidR="00275C92" w:rsidRPr="00BC6B72" w:rsidRDefault="00275C92" w:rsidP="00275C92">
            <w:pPr>
              <w:numPr>
                <w:ilvl w:val="2"/>
                <w:numId w:val="35"/>
              </w:numPr>
              <w:rPr>
                <w:lang w:val="en-GB"/>
              </w:rPr>
            </w:pPr>
            <w:r w:rsidRPr="00BC6B72">
              <w:rPr>
                <w:rFonts w:hint="eastAsia"/>
              </w:rPr>
              <w:t>For example, setting an artificial fixed delay, which is randomly selected out of a range of delay values decided by RAN4, as the condition in a test</w:t>
            </w:r>
          </w:p>
          <w:p w14:paraId="0DC37312" w14:textId="77777777" w:rsidR="00275C92" w:rsidRPr="00BC6B72" w:rsidRDefault="00275C92" w:rsidP="00275C92">
            <w:pPr>
              <w:numPr>
                <w:ilvl w:val="2"/>
                <w:numId w:val="35"/>
              </w:numPr>
              <w:rPr>
                <w:lang w:val="en-GB"/>
              </w:rPr>
            </w:pPr>
            <w:r w:rsidRPr="00BC6B72">
              <w:rPr>
                <w:rFonts w:hint="eastAsia"/>
              </w:rPr>
              <w:t xml:space="preserve">Note: For all the other NTN RRM test cases (except NGSO scenario in UE timing TCs), zero doppler shift and zero timing shift are assumed to be configured for RAN5 conformance testing </w:t>
            </w:r>
          </w:p>
          <w:p w14:paraId="1E224080" w14:textId="77777777" w:rsidR="00275C92" w:rsidRPr="00BC6B72" w:rsidRDefault="00275C92" w:rsidP="00275C92">
            <w:pPr>
              <w:numPr>
                <w:ilvl w:val="0"/>
                <w:numId w:val="36"/>
              </w:numPr>
              <w:rPr>
                <w:lang w:val="en-GB"/>
              </w:rPr>
            </w:pPr>
            <w:r w:rsidRPr="00BC6B72">
              <w:rPr>
                <w:rFonts w:hint="eastAsia"/>
              </w:rPr>
              <w:t xml:space="preserve">Further discuss TE-emulated channel model with delay and Doppler shifts matching the satellite propagator model in future release </w:t>
            </w:r>
            <w:proofErr w:type="gramStart"/>
            <w:r w:rsidRPr="00BC6B72">
              <w:rPr>
                <w:rFonts w:hint="eastAsia"/>
              </w:rPr>
              <w:t>i.e.</w:t>
            </w:r>
            <w:proofErr w:type="gramEnd"/>
            <w:r w:rsidRPr="00BC6B72">
              <w:rPr>
                <w:rFonts w:hint="eastAsia"/>
              </w:rPr>
              <w:t xml:space="preserve"> Rel-19</w:t>
            </w:r>
          </w:p>
          <w:p w14:paraId="23112281" w14:textId="77777777" w:rsidR="00275C92" w:rsidRPr="00BC6B72" w:rsidRDefault="00275C92" w:rsidP="00275C92">
            <w:pPr>
              <w:numPr>
                <w:ilvl w:val="0"/>
                <w:numId w:val="37"/>
              </w:numPr>
              <w:rPr>
                <w:lang w:val="en-GB"/>
              </w:rPr>
            </w:pPr>
            <w:r w:rsidRPr="00BC6B72">
              <w:rPr>
                <w:rFonts w:hint="eastAsia"/>
              </w:rPr>
              <w:t>No changes to the RAN4 core requirements</w:t>
            </w:r>
          </w:p>
          <w:p w14:paraId="63656496" w14:textId="77777777" w:rsidR="00275C92" w:rsidRPr="00BC6B72" w:rsidRDefault="00275C92" w:rsidP="00ED664F">
            <w:pPr>
              <w:rPr>
                <w:lang w:val="en-GB"/>
              </w:rPr>
            </w:pPr>
          </w:p>
        </w:tc>
      </w:tr>
    </w:tbl>
    <w:p w14:paraId="53D62D8B" w14:textId="77777777" w:rsidR="00275C92" w:rsidRDefault="00275C92" w:rsidP="00275C92"/>
    <w:p w14:paraId="4D0D06F6" w14:textId="2329E3D4" w:rsidR="00275C92" w:rsidRDefault="00275C92" w:rsidP="00275C92">
      <w:r>
        <w:t xml:space="preserve">It is important to have in mind that the test configuration proposed by plenary is a simplification of the test cases, as it seemed challenging to complete the TE-enabled channel model with delay and doppler shifts matching the satellite propagator models. </w:t>
      </w:r>
    </w:p>
    <w:p w14:paraId="79638883" w14:textId="2B92E669" w:rsidR="00275C92" w:rsidRDefault="00275C92" w:rsidP="00275C92">
      <w:r>
        <w:t xml:space="preserve">But especially for NGSO, this test setup is very limiting and does not verify the actual requirements introduced by NTN features for a UE that is supposed to follow a satellite travelling at up to 7.5 km/s. It is also unequivocally clear from the RAN plenary decision that there is the intention to create better, more realistic, and meaningful channel models for future releases in NTN. Therefore, we should strive for better test configurations in Rel-18. More so, when considering that in the operation above 10 GHz the doppler shift and the timing constraints of the moving satellite become more and more stringent for the UE behavior. </w:t>
      </w:r>
    </w:p>
    <w:p w14:paraId="7D9FC8CB" w14:textId="251E03DE" w:rsidR="00275C92" w:rsidRDefault="00275C92" w:rsidP="00275C92">
      <w:pPr>
        <w:pStyle w:val="RAN4proposal"/>
      </w:pPr>
      <w:bookmarkStart w:id="7" w:name="_Toc146734286"/>
      <w:r>
        <w:t>For Release 18, at least for the operation above 10 GHz, RRM test cases for NGSO shall be performed with variable Doppler shift and with delay drift, emulating a satellite movement.</w:t>
      </w:r>
      <w:bookmarkEnd w:id="7"/>
      <w:r>
        <w:t xml:space="preserve"> </w:t>
      </w:r>
    </w:p>
    <w:p w14:paraId="629F33C3" w14:textId="26D54DBC" w:rsidR="00275C92" w:rsidRDefault="00275C92" w:rsidP="00275C92">
      <w:pPr>
        <w:pStyle w:val="RAN4proposal"/>
        <w:numPr>
          <w:ilvl w:val="1"/>
          <w:numId w:val="7"/>
        </w:numPr>
      </w:pPr>
      <w:bookmarkStart w:id="8" w:name="_Toc146734287"/>
      <w:r>
        <w:t xml:space="preserve">FFS on GSO </w:t>
      </w:r>
      <w:proofErr w:type="gramStart"/>
      <w:r>
        <w:t>scenarios</w:t>
      </w:r>
      <w:bookmarkEnd w:id="8"/>
      <w:proofErr w:type="gramEnd"/>
    </w:p>
    <w:p w14:paraId="712AE9D0" w14:textId="1D3FB682" w:rsidR="00072FC3" w:rsidRPr="00072FC3" w:rsidRDefault="00072FC3" w:rsidP="00072FC3">
      <w:pPr>
        <w:pStyle w:val="RAN4proposal"/>
        <w:numPr>
          <w:ilvl w:val="1"/>
          <w:numId w:val="7"/>
        </w:numPr>
      </w:pPr>
      <w:bookmarkStart w:id="9" w:name="_Toc146734288"/>
      <w:r>
        <w:t>FFS on the test cases for the other objectives.</w:t>
      </w:r>
      <w:bookmarkEnd w:id="9"/>
      <w:r>
        <w:t xml:space="preserve"> </w:t>
      </w:r>
    </w:p>
    <w:p w14:paraId="23F4A8DE" w14:textId="77777777" w:rsidR="00072FC3" w:rsidRPr="00072FC3" w:rsidRDefault="00072FC3" w:rsidP="00072FC3"/>
    <w:p w14:paraId="7782223A" w14:textId="3155F8B5" w:rsidR="00275C92" w:rsidRPr="00275C92" w:rsidRDefault="00275C92" w:rsidP="00275C92"/>
    <w:p w14:paraId="7FDE75F3" w14:textId="58610CCF" w:rsidR="00072FC3" w:rsidRDefault="00072FC3" w:rsidP="00072FC3">
      <w:pPr>
        <w:pStyle w:val="RAN4H2"/>
      </w:pPr>
      <w:r>
        <w:t>On the scope of test cases</w:t>
      </w:r>
    </w:p>
    <w:p w14:paraId="75512F52" w14:textId="08E87697" w:rsidR="0060543D" w:rsidRDefault="00072FC3" w:rsidP="00300956">
      <w:r>
        <w:t>Recently, RAN has tasked RAN4 to create requirements for two different types of UEs in the operation above 10 GHz: electronically steered (Type 1) and mechanically steered  beams (Type 2). It is our understanding that for mechanically steered beams only the following requirements will be specified:</w:t>
      </w:r>
    </w:p>
    <w:p w14:paraId="74372D6A" w14:textId="77777777" w:rsidR="00072FC3" w:rsidRDefault="00072FC3" w:rsidP="00072FC3">
      <w:pPr>
        <w:pStyle w:val="ListParagraph"/>
        <w:numPr>
          <w:ilvl w:val="0"/>
          <w:numId w:val="38"/>
        </w:numPr>
        <w:jc w:val="both"/>
      </w:pPr>
      <w:r>
        <w:t>(Conditional/Blind) HO</w:t>
      </w:r>
    </w:p>
    <w:p w14:paraId="03D6441B" w14:textId="77777777" w:rsidR="00072FC3" w:rsidRDefault="00072FC3" w:rsidP="00072FC3">
      <w:pPr>
        <w:pStyle w:val="ListParagraph"/>
        <w:numPr>
          <w:ilvl w:val="0"/>
          <w:numId w:val="38"/>
        </w:numPr>
        <w:jc w:val="both"/>
      </w:pPr>
      <w:r>
        <w:t>RLM</w:t>
      </w:r>
    </w:p>
    <w:p w14:paraId="5CBA0065" w14:textId="77777777" w:rsidR="00072FC3" w:rsidRDefault="00072FC3" w:rsidP="00072FC3">
      <w:pPr>
        <w:pStyle w:val="ListParagraph"/>
        <w:numPr>
          <w:ilvl w:val="0"/>
          <w:numId w:val="38"/>
        </w:numPr>
        <w:jc w:val="both"/>
      </w:pPr>
      <w:r>
        <w:t>UE uplink timing accuracy</w:t>
      </w:r>
    </w:p>
    <w:p w14:paraId="656DB1B5" w14:textId="77777777" w:rsidR="00072FC3" w:rsidRDefault="00072FC3" w:rsidP="00300956"/>
    <w:p w14:paraId="7EFC7C36" w14:textId="510AD08E" w:rsidR="00072FC3" w:rsidRDefault="00072FC3" w:rsidP="00300956">
      <w:r>
        <w:t xml:space="preserve">For UL timing accuracy test case, we don’t see any potential difference in requirements or in the applicability of the test case between a Type 1 and a Type 2 UE. Blind HO requirements and RLM requirements are different between Type 1 and Type 2 UE, but the general procedure seems to be the same, with the overall test duration varying depending on the UE capability of performing beam sweeping. </w:t>
      </w:r>
    </w:p>
    <w:p w14:paraId="55AFC62C" w14:textId="5F148C78" w:rsidR="00072FC3" w:rsidRDefault="00A1503B" w:rsidP="00A1503B">
      <w:pPr>
        <w:pStyle w:val="RAN4proposal"/>
      </w:pPr>
      <w:bookmarkStart w:id="10" w:name="_Toc146734289"/>
      <w:r>
        <w:t>For Type 2 UEs only consider test cases for UE UL timing accuracy, RLM and Blind HO. UL timing accuracy test case is the same for both Type 1 and Type 2 UE.</w:t>
      </w:r>
      <w:bookmarkEnd w:id="10"/>
      <w:r>
        <w:t xml:space="preserve"> </w:t>
      </w:r>
    </w:p>
    <w:p w14:paraId="198CC20A" w14:textId="77777777" w:rsidR="00A1503B" w:rsidRDefault="00A1503B" w:rsidP="00A1503B">
      <w:pPr>
        <w:pStyle w:val="RAN4proposal"/>
        <w:numPr>
          <w:ilvl w:val="1"/>
          <w:numId w:val="7"/>
        </w:numPr>
      </w:pPr>
      <w:bookmarkStart w:id="11" w:name="_Toc146734290"/>
      <w:r>
        <w:t>FFS whether the same test cases can be used for Type 2 and Type 1 UEs for RLM and Blind HO with adaptation of the test parameters (</w:t>
      </w:r>
      <w:proofErr w:type="gramStart"/>
      <w:r>
        <w:t>e.g.</w:t>
      </w:r>
      <w:proofErr w:type="gramEnd"/>
      <w:r>
        <w:t xml:space="preserve"> test duration, interruption time, </w:t>
      </w:r>
      <w:proofErr w:type="spellStart"/>
      <w:r>
        <w:t>etc</w:t>
      </w:r>
      <w:proofErr w:type="spellEnd"/>
      <w:r>
        <w:t>).</w:t>
      </w:r>
      <w:bookmarkEnd w:id="11"/>
    </w:p>
    <w:p w14:paraId="44E2CD53" w14:textId="10754C4F" w:rsidR="00A1503B" w:rsidRDefault="00A1503B" w:rsidP="00A1503B">
      <w:r>
        <w:t xml:space="preserve">For Type 1 UEs the list of test cases is slightly higher, based on the scope of the task RAN has assigned RAN4. </w:t>
      </w:r>
    </w:p>
    <w:p w14:paraId="0F982301" w14:textId="04DBDB1F" w:rsidR="00A1503B" w:rsidRDefault="00A1503B" w:rsidP="00A1503B">
      <w:pPr>
        <w:pStyle w:val="RAN4proposal"/>
      </w:pPr>
      <w:bookmarkStart w:id="12" w:name="_Toc146734291"/>
      <w:r>
        <w:t xml:space="preserve">For Type 1 UE consider test cases for : UE UL timing accuracy, RLM, </w:t>
      </w:r>
      <w:r w:rsidR="007F2916">
        <w:t>C</w:t>
      </w:r>
      <w:r>
        <w:t>HO,</w:t>
      </w:r>
      <w:r w:rsidR="007F2916">
        <w:t xml:space="preserve"> HO and Measurement Procedures</w:t>
      </w:r>
      <w:bookmarkEnd w:id="12"/>
      <w:r>
        <w:t xml:space="preserve"> </w:t>
      </w:r>
    </w:p>
    <w:p w14:paraId="7876FBCD" w14:textId="515CC8F7" w:rsidR="00A1503B" w:rsidRDefault="007F2916" w:rsidP="00A1503B">
      <w:r>
        <w:t xml:space="preserve">There are several very important features added in this WI whose behavior are not like any other features previously implemented in Rel-17. Some of them implement requirements that cannot be verified or ensured based on legacy test cases, it would be fruitful to add test cases for </w:t>
      </w:r>
      <w:proofErr w:type="gramStart"/>
      <w:r>
        <w:t>this features</w:t>
      </w:r>
      <w:proofErr w:type="gramEnd"/>
      <w:r>
        <w:t xml:space="preserve">. </w:t>
      </w:r>
    </w:p>
    <w:p w14:paraId="7F2FA572" w14:textId="076262E8" w:rsidR="007F2916" w:rsidRDefault="008D1814" w:rsidP="007F2916">
      <w:pPr>
        <w:pStyle w:val="RAN4proposal"/>
      </w:pPr>
      <w:bookmarkStart w:id="13" w:name="_Toc146734292"/>
      <w:r>
        <w:t xml:space="preserve">For FR1 objectives RAN4 to introduce test cases at least for the following </w:t>
      </w:r>
      <w:proofErr w:type="spellStart"/>
      <w:r>
        <w:t>feathres</w:t>
      </w:r>
      <w:proofErr w:type="spellEnd"/>
      <w:r>
        <w:t>:</w:t>
      </w:r>
      <w:bookmarkEnd w:id="13"/>
    </w:p>
    <w:p w14:paraId="11C826E1" w14:textId="2D4F2B80" w:rsidR="008D1814" w:rsidRDefault="008D1814" w:rsidP="008D1814">
      <w:pPr>
        <w:pStyle w:val="RAN4proposal"/>
        <w:numPr>
          <w:ilvl w:val="1"/>
          <w:numId w:val="7"/>
        </w:numPr>
      </w:pPr>
      <w:bookmarkStart w:id="14" w:name="_Toc146734293"/>
      <w:r>
        <w:t>RACH-less HO</w:t>
      </w:r>
      <w:bookmarkEnd w:id="14"/>
    </w:p>
    <w:p w14:paraId="42784C21" w14:textId="77777777" w:rsidR="008D1814" w:rsidRPr="008D1814" w:rsidRDefault="008D1814" w:rsidP="004E18C0">
      <w:pPr>
        <w:pStyle w:val="RAN4proposal"/>
        <w:numPr>
          <w:ilvl w:val="1"/>
          <w:numId w:val="7"/>
        </w:numPr>
      </w:pPr>
      <w:bookmarkStart w:id="15" w:name="_Toc146734294"/>
      <w:r w:rsidRPr="008D1814">
        <w:t xml:space="preserve">Satellite Switching without PCI </w:t>
      </w:r>
      <w:proofErr w:type="gramStart"/>
      <w:r w:rsidRPr="008D1814">
        <w:t>change</w:t>
      </w:r>
      <w:bookmarkEnd w:id="15"/>
      <w:proofErr w:type="gramEnd"/>
    </w:p>
    <w:p w14:paraId="5A082413" w14:textId="77777777" w:rsidR="008D1814" w:rsidRDefault="008D1814" w:rsidP="008D1814">
      <w:pPr>
        <w:pStyle w:val="RAN4proposal"/>
        <w:numPr>
          <w:ilvl w:val="1"/>
          <w:numId w:val="7"/>
        </w:numPr>
      </w:pPr>
      <w:bookmarkStart w:id="16" w:name="_Toc146734295"/>
      <w:r>
        <w:t>NTN to TN Cell reselection</w:t>
      </w:r>
      <w:bookmarkEnd w:id="16"/>
    </w:p>
    <w:p w14:paraId="055CDBE0" w14:textId="77777777" w:rsidR="008D1814" w:rsidRDefault="008D1814" w:rsidP="008D1814">
      <w:pPr>
        <w:pStyle w:val="RAN4proposal"/>
        <w:numPr>
          <w:ilvl w:val="1"/>
          <w:numId w:val="7"/>
        </w:numPr>
      </w:pPr>
      <w:bookmarkStart w:id="17" w:name="_Toc146734296"/>
      <w:r>
        <w:t>Measurement Initiation triggers for Earth Moving Cells</w:t>
      </w:r>
      <w:bookmarkEnd w:id="17"/>
    </w:p>
    <w:p w14:paraId="4F5C22BA" w14:textId="77777777" w:rsidR="008D1814" w:rsidRPr="008D1814" w:rsidRDefault="008D1814" w:rsidP="008D1814">
      <w:pPr>
        <w:pStyle w:val="RAN4proposal"/>
        <w:numPr>
          <w:ilvl w:val="0"/>
          <w:numId w:val="0"/>
        </w:numPr>
        <w:ind w:left="1080"/>
      </w:pPr>
    </w:p>
    <w:p w14:paraId="5380320D" w14:textId="466024B3" w:rsidR="00A1503B" w:rsidRPr="00A1503B" w:rsidRDefault="00A1503B" w:rsidP="00A1503B">
      <w:pPr>
        <w:pStyle w:val="RAN4proposal"/>
        <w:numPr>
          <w:ilvl w:val="0"/>
          <w:numId w:val="0"/>
        </w:numPr>
      </w:pPr>
      <w:r>
        <w:t xml:space="preserve"> </w:t>
      </w:r>
    </w:p>
    <w:p w14:paraId="5DA211B2" w14:textId="77777777" w:rsidR="00072FC3" w:rsidRDefault="00072FC3" w:rsidP="00300956"/>
    <w:p w14:paraId="265F60A9" w14:textId="77777777" w:rsidR="0060543D" w:rsidRPr="008C39F7" w:rsidRDefault="0060543D" w:rsidP="0060543D"/>
    <w:p w14:paraId="340C02BF" w14:textId="77777777" w:rsidR="0060543D" w:rsidRPr="008C39F7" w:rsidRDefault="0060543D" w:rsidP="0060543D"/>
    <w:p w14:paraId="4BD21A93" w14:textId="77777777" w:rsidR="00CD7492" w:rsidRPr="008C39F7" w:rsidRDefault="00CD7492" w:rsidP="00A37002">
      <w:pPr>
        <w:pStyle w:val="RAN4H1"/>
      </w:pPr>
      <w:bookmarkStart w:id="18" w:name="_Toc116995848"/>
      <w:r w:rsidRPr="008C39F7">
        <w:t>Conclusion</w:t>
      </w:r>
      <w:bookmarkEnd w:id="18"/>
    </w:p>
    <w:p w14:paraId="5652544A" w14:textId="1CC8A4AF" w:rsidR="008B0961" w:rsidRDefault="00F35C29" w:rsidP="005C23A4">
      <w:r>
        <w:t xml:space="preserve">In this paper we discussed the operation in NTN for frequencies above 10 GHz. </w:t>
      </w:r>
      <w:r w:rsidR="00D97D04">
        <w:t>Based on our discussion, the following set of observations and proposals was made:</w:t>
      </w:r>
    </w:p>
    <w:p w14:paraId="6C93FD7B" w14:textId="77777777" w:rsidR="00D5270B" w:rsidRPr="008C39F7" w:rsidRDefault="00D5270B" w:rsidP="00936159">
      <w:pPr>
        <w:rPr>
          <w:highlight w:val="yellow"/>
        </w:rPr>
      </w:pPr>
    </w:p>
    <w:bookmarkStart w:id="19" w:name="_Toc116995849"/>
    <w:p w14:paraId="68920E2F" w14:textId="62C5F763" w:rsidR="004E18C0" w:rsidRDefault="00CF0BE2">
      <w:pPr>
        <w:pStyle w:val="TOC1"/>
        <w:rPr>
          <w:rFonts w:asciiTheme="minorHAnsi" w:eastAsiaTheme="minorEastAsia" w:hAnsiTheme="minorHAnsi"/>
          <w:b w:val="0"/>
          <w:iCs w:val="0"/>
          <w:kern w:val="2"/>
          <w:sz w:val="22"/>
          <w:u w:val="none"/>
          <w:lang w:val="en-GB" w:eastAsia="en-GB"/>
          <w14:ligatures w14:val="standardContextual"/>
        </w:rPr>
      </w:pPr>
      <w:r>
        <w:rPr>
          <w:i/>
          <w:iCs w:val="0"/>
        </w:rPr>
        <w:lastRenderedPageBreak/>
        <w:fldChar w:fldCharType="begin"/>
      </w:r>
      <w:r>
        <w:rPr>
          <w:i/>
          <w:iCs w:val="0"/>
        </w:rPr>
        <w:instrText xml:space="preserve"> TOC \n \h \z \t "RAN4 proposal;1;RAN4 observation;1" </w:instrText>
      </w:r>
      <w:r>
        <w:rPr>
          <w:i/>
          <w:iCs w:val="0"/>
        </w:rPr>
        <w:fldChar w:fldCharType="separate"/>
      </w:r>
      <w:hyperlink w:anchor="_Toc146734286" w:history="1">
        <w:r w:rsidR="004E18C0" w:rsidRPr="0099614E">
          <w:rPr>
            <w:rStyle w:val="Hyperlink"/>
          </w:rPr>
          <w:t>Proposal 1: For Release 18, at least for the operation above 10 GHz, RRM test cases for NGSO shall be performed with variable Doppler shift and with delay drift, emulating a satellite movement.</w:t>
        </w:r>
      </w:hyperlink>
    </w:p>
    <w:p w14:paraId="46371B5B" w14:textId="1245613D" w:rsidR="004E18C0" w:rsidRDefault="00E15968">
      <w:pPr>
        <w:pStyle w:val="TOC1"/>
        <w:tabs>
          <w:tab w:val="left" w:pos="400"/>
        </w:tabs>
        <w:rPr>
          <w:rFonts w:asciiTheme="minorHAnsi" w:eastAsiaTheme="minorEastAsia" w:hAnsiTheme="minorHAnsi"/>
          <w:b w:val="0"/>
          <w:iCs w:val="0"/>
          <w:kern w:val="2"/>
          <w:sz w:val="22"/>
          <w:u w:val="none"/>
          <w:lang w:val="en-GB" w:eastAsia="en-GB"/>
          <w14:ligatures w14:val="standardContextual"/>
        </w:rPr>
      </w:pPr>
      <w:hyperlink w:anchor="_Toc146734287" w:history="1">
        <w:r w:rsidR="004E18C0" w:rsidRPr="0099614E">
          <w:rPr>
            <w:rStyle w:val="Hyperlink"/>
          </w:rPr>
          <w:t>a.</w:t>
        </w:r>
        <w:r w:rsidR="004E18C0">
          <w:rPr>
            <w:rFonts w:asciiTheme="minorHAnsi" w:eastAsiaTheme="minorEastAsia" w:hAnsiTheme="minorHAnsi"/>
            <w:b w:val="0"/>
            <w:iCs w:val="0"/>
            <w:kern w:val="2"/>
            <w:sz w:val="22"/>
            <w:u w:val="none"/>
            <w:lang w:val="en-GB" w:eastAsia="en-GB"/>
            <w14:ligatures w14:val="standardContextual"/>
          </w:rPr>
          <w:tab/>
        </w:r>
        <w:r w:rsidR="004E18C0" w:rsidRPr="0099614E">
          <w:rPr>
            <w:rStyle w:val="Hyperlink"/>
          </w:rPr>
          <w:t>FFS on GSO scenarios</w:t>
        </w:r>
      </w:hyperlink>
    </w:p>
    <w:p w14:paraId="4B215CAE" w14:textId="206D9EE1" w:rsidR="004E18C0" w:rsidRDefault="00E15968">
      <w:pPr>
        <w:pStyle w:val="TOC1"/>
        <w:tabs>
          <w:tab w:val="left" w:pos="400"/>
        </w:tabs>
        <w:rPr>
          <w:rFonts w:asciiTheme="minorHAnsi" w:eastAsiaTheme="minorEastAsia" w:hAnsiTheme="minorHAnsi"/>
          <w:b w:val="0"/>
          <w:iCs w:val="0"/>
          <w:kern w:val="2"/>
          <w:sz w:val="22"/>
          <w:u w:val="none"/>
          <w:lang w:val="en-GB" w:eastAsia="en-GB"/>
          <w14:ligatures w14:val="standardContextual"/>
        </w:rPr>
      </w:pPr>
      <w:hyperlink w:anchor="_Toc146734288" w:history="1">
        <w:r w:rsidR="004E18C0" w:rsidRPr="0099614E">
          <w:rPr>
            <w:rStyle w:val="Hyperlink"/>
          </w:rPr>
          <w:t>b.</w:t>
        </w:r>
        <w:r w:rsidR="004E18C0">
          <w:rPr>
            <w:rFonts w:asciiTheme="minorHAnsi" w:eastAsiaTheme="minorEastAsia" w:hAnsiTheme="minorHAnsi"/>
            <w:b w:val="0"/>
            <w:iCs w:val="0"/>
            <w:kern w:val="2"/>
            <w:sz w:val="22"/>
            <w:u w:val="none"/>
            <w:lang w:val="en-GB" w:eastAsia="en-GB"/>
            <w14:ligatures w14:val="standardContextual"/>
          </w:rPr>
          <w:tab/>
        </w:r>
        <w:r w:rsidR="004E18C0" w:rsidRPr="0099614E">
          <w:rPr>
            <w:rStyle w:val="Hyperlink"/>
          </w:rPr>
          <w:t>FFS on the test cases for the other objectives.</w:t>
        </w:r>
      </w:hyperlink>
    </w:p>
    <w:p w14:paraId="59ED6B42" w14:textId="2853B112" w:rsidR="004E18C0" w:rsidRDefault="00E15968">
      <w:pPr>
        <w:pStyle w:val="TOC1"/>
        <w:rPr>
          <w:rFonts w:asciiTheme="minorHAnsi" w:eastAsiaTheme="minorEastAsia" w:hAnsiTheme="minorHAnsi"/>
          <w:b w:val="0"/>
          <w:iCs w:val="0"/>
          <w:kern w:val="2"/>
          <w:sz w:val="22"/>
          <w:u w:val="none"/>
          <w:lang w:val="en-GB" w:eastAsia="en-GB"/>
          <w14:ligatures w14:val="standardContextual"/>
        </w:rPr>
      </w:pPr>
      <w:hyperlink w:anchor="_Toc146734289" w:history="1">
        <w:r w:rsidR="004E18C0" w:rsidRPr="0099614E">
          <w:rPr>
            <w:rStyle w:val="Hyperlink"/>
          </w:rPr>
          <w:t>Proposal 2: For Type 2 UEs only consider test cases for UE UL timing accuracy, RLM and Blind HO. UL timing accuracy test case is the same for both Type 1 and Type 2 UE.</w:t>
        </w:r>
      </w:hyperlink>
    </w:p>
    <w:p w14:paraId="043899F9" w14:textId="3FB2DE02" w:rsidR="004E18C0" w:rsidRDefault="00E15968">
      <w:pPr>
        <w:pStyle w:val="TOC1"/>
        <w:tabs>
          <w:tab w:val="left" w:pos="400"/>
        </w:tabs>
        <w:rPr>
          <w:rFonts w:asciiTheme="minorHAnsi" w:eastAsiaTheme="minorEastAsia" w:hAnsiTheme="minorHAnsi"/>
          <w:b w:val="0"/>
          <w:iCs w:val="0"/>
          <w:kern w:val="2"/>
          <w:sz w:val="22"/>
          <w:u w:val="none"/>
          <w:lang w:val="en-GB" w:eastAsia="en-GB"/>
          <w14:ligatures w14:val="standardContextual"/>
        </w:rPr>
      </w:pPr>
      <w:hyperlink w:anchor="_Toc146734290" w:history="1">
        <w:r w:rsidR="004E18C0" w:rsidRPr="0099614E">
          <w:rPr>
            <w:rStyle w:val="Hyperlink"/>
          </w:rPr>
          <w:t>a.</w:t>
        </w:r>
        <w:r w:rsidR="004E18C0">
          <w:rPr>
            <w:rFonts w:asciiTheme="minorHAnsi" w:eastAsiaTheme="minorEastAsia" w:hAnsiTheme="minorHAnsi"/>
            <w:b w:val="0"/>
            <w:iCs w:val="0"/>
            <w:kern w:val="2"/>
            <w:sz w:val="22"/>
            <w:u w:val="none"/>
            <w:lang w:val="en-GB" w:eastAsia="en-GB"/>
            <w14:ligatures w14:val="standardContextual"/>
          </w:rPr>
          <w:tab/>
        </w:r>
        <w:r w:rsidR="004E18C0" w:rsidRPr="0099614E">
          <w:rPr>
            <w:rStyle w:val="Hyperlink"/>
          </w:rPr>
          <w:t>FFS whether the same test cases can be used for Type 2 and Type 1 UEs for RLM and Blind HO with adaptation of the test parameters (e.g. test duration, interruption time, etc).</w:t>
        </w:r>
      </w:hyperlink>
    </w:p>
    <w:p w14:paraId="0A779484" w14:textId="14261C65" w:rsidR="004E18C0" w:rsidRDefault="00E15968">
      <w:pPr>
        <w:pStyle w:val="TOC1"/>
        <w:rPr>
          <w:rFonts w:asciiTheme="minorHAnsi" w:eastAsiaTheme="minorEastAsia" w:hAnsiTheme="minorHAnsi"/>
          <w:b w:val="0"/>
          <w:iCs w:val="0"/>
          <w:kern w:val="2"/>
          <w:sz w:val="22"/>
          <w:u w:val="none"/>
          <w:lang w:val="en-GB" w:eastAsia="en-GB"/>
          <w14:ligatures w14:val="standardContextual"/>
        </w:rPr>
      </w:pPr>
      <w:hyperlink w:anchor="_Toc146734291" w:history="1">
        <w:r w:rsidR="004E18C0" w:rsidRPr="0099614E">
          <w:rPr>
            <w:rStyle w:val="Hyperlink"/>
          </w:rPr>
          <w:t>Proposal 3: For Type 1 UE consider test cases for : UE UL timing accuracy, RLM, CHO, HO and Measurement Procedures</w:t>
        </w:r>
      </w:hyperlink>
    </w:p>
    <w:p w14:paraId="28894221" w14:textId="7237F300" w:rsidR="004E18C0" w:rsidRDefault="00E15968">
      <w:pPr>
        <w:pStyle w:val="TOC1"/>
        <w:rPr>
          <w:rFonts w:asciiTheme="minorHAnsi" w:eastAsiaTheme="minorEastAsia" w:hAnsiTheme="minorHAnsi"/>
          <w:b w:val="0"/>
          <w:iCs w:val="0"/>
          <w:kern w:val="2"/>
          <w:sz w:val="22"/>
          <w:u w:val="none"/>
          <w:lang w:val="en-GB" w:eastAsia="en-GB"/>
          <w14:ligatures w14:val="standardContextual"/>
        </w:rPr>
      </w:pPr>
      <w:hyperlink w:anchor="_Toc146734292" w:history="1">
        <w:r w:rsidR="004E18C0" w:rsidRPr="0099614E">
          <w:rPr>
            <w:rStyle w:val="Hyperlink"/>
          </w:rPr>
          <w:t>Proposal 4: For FR1 objectives RAN4 to introduce test cases at least for the following feathres:</w:t>
        </w:r>
      </w:hyperlink>
    </w:p>
    <w:p w14:paraId="34BAABFA" w14:textId="255650BF" w:rsidR="004E18C0" w:rsidRDefault="00E15968">
      <w:pPr>
        <w:pStyle w:val="TOC1"/>
        <w:tabs>
          <w:tab w:val="left" w:pos="400"/>
        </w:tabs>
        <w:rPr>
          <w:rFonts w:asciiTheme="minorHAnsi" w:eastAsiaTheme="minorEastAsia" w:hAnsiTheme="minorHAnsi"/>
          <w:b w:val="0"/>
          <w:iCs w:val="0"/>
          <w:kern w:val="2"/>
          <w:sz w:val="22"/>
          <w:u w:val="none"/>
          <w:lang w:val="en-GB" w:eastAsia="en-GB"/>
          <w14:ligatures w14:val="standardContextual"/>
        </w:rPr>
      </w:pPr>
      <w:hyperlink w:anchor="_Toc146734293" w:history="1">
        <w:r w:rsidR="004E18C0" w:rsidRPr="0099614E">
          <w:rPr>
            <w:rStyle w:val="Hyperlink"/>
          </w:rPr>
          <w:t>a.</w:t>
        </w:r>
        <w:r w:rsidR="004E18C0">
          <w:rPr>
            <w:rFonts w:asciiTheme="minorHAnsi" w:eastAsiaTheme="minorEastAsia" w:hAnsiTheme="minorHAnsi"/>
            <w:b w:val="0"/>
            <w:iCs w:val="0"/>
            <w:kern w:val="2"/>
            <w:sz w:val="22"/>
            <w:u w:val="none"/>
            <w:lang w:val="en-GB" w:eastAsia="en-GB"/>
            <w14:ligatures w14:val="standardContextual"/>
          </w:rPr>
          <w:tab/>
        </w:r>
        <w:r w:rsidR="004E18C0" w:rsidRPr="0099614E">
          <w:rPr>
            <w:rStyle w:val="Hyperlink"/>
          </w:rPr>
          <w:t>RACH-less HO</w:t>
        </w:r>
      </w:hyperlink>
    </w:p>
    <w:p w14:paraId="7864744D" w14:textId="58BB0138" w:rsidR="004E18C0" w:rsidRDefault="00E15968">
      <w:pPr>
        <w:pStyle w:val="TOC1"/>
        <w:tabs>
          <w:tab w:val="left" w:pos="400"/>
        </w:tabs>
        <w:rPr>
          <w:rFonts w:asciiTheme="minorHAnsi" w:eastAsiaTheme="minorEastAsia" w:hAnsiTheme="minorHAnsi"/>
          <w:b w:val="0"/>
          <w:iCs w:val="0"/>
          <w:kern w:val="2"/>
          <w:sz w:val="22"/>
          <w:u w:val="none"/>
          <w:lang w:val="en-GB" w:eastAsia="en-GB"/>
          <w14:ligatures w14:val="standardContextual"/>
        </w:rPr>
      </w:pPr>
      <w:hyperlink w:anchor="_Toc146734294" w:history="1">
        <w:r w:rsidR="004E18C0" w:rsidRPr="0099614E">
          <w:rPr>
            <w:rStyle w:val="Hyperlink"/>
          </w:rPr>
          <w:t>b.</w:t>
        </w:r>
        <w:r w:rsidR="004E18C0">
          <w:rPr>
            <w:rFonts w:asciiTheme="minorHAnsi" w:eastAsiaTheme="minorEastAsia" w:hAnsiTheme="minorHAnsi"/>
            <w:b w:val="0"/>
            <w:iCs w:val="0"/>
            <w:kern w:val="2"/>
            <w:sz w:val="22"/>
            <w:u w:val="none"/>
            <w:lang w:val="en-GB" w:eastAsia="en-GB"/>
            <w14:ligatures w14:val="standardContextual"/>
          </w:rPr>
          <w:tab/>
        </w:r>
        <w:r w:rsidR="004E18C0" w:rsidRPr="0099614E">
          <w:rPr>
            <w:rStyle w:val="Hyperlink"/>
          </w:rPr>
          <w:t>Satellite Switching without PCI change</w:t>
        </w:r>
      </w:hyperlink>
    </w:p>
    <w:p w14:paraId="40CEB00C" w14:textId="137061A9" w:rsidR="004E18C0" w:rsidRDefault="00E15968">
      <w:pPr>
        <w:pStyle w:val="TOC1"/>
        <w:tabs>
          <w:tab w:val="left" w:pos="400"/>
        </w:tabs>
        <w:rPr>
          <w:rFonts w:asciiTheme="minorHAnsi" w:eastAsiaTheme="minorEastAsia" w:hAnsiTheme="minorHAnsi"/>
          <w:b w:val="0"/>
          <w:iCs w:val="0"/>
          <w:kern w:val="2"/>
          <w:sz w:val="22"/>
          <w:u w:val="none"/>
          <w:lang w:val="en-GB" w:eastAsia="en-GB"/>
          <w14:ligatures w14:val="standardContextual"/>
        </w:rPr>
      </w:pPr>
      <w:hyperlink w:anchor="_Toc146734295" w:history="1">
        <w:r w:rsidR="004E18C0" w:rsidRPr="0099614E">
          <w:rPr>
            <w:rStyle w:val="Hyperlink"/>
          </w:rPr>
          <w:t>c.</w:t>
        </w:r>
        <w:r w:rsidR="004E18C0">
          <w:rPr>
            <w:rFonts w:asciiTheme="minorHAnsi" w:eastAsiaTheme="minorEastAsia" w:hAnsiTheme="minorHAnsi"/>
            <w:b w:val="0"/>
            <w:iCs w:val="0"/>
            <w:kern w:val="2"/>
            <w:sz w:val="22"/>
            <w:u w:val="none"/>
            <w:lang w:val="en-GB" w:eastAsia="en-GB"/>
            <w14:ligatures w14:val="standardContextual"/>
          </w:rPr>
          <w:tab/>
        </w:r>
        <w:r w:rsidR="004E18C0" w:rsidRPr="0099614E">
          <w:rPr>
            <w:rStyle w:val="Hyperlink"/>
          </w:rPr>
          <w:t>NTN to TN Cell reselection</w:t>
        </w:r>
      </w:hyperlink>
    </w:p>
    <w:p w14:paraId="5444A2C9" w14:textId="3A3C6B56" w:rsidR="004E18C0" w:rsidRDefault="00E15968">
      <w:pPr>
        <w:pStyle w:val="TOC1"/>
        <w:tabs>
          <w:tab w:val="left" w:pos="400"/>
        </w:tabs>
        <w:rPr>
          <w:rFonts w:asciiTheme="minorHAnsi" w:eastAsiaTheme="minorEastAsia" w:hAnsiTheme="minorHAnsi"/>
          <w:b w:val="0"/>
          <w:iCs w:val="0"/>
          <w:kern w:val="2"/>
          <w:sz w:val="22"/>
          <w:u w:val="none"/>
          <w:lang w:val="en-GB" w:eastAsia="en-GB"/>
          <w14:ligatures w14:val="standardContextual"/>
        </w:rPr>
      </w:pPr>
      <w:hyperlink w:anchor="_Toc146734296" w:history="1">
        <w:r w:rsidR="004E18C0" w:rsidRPr="0099614E">
          <w:rPr>
            <w:rStyle w:val="Hyperlink"/>
          </w:rPr>
          <w:t>d.</w:t>
        </w:r>
        <w:r w:rsidR="004E18C0">
          <w:rPr>
            <w:rFonts w:asciiTheme="minorHAnsi" w:eastAsiaTheme="minorEastAsia" w:hAnsiTheme="minorHAnsi"/>
            <w:b w:val="0"/>
            <w:iCs w:val="0"/>
            <w:kern w:val="2"/>
            <w:sz w:val="22"/>
            <w:u w:val="none"/>
            <w:lang w:val="en-GB" w:eastAsia="en-GB"/>
            <w14:ligatures w14:val="standardContextual"/>
          </w:rPr>
          <w:tab/>
        </w:r>
        <w:r w:rsidR="004E18C0" w:rsidRPr="0099614E">
          <w:rPr>
            <w:rStyle w:val="Hyperlink"/>
          </w:rPr>
          <w:t>Measurement Initiation triggers for Earth Moving Cells</w:t>
        </w:r>
      </w:hyperlink>
    </w:p>
    <w:p w14:paraId="7BECF8AD" w14:textId="6825DE78" w:rsidR="00847264" w:rsidRPr="008C39F7" w:rsidRDefault="00CF0BE2" w:rsidP="008C39F7">
      <w:r>
        <w:rPr>
          <w:i/>
          <w:iCs/>
          <w:u w:val="single"/>
        </w:rPr>
        <w:fldChar w:fldCharType="end"/>
      </w:r>
    </w:p>
    <w:p w14:paraId="4D0D074C" w14:textId="77777777" w:rsidR="003B659E" w:rsidRPr="008C39F7" w:rsidRDefault="003B659E" w:rsidP="0060543D">
      <w:pPr>
        <w:pStyle w:val="RAN4H1"/>
        <w:numPr>
          <w:ilvl w:val="0"/>
          <w:numId w:val="0"/>
        </w:numPr>
        <w:ind w:left="360" w:hanging="360"/>
      </w:pPr>
      <w:r w:rsidRPr="008C39F7">
        <w:t>References</w:t>
      </w:r>
      <w:bookmarkEnd w:id="19"/>
    </w:p>
    <w:p w14:paraId="1A066D8E" w14:textId="77777777" w:rsidR="001C0296" w:rsidRDefault="001C0296" w:rsidP="001C0296">
      <w:pPr>
        <w:numPr>
          <w:ilvl w:val="0"/>
          <w:numId w:val="21"/>
        </w:numPr>
        <w:overflowPunct w:val="0"/>
        <w:autoSpaceDE w:val="0"/>
        <w:autoSpaceDN w:val="0"/>
        <w:adjustRightInd w:val="0"/>
        <w:spacing w:after="0" w:line="240" w:lineRule="auto"/>
        <w:jc w:val="both"/>
        <w:textAlignment w:val="baseline"/>
      </w:pPr>
      <w:bookmarkStart w:id="20" w:name="_Ref114500673"/>
      <w:bookmarkStart w:id="21" w:name="_Ref54013899"/>
      <w:bookmarkEnd w:id="20"/>
      <w:r w:rsidRPr="00FD51CE">
        <w:t>RP-223534</w:t>
      </w:r>
      <w:r w:rsidRPr="00FF6B64">
        <w:t xml:space="preserve">, </w:t>
      </w:r>
      <w:bookmarkEnd w:id="21"/>
      <w:r w:rsidRPr="001D7FDE">
        <w:t>NR NTN (Non-Terrestrial Networks) enhancements</w:t>
      </w:r>
      <w:r>
        <w:t>, Thales</w:t>
      </w:r>
    </w:p>
    <w:p w14:paraId="7265A91C" w14:textId="36510943" w:rsidR="00C07B05" w:rsidRDefault="00C07B05" w:rsidP="001C0296">
      <w:pPr>
        <w:numPr>
          <w:ilvl w:val="0"/>
          <w:numId w:val="21"/>
        </w:numPr>
        <w:overflowPunct w:val="0"/>
        <w:autoSpaceDE w:val="0"/>
        <w:autoSpaceDN w:val="0"/>
        <w:adjustRightInd w:val="0"/>
        <w:spacing w:after="0" w:line="240" w:lineRule="auto"/>
        <w:jc w:val="both"/>
        <w:textAlignment w:val="baseline"/>
      </w:pPr>
      <w:bookmarkStart w:id="22" w:name="_Ref141279246"/>
      <w:r w:rsidRPr="00C07B05">
        <w:t>R4-2310168</w:t>
      </w:r>
      <w:r>
        <w:t xml:space="preserve">, </w:t>
      </w:r>
      <w:r w:rsidRPr="00C07B05">
        <w:rPr>
          <w:i/>
          <w:iCs/>
        </w:rPr>
        <w:t>WF on NR NTN enhancements RRM requirements</w:t>
      </w:r>
      <w:r>
        <w:t>, Qualcomm Incorporated, 3GPP WG RAN4 #107, Incheon</w:t>
      </w:r>
      <w:bookmarkEnd w:id="22"/>
      <w:r>
        <w:t xml:space="preserve"> </w:t>
      </w:r>
    </w:p>
    <w:p w14:paraId="315B00B1" w14:textId="4F5756AD" w:rsidR="002E5AC7" w:rsidRDefault="002E5AC7" w:rsidP="002E5AC7">
      <w:pPr>
        <w:numPr>
          <w:ilvl w:val="0"/>
          <w:numId w:val="21"/>
        </w:numPr>
        <w:overflowPunct w:val="0"/>
        <w:autoSpaceDE w:val="0"/>
        <w:autoSpaceDN w:val="0"/>
        <w:adjustRightInd w:val="0"/>
        <w:spacing w:after="0" w:line="240" w:lineRule="auto"/>
        <w:jc w:val="both"/>
        <w:textAlignment w:val="baseline"/>
      </w:pPr>
      <w:bookmarkStart w:id="23" w:name="_Ref146543281"/>
      <w:r w:rsidRPr="002E5AC7">
        <w:t>RP-232694</w:t>
      </w:r>
      <w:r>
        <w:t xml:space="preserve">, </w:t>
      </w:r>
      <w:r w:rsidRPr="002E5AC7">
        <w:rPr>
          <w:i/>
          <w:iCs/>
        </w:rPr>
        <w:t>“WF on potential RRM objectives for NR-NTN deployment in above 10 GHz</w:t>
      </w:r>
      <w:r w:rsidRPr="002E5AC7">
        <w:rPr>
          <w:i/>
          <w:iCs/>
        </w:rPr>
        <w:br/>
        <w:t xml:space="preserve"> (NR-NTN-</w:t>
      </w:r>
      <w:proofErr w:type="spellStart"/>
      <w:r w:rsidRPr="002E5AC7">
        <w:rPr>
          <w:i/>
          <w:iCs/>
        </w:rPr>
        <w:t>enh</w:t>
      </w:r>
      <w:proofErr w:type="spellEnd"/>
      <w:r w:rsidRPr="002E5AC7">
        <w:rPr>
          <w:i/>
          <w:iCs/>
        </w:rPr>
        <w:t xml:space="preserve"> WID)”</w:t>
      </w:r>
      <w:r>
        <w:rPr>
          <w:i/>
          <w:iCs/>
        </w:rPr>
        <w:t xml:space="preserve">, </w:t>
      </w:r>
      <w:r>
        <w:t xml:space="preserve">Thales, RAN #101, Bangalore, 11-15 </w:t>
      </w:r>
      <w:proofErr w:type="gramStart"/>
      <w:r>
        <w:t>September,</w:t>
      </w:r>
      <w:proofErr w:type="gramEnd"/>
      <w:r>
        <w:t xml:space="preserve"> 2023.</w:t>
      </w:r>
      <w:bookmarkEnd w:id="23"/>
      <w:r>
        <w:t xml:space="preserve"> </w:t>
      </w:r>
    </w:p>
    <w:p w14:paraId="6D65FC07" w14:textId="77777777" w:rsidR="001F75E6" w:rsidRPr="00BC6B72" w:rsidRDefault="001F75E6" w:rsidP="001F75E6">
      <w:pPr>
        <w:numPr>
          <w:ilvl w:val="0"/>
          <w:numId w:val="21"/>
        </w:numPr>
        <w:autoSpaceDE w:val="0"/>
        <w:autoSpaceDN w:val="0"/>
        <w:adjustRightInd w:val="0"/>
        <w:jc w:val="both"/>
        <w:rPr>
          <w:lang w:val="en-GB"/>
        </w:rPr>
      </w:pPr>
      <w:bookmarkStart w:id="24" w:name="_Ref141960737"/>
      <w:bookmarkStart w:id="25" w:name="_Ref146643586"/>
      <w:r w:rsidRPr="00FD51CE">
        <w:t>RP-2</w:t>
      </w:r>
      <w:r>
        <w:t>32682</w:t>
      </w:r>
      <w:r w:rsidRPr="00FF6B64">
        <w:t xml:space="preserve">, </w:t>
      </w:r>
      <w:r w:rsidRPr="00BC6B72">
        <w:t>Summary of offline discussions for NTN testing</w:t>
      </w:r>
      <w:r>
        <w:t xml:space="preserve">, </w:t>
      </w:r>
      <w:bookmarkEnd w:id="24"/>
      <w:r w:rsidRPr="00BC6B72">
        <w:rPr>
          <w:rFonts w:hint="eastAsia"/>
          <w:lang w:val="en-GB"/>
        </w:rPr>
        <w:t>RAN WG4 Chair, RAN WG5 Chair</w:t>
      </w:r>
      <w:bookmarkEnd w:id="25"/>
    </w:p>
    <w:p w14:paraId="63BE65AB" w14:textId="72D96BB8" w:rsidR="000040DC" w:rsidRPr="001F75E6" w:rsidRDefault="000040DC" w:rsidP="001934BB">
      <w:pPr>
        <w:ind w:right="-22"/>
        <w:rPr>
          <w:lang w:val="en-GB"/>
        </w:rPr>
      </w:pPr>
    </w:p>
    <w:p w14:paraId="5C3E8A85" w14:textId="77777777" w:rsidR="001934BB" w:rsidRDefault="001934BB" w:rsidP="001934BB">
      <w:pPr>
        <w:ind w:right="-22"/>
      </w:pPr>
    </w:p>
    <w:p w14:paraId="64B01ACB" w14:textId="77777777" w:rsidR="001934BB" w:rsidRDefault="001934BB" w:rsidP="001934BB">
      <w:pPr>
        <w:ind w:right="-22"/>
      </w:pPr>
    </w:p>
    <w:sectPr w:rsidR="001934BB"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690E4A" w14:textId="77777777" w:rsidR="005E14CC" w:rsidRDefault="005E14CC" w:rsidP="00001C9B">
      <w:pPr>
        <w:spacing w:after="0" w:line="240" w:lineRule="auto"/>
      </w:pPr>
      <w:r>
        <w:separator/>
      </w:r>
    </w:p>
  </w:endnote>
  <w:endnote w:type="continuationSeparator" w:id="0">
    <w:p w14:paraId="033CAA3B" w14:textId="77777777" w:rsidR="005E14CC" w:rsidRDefault="005E14CC" w:rsidP="00001C9B">
      <w:pPr>
        <w:spacing w:after="0" w:line="240" w:lineRule="auto"/>
      </w:pPr>
      <w:r>
        <w:continuationSeparator/>
      </w:r>
    </w:p>
  </w:endnote>
  <w:endnote w:type="continuationNotice" w:id="1">
    <w:p w14:paraId="4C15D5AD" w14:textId="77777777" w:rsidR="005E14CC" w:rsidRDefault="005E14C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ahnschrift Light">
    <w:panose1 w:val="020B0502040204020203"/>
    <w:charset w:val="00"/>
    <w:family w:val="swiss"/>
    <w:pitch w:val="variable"/>
    <w:sig w:usb0="A00002C7" w:usb1="00000002"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0EE9D3" w14:textId="77777777" w:rsidR="005E14CC" w:rsidRDefault="005E14CC" w:rsidP="00001C9B">
      <w:pPr>
        <w:spacing w:after="0" w:line="240" w:lineRule="auto"/>
      </w:pPr>
      <w:r>
        <w:separator/>
      </w:r>
    </w:p>
  </w:footnote>
  <w:footnote w:type="continuationSeparator" w:id="0">
    <w:p w14:paraId="0218EDB5" w14:textId="77777777" w:rsidR="005E14CC" w:rsidRDefault="005E14CC" w:rsidP="00001C9B">
      <w:pPr>
        <w:spacing w:after="0" w:line="240" w:lineRule="auto"/>
      </w:pPr>
      <w:r>
        <w:continuationSeparator/>
      </w:r>
    </w:p>
  </w:footnote>
  <w:footnote w:type="continuationNotice" w:id="1">
    <w:p w14:paraId="3FEEF62E" w14:textId="77777777" w:rsidR="005E14CC" w:rsidRDefault="005E14C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A9358F0"/>
    <w:multiLevelType w:val="hybridMultilevel"/>
    <w:tmpl w:val="53009D4C"/>
    <w:lvl w:ilvl="0" w:tplc="0E5C23EC">
      <w:start w:val="1"/>
      <w:numFmt w:val="bullet"/>
      <w:lvlText w:val=""/>
      <w:lvlJc w:val="left"/>
      <w:pPr>
        <w:tabs>
          <w:tab w:val="num" w:pos="720"/>
        </w:tabs>
        <w:ind w:left="720" w:hanging="360"/>
      </w:pPr>
      <w:rPr>
        <w:rFonts w:ascii="Symbol" w:hAnsi="Symbol" w:hint="default"/>
      </w:rPr>
    </w:lvl>
    <w:lvl w:ilvl="1" w:tplc="91C00960">
      <w:numFmt w:val="bullet"/>
      <w:lvlText w:val="•"/>
      <w:lvlJc w:val="left"/>
      <w:pPr>
        <w:tabs>
          <w:tab w:val="num" w:pos="1440"/>
        </w:tabs>
        <w:ind w:left="1440" w:hanging="360"/>
      </w:pPr>
      <w:rPr>
        <w:rFonts w:ascii="Arial" w:hAnsi="Arial" w:hint="default"/>
      </w:rPr>
    </w:lvl>
    <w:lvl w:ilvl="2" w:tplc="010A1E64">
      <w:numFmt w:val="bullet"/>
      <w:lvlText w:val="•"/>
      <w:lvlJc w:val="left"/>
      <w:pPr>
        <w:tabs>
          <w:tab w:val="num" w:pos="2160"/>
        </w:tabs>
        <w:ind w:left="2160" w:hanging="360"/>
      </w:pPr>
      <w:rPr>
        <w:rFonts w:ascii="Arial" w:hAnsi="Arial" w:hint="default"/>
      </w:rPr>
    </w:lvl>
    <w:lvl w:ilvl="3" w:tplc="4ECA1ABE" w:tentative="1">
      <w:start w:val="1"/>
      <w:numFmt w:val="bullet"/>
      <w:lvlText w:val=""/>
      <w:lvlJc w:val="left"/>
      <w:pPr>
        <w:tabs>
          <w:tab w:val="num" w:pos="2880"/>
        </w:tabs>
        <w:ind w:left="2880" w:hanging="360"/>
      </w:pPr>
      <w:rPr>
        <w:rFonts w:ascii="Symbol" w:hAnsi="Symbol" w:hint="default"/>
      </w:rPr>
    </w:lvl>
    <w:lvl w:ilvl="4" w:tplc="66E27E1A" w:tentative="1">
      <w:start w:val="1"/>
      <w:numFmt w:val="bullet"/>
      <w:lvlText w:val=""/>
      <w:lvlJc w:val="left"/>
      <w:pPr>
        <w:tabs>
          <w:tab w:val="num" w:pos="3600"/>
        </w:tabs>
        <w:ind w:left="3600" w:hanging="360"/>
      </w:pPr>
      <w:rPr>
        <w:rFonts w:ascii="Symbol" w:hAnsi="Symbol" w:hint="default"/>
      </w:rPr>
    </w:lvl>
    <w:lvl w:ilvl="5" w:tplc="46E05CD4" w:tentative="1">
      <w:start w:val="1"/>
      <w:numFmt w:val="bullet"/>
      <w:lvlText w:val=""/>
      <w:lvlJc w:val="left"/>
      <w:pPr>
        <w:tabs>
          <w:tab w:val="num" w:pos="4320"/>
        </w:tabs>
        <w:ind w:left="4320" w:hanging="360"/>
      </w:pPr>
      <w:rPr>
        <w:rFonts w:ascii="Symbol" w:hAnsi="Symbol" w:hint="default"/>
      </w:rPr>
    </w:lvl>
    <w:lvl w:ilvl="6" w:tplc="B44410EA" w:tentative="1">
      <w:start w:val="1"/>
      <w:numFmt w:val="bullet"/>
      <w:lvlText w:val=""/>
      <w:lvlJc w:val="left"/>
      <w:pPr>
        <w:tabs>
          <w:tab w:val="num" w:pos="5040"/>
        </w:tabs>
        <w:ind w:left="5040" w:hanging="360"/>
      </w:pPr>
      <w:rPr>
        <w:rFonts w:ascii="Symbol" w:hAnsi="Symbol" w:hint="default"/>
      </w:rPr>
    </w:lvl>
    <w:lvl w:ilvl="7" w:tplc="56EE55D0" w:tentative="1">
      <w:start w:val="1"/>
      <w:numFmt w:val="bullet"/>
      <w:lvlText w:val=""/>
      <w:lvlJc w:val="left"/>
      <w:pPr>
        <w:tabs>
          <w:tab w:val="num" w:pos="5760"/>
        </w:tabs>
        <w:ind w:left="5760" w:hanging="360"/>
      </w:pPr>
      <w:rPr>
        <w:rFonts w:ascii="Symbol" w:hAnsi="Symbol" w:hint="default"/>
      </w:rPr>
    </w:lvl>
    <w:lvl w:ilvl="8" w:tplc="66460A40"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2AA3B83"/>
    <w:multiLevelType w:val="hybridMultilevel"/>
    <w:tmpl w:val="AF56E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0E2859"/>
    <w:multiLevelType w:val="hybridMultilevel"/>
    <w:tmpl w:val="156C26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9495E98"/>
    <w:multiLevelType w:val="hybridMultilevel"/>
    <w:tmpl w:val="7B42FF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10D524F"/>
    <w:multiLevelType w:val="hybridMultilevel"/>
    <w:tmpl w:val="EB34A9B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68230A7"/>
    <w:multiLevelType w:val="hybridMultilevel"/>
    <w:tmpl w:val="6CA208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4167AA3"/>
    <w:multiLevelType w:val="hybridMultilevel"/>
    <w:tmpl w:val="3F783D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65C217B"/>
    <w:multiLevelType w:val="multilevel"/>
    <w:tmpl w:val="51081EAC"/>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start w:val="1"/>
      <w:numFmt w:val="bullet"/>
      <w:lvlText w:val=""/>
      <w:lvlJc w:val="left"/>
      <w:pPr>
        <w:ind w:left="7824" w:hanging="360"/>
      </w:pPr>
      <w:rPr>
        <w:rFonts w:ascii="Wingdings" w:hAnsi="Wingdings" w:hint="default"/>
      </w:rPr>
    </w:lvl>
  </w:abstractNum>
  <w:abstractNum w:abstractNumId="20"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6A940B79"/>
    <w:multiLevelType w:val="hybridMultilevel"/>
    <w:tmpl w:val="83861F7E"/>
    <w:lvl w:ilvl="0" w:tplc="ADFE6AA2">
      <w:start w:val="1"/>
      <w:numFmt w:val="bullet"/>
      <w:lvlText w:val=""/>
      <w:lvlJc w:val="left"/>
      <w:pPr>
        <w:tabs>
          <w:tab w:val="num" w:pos="720"/>
        </w:tabs>
        <w:ind w:left="720" w:hanging="360"/>
      </w:pPr>
      <w:rPr>
        <w:rFonts w:ascii="Symbol" w:hAnsi="Symbol" w:hint="default"/>
      </w:rPr>
    </w:lvl>
    <w:lvl w:ilvl="1" w:tplc="4FF02592" w:tentative="1">
      <w:start w:val="1"/>
      <w:numFmt w:val="bullet"/>
      <w:lvlText w:val=""/>
      <w:lvlJc w:val="left"/>
      <w:pPr>
        <w:tabs>
          <w:tab w:val="num" w:pos="1440"/>
        </w:tabs>
        <w:ind w:left="1440" w:hanging="360"/>
      </w:pPr>
      <w:rPr>
        <w:rFonts w:ascii="Symbol" w:hAnsi="Symbol" w:hint="default"/>
      </w:rPr>
    </w:lvl>
    <w:lvl w:ilvl="2" w:tplc="DF5AFACC" w:tentative="1">
      <w:start w:val="1"/>
      <w:numFmt w:val="bullet"/>
      <w:lvlText w:val=""/>
      <w:lvlJc w:val="left"/>
      <w:pPr>
        <w:tabs>
          <w:tab w:val="num" w:pos="2160"/>
        </w:tabs>
        <w:ind w:left="2160" w:hanging="360"/>
      </w:pPr>
      <w:rPr>
        <w:rFonts w:ascii="Symbol" w:hAnsi="Symbol" w:hint="default"/>
      </w:rPr>
    </w:lvl>
    <w:lvl w:ilvl="3" w:tplc="FC028590" w:tentative="1">
      <w:start w:val="1"/>
      <w:numFmt w:val="bullet"/>
      <w:lvlText w:val=""/>
      <w:lvlJc w:val="left"/>
      <w:pPr>
        <w:tabs>
          <w:tab w:val="num" w:pos="2880"/>
        </w:tabs>
        <w:ind w:left="2880" w:hanging="360"/>
      </w:pPr>
      <w:rPr>
        <w:rFonts w:ascii="Symbol" w:hAnsi="Symbol" w:hint="default"/>
      </w:rPr>
    </w:lvl>
    <w:lvl w:ilvl="4" w:tplc="62F8399C" w:tentative="1">
      <w:start w:val="1"/>
      <w:numFmt w:val="bullet"/>
      <w:lvlText w:val=""/>
      <w:lvlJc w:val="left"/>
      <w:pPr>
        <w:tabs>
          <w:tab w:val="num" w:pos="3600"/>
        </w:tabs>
        <w:ind w:left="3600" w:hanging="360"/>
      </w:pPr>
      <w:rPr>
        <w:rFonts w:ascii="Symbol" w:hAnsi="Symbol" w:hint="default"/>
      </w:rPr>
    </w:lvl>
    <w:lvl w:ilvl="5" w:tplc="88C693CC" w:tentative="1">
      <w:start w:val="1"/>
      <w:numFmt w:val="bullet"/>
      <w:lvlText w:val=""/>
      <w:lvlJc w:val="left"/>
      <w:pPr>
        <w:tabs>
          <w:tab w:val="num" w:pos="4320"/>
        </w:tabs>
        <w:ind w:left="4320" w:hanging="360"/>
      </w:pPr>
      <w:rPr>
        <w:rFonts w:ascii="Symbol" w:hAnsi="Symbol" w:hint="default"/>
      </w:rPr>
    </w:lvl>
    <w:lvl w:ilvl="6" w:tplc="860C0B7E" w:tentative="1">
      <w:start w:val="1"/>
      <w:numFmt w:val="bullet"/>
      <w:lvlText w:val=""/>
      <w:lvlJc w:val="left"/>
      <w:pPr>
        <w:tabs>
          <w:tab w:val="num" w:pos="5040"/>
        </w:tabs>
        <w:ind w:left="5040" w:hanging="360"/>
      </w:pPr>
      <w:rPr>
        <w:rFonts w:ascii="Symbol" w:hAnsi="Symbol" w:hint="default"/>
      </w:rPr>
    </w:lvl>
    <w:lvl w:ilvl="7" w:tplc="46FC8320" w:tentative="1">
      <w:start w:val="1"/>
      <w:numFmt w:val="bullet"/>
      <w:lvlText w:val=""/>
      <w:lvlJc w:val="left"/>
      <w:pPr>
        <w:tabs>
          <w:tab w:val="num" w:pos="5760"/>
        </w:tabs>
        <w:ind w:left="5760" w:hanging="360"/>
      </w:pPr>
      <w:rPr>
        <w:rFonts w:ascii="Symbol" w:hAnsi="Symbol" w:hint="default"/>
      </w:rPr>
    </w:lvl>
    <w:lvl w:ilvl="8" w:tplc="C41CF748"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703C7ED3"/>
    <w:multiLevelType w:val="hybridMultilevel"/>
    <w:tmpl w:val="8D1AB4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55A6010"/>
    <w:multiLevelType w:val="hybridMultilevel"/>
    <w:tmpl w:val="16588798"/>
    <w:lvl w:ilvl="0" w:tplc="6CB24F08">
      <w:start w:val="1"/>
      <w:numFmt w:val="bullet"/>
      <w:lvlText w:val=""/>
      <w:lvlJc w:val="left"/>
      <w:pPr>
        <w:tabs>
          <w:tab w:val="num" w:pos="720"/>
        </w:tabs>
        <w:ind w:left="720" w:hanging="360"/>
      </w:pPr>
      <w:rPr>
        <w:rFonts w:ascii="Symbol" w:hAnsi="Symbol" w:hint="default"/>
      </w:rPr>
    </w:lvl>
    <w:lvl w:ilvl="1" w:tplc="3DB49462" w:tentative="1">
      <w:start w:val="1"/>
      <w:numFmt w:val="bullet"/>
      <w:lvlText w:val=""/>
      <w:lvlJc w:val="left"/>
      <w:pPr>
        <w:tabs>
          <w:tab w:val="num" w:pos="1440"/>
        </w:tabs>
        <w:ind w:left="1440" w:hanging="360"/>
      </w:pPr>
      <w:rPr>
        <w:rFonts w:ascii="Symbol" w:hAnsi="Symbol" w:hint="default"/>
      </w:rPr>
    </w:lvl>
    <w:lvl w:ilvl="2" w:tplc="0D420E02" w:tentative="1">
      <w:start w:val="1"/>
      <w:numFmt w:val="bullet"/>
      <w:lvlText w:val=""/>
      <w:lvlJc w:val="left"/>
      <w:pPr>
        <w:tabs>
          <w:tab w:val="num" w:pos="2160"/>
        </w:tabs>
        <w:ind w:left="2160" w:hanging="360"/>
      </w:pPr>
      <w:rPr>
        <w:rFonts w:ascii="Symbol" w:hAnsi="Symbol" w:hint="default"/>
      </w:rPr>
    </w:lvl>
    <w:lvl w:ilvl="3" w:tplc="E01404C8" w:tentative="1">
      <w:start w:val="1"/>
      <w:numFmt w:val="bullet"/>
      <w:lvlText w:val=""/>
      <w:lvlJc w:val="left"/>
      <w:pPr>
        <w:tabs>
          <w:tab w:val="num" w:pos="2880"/>
        </w:tabs>
        <w:ind w:left="2880" w:hanging="360"/>
      </w:pPr>
      <w:rPr>
        <w:rFonts w:ascii="Symbol" w:hAnsi="Symbol" w:hint="default"/>
      </w:rPr>
    </w:lvl>
    <w:lvl w:ilvl="4" w:tplc="DE889B66" w:tentative="1">
      <w:start w:val="1"/>
      <w:numFmt w:val="bullet"/>
      <w:lvlText w:val=""/>
      <w:lvlJc w:val="left"/>
      <w:pPr>
        <w:tabs>
          <w:tab w:val="num" w:pos="3600"/>
        </w:tabs>
        <w:ind w:left="3600" w:hanging="360"/>
      </w:pPr>
      <w:rPr>
        <w:rFonts w:ascii="Symbol" w:hAnsi="Symbol" w:hint="default"/>
      </w:rPr>
    </w:lvl>
    <w:lvl w:ilvl="5" w:tplc="3A5E7B8E" w:tentative="1">
      <w:start w:val="1"/>
      <w:numFmt w:val="bullet"/>
      <w:lvlText w:val=""/>
      <w:lvlJc w:val="left"/>
      <w:pPr>
        <w:tabs>
          <w:tab w:val="num" w:pos="4320"/>
        </w:tabs>
        <w:ind w:left="4320" w:hanging="360"/>
      </w:pPr>
      <w:rPr>
        <w:rFonts w:ascii="Symbol" w:hAnsi="Symbol" w:hint="default"/>
      </w:rPr>
    </w:lvl>
    <w:lvl w:ilvl="6" w:tplc="74FC761A" w:tentative="1">
      <w:start w:val="1"/>
      <w:numFmt w:val="bullet"/>
      <w:lvlText w:val=""/>
      <w:lvlJc w:val="left"/>
      <w:pPr>
        <w:tabs>
          <w:tab w:val="num" w:pos="5040"/>
        </w:tabs>
        <w:ind w:left="5040" w:hanging="360"/>
      </w:pPr>
      <w:rPr>
        <w:rFonts w:ascii="Symbol" w:hAnsi="Symbol" w:hint="default"/>
      </w:rPr>
    </w:lvl>
    <w:lvl w:ilvl="7" w:tplc="340882F4" w:tentative="1">
      <w:start w:val="1"/>
      <w:numFmt w:val="bullet"/>
      <w:lvlText w:val=""/>
      <w:lvlJc w:val="left"/>
      <w:pPr>
        <w:tabs>
          <w:tab w:val="num" w:pos="5760"/>
        </w:tabs>
        <w:ind w:left="5760" w:hanging="360"/>
      </w:pPr>
      <w:rPr>
        <w:rFonts w:ascii="Symbol" w:hAnsi="Symbol" w:hint="default"/>
      </w:rPr>
    </w:lvl>
    <w:lvl w:ilvl="8" w:tplc="41D29A1C"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6945348">
    <w:abstractNumId w:val="1"/>
  </w:num>
  <w:num w:numId="2" w16cid:durableId="1469392472">
    <w:abstractNumId w:val="7"/>
  </w:num>
  <w:num w:numId="3" w16cid:durableId="1792749823">
    <w:abstractNumId w:val="15"/>
  </w:num>
  <w:num w:numId="4" w16cid:durableId="517735681">
    <w:abstractNumId w:val="6"/>
  </w:num>
  <w:num w:numId="5" w16cid:durableId="1142041724">
    <w:abstractNumId w:val="20"/>
  </w:num>
  <w:num w:numId="6" w16cid:durableId="80681869">
    <w:abstractNumId w:val="13"/>
  </w:num>
  <w:num w:numId="7" w16cid:durableId="1566528953">
    <w:abstractNumId w:val="14"/>
  </w:num>
  <w:num w:numId="8" w16cid:durableId="809788981">
    <w:abstractNumId w:val="14"/>
    <w:lvlOverride w:ilvl="0">
      <w:startOverride w:val="1"/>
    </w:lvlOverride>
  </w:num>
  <w:num w:numId="9" w16cid:durableId="1398822153">
    <w:abstractNumId w:val="14"/>
    <w:lvlOverride w:ilvl="0">
      <w:startOverride w:val="1"/>
    </w:lvlOverride>
  </w:num>
  <w:num w:numId="10" w16cid:durableId="1825466284">
    <w:abstractNumId w:val="14"/>
    <w:lvlOverride w:ilvl="0">
      <w:startOverride w:val="1"/>
    </w:lvlOverride>
  </w:num>
  <w:num w:numId="11" w16cid:durableId="1446922321">
    <w:abstractNumId w:val="13"/>
    <w:lvlOverride w:ilvl="0">
      <w:startOverride w:val="1"/>
    </w:lvlOverride>
  </w:num>
  <w:num w:numId="12" w16cid:durableId="122584543">
    <w:abstractNumId w:val="14"/>
    <w:lvlOverride w:ilvl="0">
      <w:startOverride w:val="1"/>
    </w:lvlOverride>
  </w:num>
  <w:num w:numId="13" w16cid:durableId="818807267">
    <w:abstractNumId w:val="13"/>
    <w:lvlOverride w:ilvl="0">
      <w:startOverride w:val="1"/>
    </w:lvlOverride>
  </w:num>
  <w:num w:numId="14" w16cid:durableId="883829348">
    <w:abstractNumId w:val="14"/>
    <w:lvlOverride w:ilvl="0">
      <w:startOverride w:val="1"/>
    </w:lvlOverride>
  </w:num>
  <w:num w:numId="15" w16cid:durableId="438372887">
    <w:abstractNumId w:val="24"/>
  </w:num>
  <w:num w:numId="16" w16cid:durableId="516113510">
    <w:abstractNumId w:val="5"/>
  </w:num>
  <w:num w:numId="17" w16cid:durableId="1456096507">
    <w:abstractNumId w:val="18"/>
  </w:num>
  <w:num w:numId="18" w16cid:durableId="1397970374">
    <w:abstractNumId w:val="18"/>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1"/>
  </w:num>
  <w:num w:numId="21" w16cid:durableId="1659071369">
    <w:abstractNumId w:val="16"/>
  </w:num>
  <w:num w:numId="22" w16cid:durableId="1938362445">
    <w:abstractNumId w:val="13"/>
    <w:lvlOverride w:ilvl="0">
      <w:startOverride w:val="1"/>
    </w:lvlOverride>
  </w:num>
  <w:num w:numId="23" w16cid:durableId="913515990">
    <w:abstractNumId w:val="14"/>
    <w:lvlOverride w:ilvl="0">
      <w:startOverride w:val="1"/>
    </w:lvlOverride>
  </w:num>
  <w:num w:numId="24" w16cid:durableId="978418003">
    <w:abstractNumId w:val="3"/>
  </w:num>
  <w:num w:numId="25" w16cid:durableId="143009612">
    <w:abstractNumId w:val="0"/>
  </w:num>
  <w:num w:numId="26" w16cid:durableId="212620654">
    <w:abstractNumId w:val="0"/>
    <w:lvlOverride w:ilvl="0">
      <w:startOverride w:val="1"/>
    </w:lvlOverride>
  </w:num>
  <w:num w:numId="27" w16cid:durableId="1661154510">
    <w:abstractNumId w:val="4"/>
  </w:num>
  <w:num w:numId="28" w16cid:durableId="2124037807">
    <w:abstractNumId w:val="25"/>
  </w:num>
  <w:num w:numId="29" w16cid:durableId="2052608810">
    <w:abstractNumId w:val="22"/>
  </w:num>
  <w:num w:numId="30" w16cid:durableId="304354281">
    <w:abstractNumId w:val="19"/>
  </w:num>
  <w:num w:numId="31" w16cid:durableId="136840271">
    <w:abstractNumId w:val="8"/>
  </w:num>
  <w:num w:numId="32" w16cid:durableId="1583295858">
    <w:abstractNumId w:val="10"/>
  </w:num>
  <w:num w:numId="33" w16cid:durableId="45836843">
    <w:abstractNumId w:val="12"/>
  </w:num>
  <w:num w:numId="34" w16cid:durableId="1002047310">
    <w:abstractNumId w:val="17"/>
  </w:num>
  <w:num w:numId="35" w16cid:durableId="806355872">
    <w:abstractNumId w:val="2"/>
  </w:num>
  <w:num w:numId="36" w16cid:durableId="899175062">
    <w:abstractNumId w:val="21"/>
  </w:num>
  <w:num w:numId="37" w16cid:durableId="2075464845">
    <w:abstractNumId w:val="23"/>
  </w:num>
  <w:num w:numId="38" w16cid:durableId="178703981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I3NjY3NLIwMzI3MDJU0lEKTi0uzszPAykwNKwFAMKqG70tAAAA"/>
  </w:docVars>
  <w:rsids>
    <w:rsidRoot w:val="00F8141A"/>
    <w:rsid w:val="00001C9B"/>
    <w:rsid w:val="000040DC"/>
    <w:rsid w:val="00011784"/>
    <w:rsid w:val="00012CE7"/>
    <w:rsid w:val="000151EF"/>
    <w:rsid w:val="000239F5"/>
    <w:rsid w:val="00025C10"/>
    <w:rsid w:val="00025D3F"/>
    <w:rsid w:val="00036ACD"/>
    <w:rsid w:val="00041B56"/>
    <w:rsid w:val="00072FC3"/>
    <w:rsid w:val="00080D2C"/>
    <w:rsid w:val="0008612A"/>
    <w:rsid w:val="00090E18"/>
    <w:rsid w:val="00094903"/>
    <w:rsid w:val="000A10BC"/>
    <w:rsid w:val="000A57C1"/>
    <w:rsid w:val="000B0056"/>
    <w:rsid w:val="000C3C7B"/>
    <w:rsid w:val="000C511F"/>
    <w:rsid w:val="000D0F93"/>
    <w:rsid w:val="00106416"/>
    <w:rsid w:val="00110481"/>
    <w:rsid w:val="001127C9"/>
    <w:rsid w:val="00114498"/>
    <w:rsid w:val="00115B88"/>
    <w:rsid w:val="0012611D"/>
    <w:rsid w:val="00132F6A"/>
    <w:rsid w:val="00133913"/>
    <w:rsid w:val="00140221"/>
    <w:rsid w:val="00141817"/>
    <w:rsid w:val="001642FC"/>
    <w:rsid w:val="0016496B"/>
    <w:rsid w:val="001743E2"/>
    <w:rsid w:val="001745F8"/>
    <w:rsid w:val="001838CF"/>
    <w:rsid w:val="0018428F"/>
    <w:rsid w:val="001868EE"/>
    <w:rsid w:val="001934BB"/>
    <w:rsid w:val="001A3BA4"/>
    <w:rsid w:val="001A6D1F"/>
    <w:rsid w:val="001C0296"/>
    <w:rsid w:val="001D2282"/>
    <w:rsid w:val="001D4AD9"/>
    <w:rsid w:val="001E30F6"/>
    <w:rsid w:val="001F75E6"/>
    <w:rsid w:val="00204021"/>
    <w:rsid w:val="00217EE5"/>
    <w:rsid w:val="002264D7"/>
    <w:rsid w:val="00227031"/>
    <w:rsid w:val="00235F5C"/>
    <w:rsid w:val="00244745"/>
    <w:rsid w:val="00257FA3"/>
    <w:rsid w:val="00275C92"/>
    <w:rsid w:val="00277B56"/>
    <w:rsid w:val="00280B89"/>
    <w:rsid w:val="002864C5"/>
    <w:rsid w:val="002A19F5"/>
    <w:rsid w:val="002B4922"/>
    <w:rsid w:val="002C0EEC"/>
    <w:rsid w:val="002C22C3"/>
    <w:rsid w:val="002C2D19"/>
    <w:rsid w:val="002D10FA"/>
    <w:rsid w:val="002D2024"/>
    <w:rsid w:val="002D4C55"/>
    <w:rsid w:val="002E5AC7"/>
    <w:rsid w:val="002E6DED"/>
    <w:rsid w:val="00300956"/>
    <w:rsid w:val="0030455F"/>
    <w:rsid w:val="00305820"/>
    <w:rsid w:val="00317187"/>
    <w:rsid w:val="00320144"/>
    <w:rsid w:val="003230DC"/>
    <w:rsid w:val="0032499A"/>
    <w:rsid w:val="003341F7"/>
    <w:rsid w:val="00347FEC"/>
    <w:rsid w:val="003509DF"/>
    <w:rsid w:val="00356F45"/>
    <w:rsid w:val="00363F7D"/>
    <w:rsid w:val="00366B74"/>
    <w:rsid w:val="00386A83"/>
    <w:rsid w:val="00392683"/>
    <w:rsid w:val="0039406B"/>
    <w:rsid w:val="00394E9E"/>
    <w:rsid w:val="00395F6A"/>
    <w:rsid w:val="003A111C"/>
    <w:rsid w:val="003A710A"/>
    <w:rsid w:val="003B659E"/>
    <w:rsid w:val="003C275E"/>
    <w:rsid w:val="003C37D6"/>
    <w:rsid w:val="003C4FDE"/>
    <w:rsid w:val="003D2041"/>
    <w:rsid w:val="003E58DF"/>
    <w:rsid w:val="003F2161"/>
    <w:rsid w:val="00404C4C"/>
    <w:rsid w:val="00411EC7"/>
    <w:rsid w:val="0041423F"/>
    <w:rsid w:val="00414F81"/>
    <w:rsid w:val="0043680A"/>
    <w:rsid w:val="00436A0F"/>
    <w:rsid w:val="00437150"/>
    <w:rsid w:val="0043750A"/>
    <w:rsid w:val="00441669"/>
    <w:rsid w:val="00441EA9"/>
    <w:rsid w:val="00447577"/>
    <w:rsid w:val="00460BED"/>
    <w:rsid w:val="004732E9"/>
    <w:rsid w:val="0048211A"/>
    <w:rsid w:val="004854BB"/>
    <w:rsid w:val="00494493"/>
    <w:rsid w:val="00496606"/>
    <w:rsid w:val="004C3486"/>
    <w:rsid w:val="004D24FB"/>
    <w:rsid w:val="004E18C0"/>
    <w:rsid w:val="004E5E66"/>
    <w:rsid w:val="004E7ADB"/>
    <w:rsid w:val="00503B4D"/>
    <w:rsid w:val="00504EE9"/>
    <w:rsid w:val="0051476D"/>
    <w:rsid w:val="00521576"/>
    <w:rsid w:val="00522897"/>
    <w:rsid w:val="005250E6"/>
    <w:rsid w:val="00525A8B"/>
    <w:rsid w:val="005319C4"/>
    <w:rsid w:val="00531FC6"/>
    <w:rsid w:val="00542357"/>
    <w:rsid w:val="00542D23"/>
    <w:rsid w:val="0054442C"/>
    <w:rsid w:val="00550285"/>
    <w:rsid w:val="00551E90"/>
    <w:rsid w:val="00562492"/>
    <w:rsid w:val="0056617A"/>
    <w:rsid w:val="005705A0"/>
    <w:rsid w:val="00572A20"/>
    <w:rsid w:val="005836F8"/>
    <w:rsid w:val="005918FA"/>
    <w:rsid w:val="00592A86"/>
    <w:rsid w:val="00593318"/>
    <w:rsid w:val="005B3D49"/>
    <w:rsid w:val="005B4801"/>
    <w:rsid w:val="005C23A4"/>
    <w:rsid w:val="005D1CDF"/>
    <w:rsid w:val="005D2BB7"/>
    <w:rsid w:val="005E14CC"/>
    <w:rsid w:val="005E61A8"/>
    <w:rsid w:val="005F6419"/>
    <w:rsid w:val="005F6DDC"/>
    <w:rsid w:val="0060543D"/>
    <w:rsid w:val="006104DD"/>
    <w:rsid w:val="006130B5"/>
    <w:rsid w:val="00614F27"/>
    <w:rsid w:val="00617400"/>
    <w:rsid w:val="00632D29"/>
    <w:rsid w:val="00657BA2"/>
    <w:rsid w:val="00664950"/>
    <w:rsid w:val="0067119A"/>
    <w:rsid w:val="00677A4B"/>
    <w:rsid w:val="00681596"/>
    <w:rsid w:val="00683220"/>
    <w:rsid w:val="006837A8"/>
    <w:rsid w:val="00687FA0"/>
    <w:rsid w:val="00690D0C"/>
    <w:rsid w:val="00696E96"/>
    <w:rsid w:val="006A07D7"/>
    <w:rsid w:val="006A3C11"/>
    <w:rsid w:val="006B7010"/>
    <w:rsid w:val="006C0328"/>
    <w:rsid w:val="006C3095"/>
    <w:rsid w:val="006D069D"/>
    <w:rsid w:val="006D728A"/>
    <w:rsid w:val="006E1151"/>
    <w:rsid w:val="006E6311"/>
    <w:rsid w:val="007108A0"/>
    <w:rsid w:val="00710BE6"/>
    <w:rsid w:val="007145FF"/>
    <w:rsid w:val="00715B2A"/>
    <w:rsid w:val="007450F1"/>
    <w:rsid w:val="00751515"/>
    <w:rsid w:val="00753B1D"/>
    <w:rsid w:val="007606F1"/>
    <w:rsid w:val="007626B7"/>
    <w:rsid w:val="007725CB"/>
    <w:rsid w:val="00775489"/>
    <w:rsid w:val="00780E81"/>
    <w:rsid w:val="0078212B"/>
    <w:rsid w:val="00782724"/>
    <w:rsid w:val="00784DF6"/>
    <w:rsid w:val="00785232"/>
    <w:rsid w:val="00792B58"/>
    <w:rsid w:val="00792B6D"/>
    <w:rsid w:val="007B186C"/>
    <w:rsid w:val="007B5AF7"/>
    <w:rsid w:val="007C1696"/>
    <w:rsid w:val="007C3ED0"/>
    <w:rsid w:val="007C5971"/>
    <w:rsid w:val="007D1B67"/>
    <w:rsid w:val="007E5785"/>
    <w:rsid w:val="007F2916"/>
    <w:rsid w:val="007F54B9"/>
    <w:rsid w:val="0080081C"/>
    <w:rsid w:val="00806A76"/>
    <w:rsid w:val="008074AB"/>
    <w:rsid w:val="00811C9D"/>
    <w:rsid w:val="00816C80"/>
    <w:rsid w:val="00824B38"/>
    <w:rsid w:val="008310FA"/>
    <w:rsid w:val="00841BCD"/>
    <w:rsid w:val="00847264"/>
    <w:rsid w:val="00851A8E"/>
    <w:rsid w:val="0085365B"/>
    <w:rsid w:val="008826C1"/>
    <w:rsid w:val="00883DFD"/>
    <w:rsid w:val="008945FA"/>
    <w:rsid w:val="008979C8"/>
    <w:rsid w:val="008A1BF7"/>
    <w:rsid w:val="008A5B0E"/>
    <w:rsid w:val="008B0961"/>
    <w:rsid w:val="008B0BEC"/>
    <w:rsid w:val="008C39F7"/>
    <w:rsid w:val="008C536B"/>
    <w:rsid w:val="008D1814"/>
    <w:rsid w:val="008D7ABE"/>
    <w:rsid w:val="008E071E"/>
    <w:rsid w:val="008E372A"/>
    <w:rsid w:val="008E7E55"/>
    <w:rsid w:val="008F3CCA"/>
    <w:rsid w:val="008F75A7"/>
    <w:rsid w:val="0090091A"/>
    <w:rsid w:val="009042BD"/>
    <w:rsid w:val="00904FE4"/>
    <w:rsid w:val="00911E45"/>
    <w:rsid w:val="00926253"/>
    <w:rsid w:val="00936159"/>
    <w:rsid w:val="00977E1D"/>
    <w:rsid w:val="00983A6B"/>
    <w:rsid w:val="009A2477"/>
    <w:rsid w:val="009B0573"/>
    <w:rsid w:val="009B7B4B"/>
    <w:rsid w:val="009B7C21"/>
    <w:rsid w:val="009C2E67"/>
    <w:rsid w:val="009C2EEA"/>
    <w:rsid w:val="009C6E9D"/>
    <w:rsid w:val="009C7A94"/>
    <w:rsid w:val="009F2CA6"/>
    <w:rsid w:val="00A04992"/>
    <w:rsid w:val="00A07553"/>
    <w:rsid w:val="00A147AA"/>
    <w:rsid w:val="00A1503B"/>
    <w:rsid w:val="00A1585A"/>
    <w:rsid w:val="00A21D71"/>
    <w:rsid w:val="00A22B78"/>
    <w:rsid w:val="00A25AE5"/>
    <w:rsid w:val="00A3155A"/>
    <w:rsid w:val="00A37002"/>
    <w:rsid w:val="00A4355E"/>
    <w:rsid w:val="00A520D9"/>
    <w:rsid w:val="00A92BCD"/>
    <w:rsid w:val="00AA1B0E"/>
    <w:rsid w:val="00AA47B6"/>
    <w:rsid w:val="00AB6F6F"/>
    <w:rsid w:val="00AC163B"/>
    <w:rsid w:val="00AC5861"/>
    <w:rsid w:val="00AC5CA7"/>
    <w:rsid w:val="00AC6058"/>
    <w:rsid w:val="00AD0082"/>
    <w:rsid w:val="00AE2BA5"/>
    <w:rsid w:val="00AE56B1"/>
    <w:rsid w:val="00AE6D09"/>
    <w:rsid w:val="00AF7A7C"/>
    <w:rsid w:val="00B02070"/>
    <w:rsid w:val="00B129FD"/>
    <w:rsid w:val="00B2039E"/>
    <w:rsid w:val="00B31208"/>
    <w:rsid w:val="00B3156B"/>
    <w:rsid w:val="00B408B6"/>
    <w:rsid w:val="00B54013"/>
    <w:rsid w:val="00B542DA"/>
    <w:rsid w:val="00B57F9B"/>
    <w:rsid w:val="00B73862"/>
    <w:rsid w:val="00B73F43"/>
    <w:rsid w:val="00B75BBF"/>
    <w:rsid w:val="00BA3AA4"/>
    <w:rsid w:val="00BA6B66"/>
    <w:rsid w:val="00BA6E48"/>
    <w:rsid w:val="00BB2FD3"/>
    <w:rsid w:val="00BB3939"/>
    <w:rsid w:val="00BC2BEB"/>
    <w:rsid w:val="00BD4D12"/>
    <w:rsid w:val="00BE0AF6"/>
    <w:rsid w:val="00BE1F03"/>
    <w:rsid w:val="00BE58A7"/>
    <w:rsid w:val="00BF2218"/>
    <w:rsid w:val="00BF5CE9"/>
    <w:rsid w:val="00C0426B"/>
    <w:rsid w:val="00C045DF"/>
    <w:rsid w:val="00C07B05"/>
    <w:rsid w:val="00C20473"/>
    <w:rsid w:val="00C26D43"/>
    <w:rsid w:val="00C4466E"/>
    <w:rsid w:val="00C44958"/>
    <w:rsid w:val="00C46548"/>
    <w:rsid w:val="00C574D5"/>
    <w:rsid w:val="00C72DAB"/>
    <w:rsid w:val="00C73F32"/>
    <w:rsid w:val="00C751B9"/>
    <w:rsid w:val="00C77803"/>
    <w:rsid w:val="00C85643"/>
    <w:rsid w:val="00C87462"/>
    <w:rsid w:val="00CA180C"/>
    <w:rsid w:val="00CB22B2"/>
    <w:rsid w:val="00CC3EE2"/>
    <w:rsid w:val="00CD7492"/>
    <w:rsid w:val="00CD7EDB"/>
    <w:rsid w:val="00CE2703"/>
    <w:rsid w:val="00CE3A6B"/>
    <w:rsid w:val="00CE5D1F"/>
    <w:rsid w:val="00CF0BE2"/>
    <w:rsid w:val="00CF7E20"/>
    <w:rsid w:val="00D00211"/>
    <w:rsid w:val="00D03BD3"/>
    <w:rsid w:val="00D06309"/>
    <w:rsid w:val="00D24E42"/>
    <w:rsid w:val="00D351EA"/>
    <w:rsid w:val="00D3597A"/>
    <w:rsid w:val="00D40288"/>
    <w:rsid w:val="00D43403"/>
    <w:rsid w:val="00D5270B"/>
    <w:rsid w:val="00D62E71"/>
    <w:rsid w:val="00D64192"/>
    <w:rsid w:val="00D6430D"/>
    <w:rsid w:val="00D66188"/>
    <w:rsid w:val="00D7027C"/>
    <w:rsid w:val="00D731F6"/>
    <w:rsid w:val="00D740CA"/>
    <w:rsid w:val="00D85728"/>
    <w:rsid w:val="00D8631A"/>
    <w:rsid w:val="00D863D0"/>
    <w:rsid w:val="00D95481"/>
    <w:rsid w:val="00D96F39"/>
    <w:rsid w:val="00D97975"/>
    <w:rsid w:val="00D97D04"/>
    <w:rsid w:val="00DC7A13"/>
    <w:rsid w:val="00DF2997"/>
    <w:rsid w:val="00E10BC4"/>
    <w:rsid w:val="00E1415D"/>
    <w:rsid w:val="00E15968"/>
    <w:rsid w:val="00E20FA2"/>
    <w:rsid w:val="00E23321"/>
    <w:rsid w:val="00E323E9"/>
    <w:rsid w:val="00E3323E"/>
    <w:rsid w:val="00E34018"/>
    <w:rsid w:val="00E3417B"/>
    <w:rsid w:val="00E43799"/>
    <w:rsid w:val="00E437D2"/>
    <w:rsid w:val="00E44901"/>
    <w:rsid w:val="00E55751"/>
    <w:rsid w:val="00E66BC2"/>
    <w:rsid w:val="00E679AC"/>
    <w:rsid w:val="00E87EA0"/>
    <w:rsid w:val="00EA2311"/>
    <w:rsid w:val="00EC1F58"/>
    <w:rsid w:val="00EC3698"/>
    <w:rsid w:val="00EC3E77"/>
    <w:rsid w:val="00EC7BC3"/>
    <w:rsid w:val="00ED1787"/>
    <w:rsid w:val="00ED1D3C"/>
    <w:rsid w:val="00ED7600"/>
    <w:rsid w:val="00EF6073"/>
    <w:rsid w:val="00EF698B"/>
    <w:rsid w:val="00EF76B6"/>
    <w:rsid w:val="00F1362C"/>
    <w:rsid w:val="00F35C29"/>
    <w:rsid w:val="00F414F1"/>
    <w:rsid w:val="00F47795"/>
    <w:rsid w:val="00F508B8"/>
    <w:rsid w:val="00F5307C"/>
    <w:rsid w:val="00F658D0"/>
    <w:rsid w:val="00F72CB1"/>
    <w:rsid w:val="00F8141A"/>
    <w:rsid w:val="00F8215E"/>
    <w:rsid w:val="00F824F5"/>
    <w:rsid w:val="00F84C4F"/>
    <w:rsid w:val="00F90FAB"/>
    <w:rsid w:val="00F9374D"/>
    <w:rsid w:val="00FA513E"/>
    <w:rsid w:val="00FC29B9"/>
    <w:rsid w:val="00FC6FD3"/>
    <w:rsid w:val="00FE2AA4"/>
    <w:rsid w:val="00FE305C"/>
    <w:rsid w:val="00FF03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1D5D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2703"/>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R4_bullets,- Bullets,?? ??,?????,????,Lista1,列出段落1,中等深浅网格 1 - 着色 21,列表段落1,—ño’i—Ž,¥¡¡¡¡ì¬º¥¹¥È¶ÎÂä,ÁÐ³ö¶ÎÂä,¥ê¥¹¥È¶ÎÂä,1st level - Bullet List Paragraph,Lettre d'introduction,Paragrafo elenco,Normal bullet 2,목록 단"/>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R4_bullets Char,- Bullets Char,?? ?? Char,????? Char,???? Char,Lista1 Char,列出段落1 Char,中等深浅网格 1 - 着色 21 Char,列表段落1 Char,—ño’i—Ž Char,¥¡¡¡¡ì¬º¥¹¥È¶ÎÂä Char,ÁÐ³ö¶ÎÂä Char,¥ê¥¹¥È¶ÎÂä Char,목록 단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D8631A"/>
    <w:pPr>
      <w:tabs>
        <w:tab w:val="right" w:leader="dot" w:pos="9617"/>
      </w:tabs>
      <w:spacing w:after="100"/>
    </w:pPr>
    <w:rPr>
      <w:b/>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Bahnschrift Light" w:hAnsi="Bahnschrift 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customStyle="1" w:styleId="TAH">
    <w:name w:val="TAH"/>
    <w:basedOn w:val="TAC"/>
    <w:link w:val="TAHCar"/>
    <w:rsid w:val="00A07553"/>
    <w:rPr>
      <w:b/>
    </w:rPr>
  </w:style>
  <w:style w:type="paragraph" w:customStyle="1" w:styleId="TAC">
    <w:name w:val="TAC"/>
    <w:basedOn w:val="Normal"/>
    <w:link w:val="TACChar"/>
    <w:rsid w:val="00A07553"/>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val="en-GB" w:eastAsia="en-GB"/>
    </w:rPr>
  </w:style>
  <w:style w:type="character" w:customStyle="1" w:styleId="TACChar">
    <w:name w:val="TAC Char"/>
    <w:link w:val="TAC"/>
    <w:qFormat/>
    <w:rsid w:val="00A07553"/>
    <w:rPr>
      <w:rFonts w:ascii="Arial" w:eastAsia="Times New Roman" w:hAnsi="Arial" w:cs="Times New Roman"/>
      <w:sz w:val="18"/>
      <w:szCs w:val="20"/>
      <w:lang w:val="en-GB" w:eastAsia="en-GB"/>
    </w:rPr>
  </w:style>
  <w:style w:type="character" w:customStyle="1" w:styleId="TAHCar">
    <w:name w:val="TAH Car"/>
    <w:link w:val="TAH"/>
    <w:qFormat/>
    <w:rsid w:val="00A07553"/>
    <w:rPr>
      <w:rFonts w:ascii="Arial" w:eastAsia="Times New Roman" w:hAnsi="Arial" w:cs="Times New Roman"/>
      <w:b/>
      <w:sz w:val="18"/>
      <w:szCs w:val="20"/>
      <w:lang w:val="en-GB" w:eastAsia="en-GB"/>
    </w:rPr>
  </w:style>
  <w:style w:type="paragraph" w:customStyle="1" w:styleId="TH">
    <w:name w:val="TH"/>
    <w:basedOn w:val="Normal"/>
    <w:link w:val="THChar"/>
    <w:rsid w:val="00A07553"/>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val="en-GB" w:eastAsia="en-GB"/>
    </w:rPr>
  </w:style>
  <w:style w:type="character" w:customStyle="1" w:styleId="THChar">
    <w:name w:val="TH Char"/>
    <w:link w:val="TH"/>
    <w:qFormat/>
    <w:rsid w:val="00A07553"/>
    <w:rPr>
      <w:rFonts w:ascii="Arial" w:eastAsia="Times New Roman" w:hAnsi="Arial" w:cs="Times New Roman"/>
      <w:b/>
      <w:sz w:val="20"/>
      <w:szCs w:val="20"/>
      <w:lang w:val="en-GB" w:eastAsia="en-GB"/>
    </w:rPr>
  </w:style>
  <w:style w:type="paragraph" w:customStyle="1" w:styleId="TAN">
    <w:name w:val="TAN"/>
    <w:basedOn w:val="Normal"/>
    <w:link w:val="TANChar"/>
    <w:rsid w:val="00A07553"/>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val="en-GB" w:eastAsia="en-GB"/>
    </w:rPr>
  </w:style>
  <w:style w:type="character" w:customStyle="1" w:styleId="TANChar">
    <w:name w:val="TAN Char"/>
    <w:link w:val="TAN"/>
    <w:qFormat/>
    <w:rsid w:val="00A07553"/>
    <w:rPr>
      <w:rFonts w:ascii="Arial" w:eastAsia="Times New Roman" w:hAnsi="Arial" w:cs="Times New Roman"/>
      <w:sz w:val="18"/>
      <w:szCs w:val="20"/>
      <w:lang w:val="en-GB" w:eastAsia="en-GB"/>
    </w:rPr>
  </w:style>
  <w:style w:type="paragraph" w:styleId="Header">
    <w:name w:val="header"/>
    <w:basedOn w:val="Normal"/>
    <w:link w:val="HeaderChar"/>
    <w:uiPriority w:val="99"/>
    <w:unhideWhenUsed/>
    <w:rsid w:val="00C85643"/>
    <w:pPr>
      <w:tabs>
        <w:tab w:val="center" w:pos="4819"/>
        <w:tab w:val="right" w:pos="9638"/>
      </w:tabs>
      <w:spacing w:after="0" w:line="240" w:lineRule="auto"/>
    </w:pPr>
  </w:style>
  <w:style w:type="character" w:customStyle="1" w:styleId="HeaderChar">
    <w:name w:val="Header Char"/>
    <w:basedOn w:val="DefaultParagraphFont"/>
    <w:link w:val="Header"/>
    <w:uiPriority w:val="99"/>
    <w:rsid w:val="00C85643"/>
    <w:rPr>
      <w:rFonts w:ascii="Times New Roman" w:hAnsi="Times New Roman"/>
      <w:sz w:val="20"/>
    </w:rPr>
  </w:style>
  <w:style w:type="paragraph" w:styleId="Footer">
    <w:name w:val="footer"/>
    <w:basedOn w:val="Normal"/>
    <w:link w:val="FooterChar"/>
    <w:uiPriority w:val="99"/>
    <w:unhideWhenUsed/>
    <w:rsid w:val="00C85643"/>
    <w:pPr>
      <w:tabs>
        <w:tab w:val="center" w:pos="4819"/>
        <w:tab w:val="right" w:pos="9638"/>
      </w:tabs>
      <w:spacing w:after="0" w:line="240" w:lineRule="auto"/>
    </w:pPr>
  </w:style>
  <w:style w:type="character" w:customStyle="1" w:styleId="FooterChar">
    <w:name w:val="Footer Char"/>
    <w:basedOn w:val="DefaultParagraphFont"/>
    <w:link w:val="Footer"/>
    <w:uiPriority w:val="99"/>
    <w:rsid w:val="00C85643"/>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0119732">
      <w:bodyDiv w:val="1"/>
      <w:marLeft w:val="0"/>
      <w:marRight w:val="0"/>
      <w:marTop w:val="0"/>
      <w:marBottom w:val="0"/>
      <w:divBdr>
        <w:top w:val="none" w:sz="0" w:space="0" w:color="auto"/>
        <w:left w:val="none" w:sz="0" w:space="0" w:color="auto"/>
        <w:bottom w:val="none" w:sz="0" w:space="0" w:color="auto"/>
        <w:right w:val="none" w:sz="0" w:space="0" w:color="auto"/>
      </w:divBdr>
    </w:div>
    <w:div w:id="1269507524">
      <w:bodyDiv w:val="1"/>
      <w:marLeft w:val="0"/>
      <w:marRight w:val="0"/>
      <w:marTop w:val="0"/>
      <w:marBottom w:val="0"/>
      <w:divBdr>
        <w:top w:val="none" w:sz="0" w:space="0" w:color="auto"/>
        <w:left w:val="none" w:sz="0" w:space="0" w:color="auto"/>
        <w:bottom w:val="none" w:sz="0" w:space="0" w:color="auto"/>
        <w:right w:val="none" w:sz="0" w:space="0" w:color="auto"/>
      </w:divBdr>
    </w:div>
    <w:div w:id="20039216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571BF9-93EE-43FF-BCDF-498E020C8278}">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1585</Words>
  <Characters>9036</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2023-09-27T17:38:00Z</dcterms:created>
  <dcterms:modified xsi:type="dcterms:W3CDTF">2023-09-27T17:38:00Z</dcterms:modified>
</cp:coreProperties>
</file>