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555AE" w14:textId="453CE414" w:rsidR="00CB78E9" w:rsidRPr="008C39F7" w:rsidRDefault="00CB78E9" w:rsidP="00CB78E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463A6E" w:rsidRPr="00463A6E">
        <w:rPr>
          <w:rFonts w:ascii="Arial" w:eastAsia="SimSun" w:hAnsi="Arial" w:cs="Times New Roman"/>
          <w:b/>
          <w:bCs/>
          <w:sz w:val="24"/>
          <w:szCs w:val="20"/>
        </w:rPr>
        <w:t>R4-231625</w:t>
      </w:r>
      <w:r w:rsidR="005B5D5F">
        <w:rPr>
          <w:rFonts w:ascii="Arial" w:eastAsia="SimSun" w:hAnsi="Arial" w:cs="Times New Roman"/>
          <w:b/>
          <w:bCs/>
          <w:sz w:val="24"/>
          <w:szCs w:val="20"/>
        </w:rPr>
        <w:t>8</w:t>
      </w:r>
    </w:p>
    <w:p w14:paraId="3384C549" w14:textId="77777777" w:rsidR="00CB78E9" w:rsidRPr="002B69F3" w:rsidRDefault="00CB78E9" w:rsidP="00CB78E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1135855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D491666"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7ED1EF3" w14:textId="068EAD5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31914">
        <w:rPr>
          <w:rFonts w:ascii="Arial" w:eastAsia="Calibri" w:hAnsi="Arial" w:cs="Arial"/>
          <w:b/>
          <w:bCs/>
          <w:sz w:val="24"/>
        </w:rPr>
        <w:t>Service continuity and mobility enhancements between TN and NTN</w:t>
      </w:r>
    </w:p>
    <w:p w14:paraId="2EC9063A" w14:textId="511072F7" w:rsidR="00841BCD" w:rsidRPr="00031914" w:rsidRDefault="00841BCD" w:rsidP="00841BCD">
      <w:pPr>
        <w:tabs>
          <w:tab w:val="left" w:pos="1985"/>
        </w:tabs>
        <w:spacing w:after="120" w:line="240" w:lineRule="auto"/>
        <w:rPr>
          <w:rFonts w:ascii="Arial" w:eastAsia="MS Mincho" w:hAnsi="Arial" w:cs="Arial"/>
          <w:b/>
          <w:bCs/>
          <w:sz w:val="24"/>
          <w:szCs w:val="20"/>
          <w:lang w:val="pt-BR"/>
        </w:rPr>
      </w:pPr>
      <w:r w:rsidRPr="00031914">
        <w:rPr>
          <w:rFonts w:ascii="Arial" w:eastAsia="MS Mincho" w:hAnsi="Arial" w:cs="Arial"/>
          <w:b/>
          <w:bCs/>
          <w:sz w:val="24"/>
          <w:szCs w:val="20"/>
          <w:lang w:val="pt-BR"/>
        </w:rPr>
        <w:t>Agenda item:</w:t>
      </w:r>
      <w:r w:rsidRPr="00031914">
        <w:rPr>
          <w:rFonts w:ascii="Arial" w:eastAsia="MS Mincho" w:hAnsi="Arial" w:cs="Arial"/>
          <w:b/>
          <w:bCs/>
          <w:sz w:val="24"/>
          <w:szCs w:val="20"/>
          <w:lang w:val="pt-BR"/>
        </w:rPr>
        <w:tab/>
      </w:r>
      <w:r w:rsidR="00212A33">
        <w:rPr>
          <w:rFonts w:ascii="Arial" w:eastAsia="MS Mincho" w:hAnsi="Arial" w:cs="Arial"/>
          <w:b/>
          <w:bCs/>
          <w:sz w:val="24"/>
          <w:szCs w:val="20"/>
          <w:lang w:val="pt-BR"/>
        </w:rPr>
        <w:t>5</w:t>
      </w:r>
      <w:r w:rsidR="00031914">
        <w:rPr>
          <w:rFonts w:ascii="Arial" w:eastAsia="MS Mincho" w:hAnsi="Arial" w:cs="Arial"/>
          <w:b/>
          <w:bCs/>
          <w:sz w:val="24"/>
          <w:szCs w:val="20"/>
          <w:lang w:val="pt-BR"/>
        </w:rPr>
        <w:t>.26.</w:t>
      </w:r>
      <w:r w:rsidR="00212A33">
        <w:rPr>
          <w:rFonts w:ascii="Arial" w:eastAsia="MS Mincho" w:hAnsi="Arial" w:cs="Arial"/>
          <w:b/>
          <w:bCs/>
          <w:sz w:val="24"/>
          <w:szCs w:val="20"/>
          <w:lang w:val="pt-BR"/>
        </w:rPr>
        <w:t>6</w:t>
      </w:r>
      <w:r w:rsidR="00031914">
        <w:rPr>
          <w:rFonts w:ascii="Arial" w:eastAsia="MS Mincho" w:hAnsi="Arial" w:cs="Arial"/>
          <w:b/>
          <w:bCs/>
          <w:sz w:val="24"/>
          <w:szCs w:val="20"/>
          <w:lang w:val="pt-BR"/>
        </w:rPr>
        <w:t>.3</w:t>
      </w:r>
    </w:p>
    <w:p w14:paraId="7100B084"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280A2CD" w14:textId="77777777" w:rsidR="00E323E9" w:rsidRPr="008C39F7" w:rsidRDefault="00E323E9" w:rsidP="00841BCD">
      <w:pPr>
        <w:tabs>
          <w:tab w:val="left" w:pos="1985"/>
        </w:tabs>
        <w:rPr>
          <w:rFonts w:ascii="Arial" w:eastAsia="Calibri" w:hAnsi="Arial" w:cs="Arial"/>
          <w:b/>
          <w:bCs/>
          <w:sz w:val="24"/>
        </w:rPr>
      </w:pPr>
    </w:p>
    <w:p w14:paraId="5BF26D36"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C1F9E61" w14:textId="58760445" w:rsidR="00E323E9" w:rsidRPr="008C39F7" w:rsidRDefault="00031914" w:rsidP="005C23A4">
      <w:r w:rsidRPr="00031914">
        <w:t xml:space="preserve">The NTN WI, as presented in [1], includes </w:t>
      </w:r>
      <w:r>
        <w:t>objectives for the NTN enhancements in Rel-18, including improvements on service continuity and mobility enhancements between TN and NTN.:</w:t>
      </w:r>
    </w:p>
    <w:p w14:paraId="340B9BAC" w14:textId="77777777" w:rsidR="0060543D" w:rsidRDefault="0060543D" w:rsidP="005C23A4"/>
    <w:tbl>
      <w:tblPr>
        <w:tblStyle w:val="TableGrid"/>
        <w:tblW w:w="0" w:type="auto"/>
        <w:jc w:val="center"/>
        <w:tblLook w:val="04A0" w:firstRow="1" w:lastRow="0" w:firstColumn="1" w:lastColumn="0" w:noHBand="0" w:noVBand="1"/>
      </w:tblPr>
      <w:tblGrid>
        <w:gridCol w:w="9000"/>
      </w:tblGrid>
      <w:tr w:rsidR="00A520D9" w:rsidRPr="008C39F7" w14:paraId="6C55EE1D" w14:textId="77777777" w:rsidTr="000A62C5">
        <w:trPr>
          <w:jc w:val="center"/>
        </w:trPr>
        <w:tc>
          <w:tcPr>
            <w:tcW w:w="9000" w:type="dxa"/>
          </w:tcPr>
          <w:p w14:paraId="15093318" w14:textId="77777777" w:rsidR="00031914" w:rsidRDefault="00031914" w:rsidP="00031914">
            <w:pPr>
              <w:rPr>
                <w:bCs/>
              </w:rPr>
            </w:pPr>
            <w:r>
              <w:rPr>
                <w:bCs/>
              </w:rPr>
              <w:t>4.1.4</w:t>
            </w:r>
            <w:r>
              <w:rPr>
                <w:bCs/>
              </w:rPr>
              <w:tab/>
              <w:t>NTN-TN and NTN-NTN mobility and service continuity enhancements</w:t>
            </w:r>
          </w:p>
          <w:p w14:paraId="1CF9EE2C" w14:textId="77777777" w:rsidR="00031914" w:rsidRDefault="00031914" w:rsidP="00031914">
            <w:pPr>
              <w:rPr>
                <w:bCs/>
              </w:rPr>
            </w:pPr>
          </w:p>
          <w:p w14:paraId="3B32C847" w14:textId="77777777" w:rsidR="00031914" w:rsidRDefault="00031914" w:rsidP="00031914">
            <w:pPr>
              <w:rPr>
                <w:bCs/>
              </w:rPr>
            </w:pPr>
            <w:r>
              <w:rPr>
                <w:bCs/>
              </w:rPr>
              <w:t>This work considers existing methods from NR TN as well as outcome of Rel-17 NR NTN WI outcome as baseline for NTN-TN mobility.</w:t>
            </w:r>
          </w:p>
          <w:p w14:paraId="263A31C6" w14:textId="77777777" w:rsidR="00031914" w:rsidRDefault="00031914" w:rsidP="00031914">
            <w:pPr>
              <w:rPr>
                <w:bCs/>
              </w:rPr>
            </w:pPr>
          </w:p>
          <w:p w14:paraId="21943493" w14:textId="77777777" w:rsidR="00031914" w:rsidRPr="00031914" w:rsidRDefault="00031914" w:rsidP="00031914">
            <w:pPr>
              <w:numPr>
                <w:ilvl w:val="0"/>
                <w:numId w:val="27"/>
              </w:numPr>
              <w:spacing w:line="256" w:lineRule="auto"/>
              <w:rPr>
                <w:bCs/>
                <w:highlight w:val="cyan"/>
              </w:rPr>
            </w:pPr>
            <w:r w:rsidRPr="00031914">
              <w:rPr>
                <w:bCs/>
                <w:highlight w:val="cyan"/>
              </w:rPr>
              <w:t>Specify NTN-TN and NTN-NTN measurement/mobility and service continuity enhancements [RAN2,RAN3,RAN4]</w:t>
            </w:r>
          </w:p>
          <w:p w14:paraId="4DB1B55B" w14:textId="77777777" w:rsidR="00031914" w:rsidRPr="00031914" w:rsidRDefault="00031914" w:rsidP="00031914">
            <w:pPr>
              <w:numPr>
                <w:ilvl w:val="1"/>
                <w:numId w:val="27"/>
              </w:numPr>
              <w:spacing w:line="256" w:lineRule="auto"/>
              <w:rPr>
                <w:bCs/>
                <w:highlight w:val="cyan"/>
              </w:rPr>
            </w:pPr>
            <w:r w:rsidRPr="00031914">
              <w:rPr>
                <w:bCs/>
                <w:highlight w:val="cyan"/>
              </w:rPr>
              <w:t>For NTN-NTN mobility, specify cell reselection enhancements for earth moving cell, the timing based and location-based cell reselection for quasi-earth fixed cell in Rel-17 can be considered as the starting point. [RAN2, RAN3, RAN4]</w:t>
            </w:r>
          </w:p>
          <w:p w14:paraId="3587489D" w14:textId="77777777" w:rsidR="00031914" w:rsidRDefault="00031914" w:rsidP="00031914">
            <w:pPr>
              <w:numPr>
                <w:ilvl w:val="1"/>
                <w:numId w:val="27"/>
              </w:numPr>
              <w:spacing w:line="256" w:lineRule="auto"/>
              <w:rPr>
                <w:bCs/>
              </w:rPr>
            </w:pPr>
            <w:r>
              <w:rPr>
                <w:bCs/>
              </w:rPr>
              <w:t xml:space="preserve">Specify NTN-NTN handover enhancement for RRC_CONNECTED UEs in the quasi-earth-fixed cell and earth-moving cell to reduce the </w:t>
            </w:r>
            <w:proofErr w:type="spellStart"/>
            <w:r>
              <w:rPr>
                <w:bCs/>
              </w:rPr>
              <w:t>signalling</w:t>
            </w:r>
            <w:proofErr w:type="spellEnd"/>
            <w:r>
              <w:rPr>
                <w:bCs/>
              </w:rPr>
              <w:t xml:space="preserve"> overhead. [RAN2, RAN3]</w:t>
            </w:r>
          </w:p>
          <w:p w14:paraId="21F97FBC" w14:textId="77777777" w:rsidR="00031914" w:rsidRPr="00031914" w:rsidRDefault="00031914" w:rsidP="00031914">
            <w:pPr>
              <w:numPr>
                <w:ilvl w:val="1"/>
                <w:numId w:val="27"/>
              </w:numPr>
              <w:spacing w:line="256" w:lineRule="auto"/>
              <w:rPr>
                <w:bCs/>
                <w:highlight w:val="cyan"/>
              </w:rPr>
            </w:pPr>
            <w:r w:rsidRPr="00031914">
              <w:rPr>
                <w:bCs/>
                <w:highlight w:val="cyan"/>
              </w:rPr>
              <w:t>Specify cell reselection enhancements for RRC_IDLE/INACTIVE UEs to reduce UE power consumption (NTN-TN mobility is prioritized). [RAN2, RAN3, RAN4]</w:t>
            </w:r>
          </w:p>
          <w:p w14:paraId="7BA61AD2" w14:textId="77777777" w:rsidR="00031914" w:rsidRDefault="00031914" w:rsidP="00031914">
            <w:pPr>
              <w:numPr>
                <w:ilvl w:val="1"/>
                <w:numId w:val="27"/>
              </w:numPr>
              <w:spacing w:line="256" w:lineRule="auto"/>
              <w:rPr>
                <w:bCs/>
              </w:rPr>
            </w:pPr>
            <w:r>
              <w:rPr>
                <w:bCs/>
              </w:rPr>
              <w:t xml:space="preserve">Study and, if needed, specify enhancement to </w:t>
            </w:r>
            <w:proofErr w:type="spellStart"/>
            <w:r>
              <w:rPr>
                <w:bCs/>
              </w:rPr>
              <w:t>Xn</w:t>
            </w:r>
            <w:proofErr w:type="spellEnd"/>
            <w:r>
              <w:rPr>
                <w:bCs/>
              </w:rPr>
              <w:t xml:space="preserve">[/NG] </w:t>
            </w:r>
            <w:proofErr w:type="spellStart"/>
            <w:r>
              <w:rPr>
                <w:bCs/>
              </w:rPr>
              <w:t>signalling</w:t>
            </w:r>
            <w:proofErr w:type="spellEnd"/>
            <w:r>
              <w:rPr>
                <w:bCs/>
              </w:rPr>
              <w:t xml:space="preserve"> to support feeder link switch-over, CHO, </w:t>
            </w:r>
            <w:proofErr w:type="gramStart"/>
            <w:r>
              <w:rPr>
                <w:bCs/>
              </w:rPr>
              <w:t>e.g.</w:t>
            </w:r>
            <w:proofErr w:type="gramEnd"/>
            <w:r>
              <w:rPr>
                <w:bCs/>
              </w:rPr>
              <w:t xml:space="preserve"> exchange of necessary information between </w:t>
            </w:r>
            <w:proofErr w:type="spellStart"/>
            <w:r>
              <w:rPr>
                <w:bCs/>
              </w:rPr>
              <w:t>gNBs</w:t>
            </w:r>
            <w:proofErr w:type="spellEnd"/>
            <w:r>
              <w:rPr>
                <w:bCs/>
              </w:rPr>
              <w:t>. [RAN3]</w:t>
            </w:r>
          </w:p>
          <w:p w14:paraId="45C687D6" w14:textId="77777777" w:rsidR="00A520D9" w:rsidRPr="008C39F7" w:rsidRDefault="00A520D9" w:rsidP="000A62C5"/>
        </w:tc>
      </w:tr>
    </w:tbl>
    <w:p w14:paraId="379CB26A" w14:textId="77777777" w:rsidR="00A520D9" w:rsidRPr="008C39F7" w:rsidRDefault="00A520D9" w:rsidP="005C23A4"/>
    <w:p w14:paraId="11756B4C" w14:textId="21D3C0F8" w:rsidR="0060543D" w:rsidRDefault="00031914" w:rsidP="005C23A4">
      <w:r>
        <w:t>Besides, in previous meetings, RAN4 has</w:t>
      </w:r>
      <w:r w:rsidR="005B6F0E">
        <w:t xml:space="preserve"> initiated the discussion on the topic and some progress was made and captured in</w:t>
      </w:r>
      <w:r w:rsidR="00AD1383">
        <w:t xml:space="preserve"> </w:t>
      </w:r>
      <w:r w:rsidR="00AD1383">
        <w:fldChar w:fldCharType="begin"/>
      </w:r>
      <w:r w:rsidR="00AD1383">
        <w:instrText xml:space="preserve"> REF _Ref146534405 \r \h </w:instrText>
      </w:r>
      <w:r w:rsidR="00AD1383">
        <w:fldChar w:fldCharType="separate"/>
      </w:r>
      <w:r w:rsidR="00AD1383">
        <w:t>[2]</w:t>
      </w:r>
      <w:r w:rsidR="00AD1383">
        <w:fldChar w:fldCharType="end"/>
      </w:r>
      <w:r w:rsidR="005B6F0E">
        <w:t xml:space="preserve">. This contribution aims at some of the open issues discussed in previous RAN4 meeting and to specify requirements to cover some of the RAN1 and RAN2 agreements </w:t>
      </w:r>
      <w:r w:rsidR="00AD1383">
        <w:t>on enhanced mobility features for NTN. This contribution covers the following aspects:</w:t>
      </w:r>
    </w:p>
    <w:p w14:paraId="071E1B11" w14:textId="13F19FC2" w:rsidR="00AD1383" w:rsidRDefault="0006042A" w:rsidP="0006042A">
      <w:pPr>
        <w:pStyle w:val="ListParagraph"/>
        <w:numPr>
          <w:ilvl w:val="0"/>
          <w:numId w:val="32"/>
        </w:numPr>
      </w:pPr>
      <w:r>
        <w:t>Idle Mode Mobility Enhancements</w:t>
      </w:r>
    </w:p>
    <w:p w14:paraId="59FF5B70" w14:textId="4D5EC88C" w:rsidR="0006042A" w:rsidRDefault="0006042A" w:rsidP="0006042A">
      <w:pPr>
        <w:pStyle w:val="ListParagraph"/>
        <w:numPr>
          <w:ilvl w:val="1"/>
          <w:numId w:val="32"/>
        </w:numPr>
      </w:pPr>
      <w:r>
        <w:t>TN to NTN cell reselection</w:t>
      </w:r>
    </w:p>
    <w:p w14:paraId="6ADD6924" w14:textId="2B3FBF01" w:rsidR="0006042A" w:rsidRDefault="0006042A" w:rsidP="0006042A">
      <w:pPr>
        <w:pStyle w:val="ListParagraph"/>
        <w:numPr>
          <w:ilvl w:val="1"/>
          <w:numId w:val="32"/>
        </w:numPr>
      </w:pPr>
      <w:r>
        <w:t>NTN to TN Cell reselection</w:t>
      </w:r>
    </w:p>
    <w:p w14:paraId="612E66F6" w14:textId="4104584F" w:rsidR="0006042A" w:rsidRDefault="00F2579F" w:rsidP="0006042A">
      <w:pPr>
        <w:pStyle w:val="ListParagraph"/>
        <w:numPr>
          <w:ilvl w:val="1"/>
          <w:numId w:val="32"/>
        </w:numPr>
      </w:pPr>
      <w:r>
        <w:t>Measurement Initiation triggers for Earth Moving Cells</w:t>
      </w:r>
    </w:p>
    <w:p w14:paraId="0719021E" w14:textId="14992596" w:rsidR="00F2579F" w:rsidRDefault="00F2579F" w:rsidP="00F2579F">
      <w:pPr>
        <w:pStyle w:val="ListParagraph"/>
        <w:numPr>
          <w:ilvl w:val="0"/>
          <w:numId w:val="32"/>
        </w:numPr>
      </w:pPr>
      <w:r>
        <w:t>Connected mode mobility</w:t>
      </w:r>
      <w:r w:rsidR="0048773A">
        <w:t xml:space="preserve"> </w:t>
      </w:r>
      <w:proofErr w:type="gramStart"/>
      <w:r w:rsidR="0048773A">
        <w:t>enhancements</w:t>
      </w:r>
      <w:proofErr w:type="gramEnd"/>
    </w:p>
    <w:p w14:paraId="06BDA733" w14:textId="5111FD62" w:rsidR="0048773A" w:rsidRDefault="0048773A" w:rsidP="0048773A">
      <w:pPr>
        <w:pStyle w:val="ListParagraph"/>
        <w:numPr>
          <w:ilvl w:val="1"/>
          <w:numId w:val="32"/>
        </w:numPr>
      </w:pPr>
      <w:r>
        <w:t>RACH-less HO</w:t>
      </w:r>
    </w:p>
    <w:p w14:paraId="3D06C318" w14:textId="0A706B75" w:rsidR="0048773A" w:rsidRPr="008C39F7" w:rsidRDefault="0048773A" w:rsidP="0048773A">
      <w:pPr>
        <w:pStyle w:val="ListParagraph"/>
        <w:numPr>
          <w:ilvl w:val="1"/>
          <w:numId w:val="32"/>
        </w:numPr>
      </w:pPr>
      <w:r>
        <w:t xml:space="preserve">Satellite Switching without PCI </w:t>
      </w:r>
      <w:proofErr w:type="gramStart"/>
      <w:r>
        <w:t>change</w:t>
      </w:r>
      <w:proofErr w:type="gramEnd"/>
    </w:p>
    <w:p w14:paraId="60A1ED77" w14:textId="77777777" w:rsidR="003B659E" w:rsidRPr="008C39F7" w:rsidRDefault="003B659E" w:rsidP="00AE56B1">
      <w:pPr>
        <w:pStyle w:val="RAN4H1"/>
      </w:pPr>
      <w:bookmarkStart w:id="4" w:name="_Toc116995842"/>
      <w:r w:rsidRPr="008C39F7">
        <w:lastRenderedPageBreak/>
        <w:t>Discussion</w:t>
      </w:r>
      <w:bookmarkEnd w:id="4"/>
    </w:p>
    <w:p w14:paraId="5B14D0EA" w14:textId="2B859F4E" w:rsidR="00FD3B2A" w:rsidRDefault="00FD3B2A" w:rsidP="00FD3B2A">
      <w:pPr>
        <w:pStyle w:val="RAN4H2"/>
      </w:pPr>
      <w:r>
        <w:t>Idle Mode Mobility Enhancements</w:t>
      </w:r>
    </w:p>
    <w:p w14:paraId="06ACFABD" w14:textId="77777777" w:rsidR="0048773A" w:rsidRDefault="0048773A" w:rsidP="00473648">
      <w:pPr>
        <w:pStyle w:val="RAN4H3"/>
      </w:pPr>
      <w:r>
        <w:t>TN to NTN cell reselection</w:t>
      </w:r>
    </w:p>
    <w:p w14:paraId="2841FDA9" w14:textId="0FF3555E" w:rsidR="0048773A" w:rsidRDefault="00473648" w:rsidP="0048773A">
      <w:r>
        <w:t xml:space="preserve">In the previous meeting, RAN4 discussed whether to treat the case of cell reselection from TN to NTN, </w:t>
      </w:r>
      <w:r w:rsidR="00A23673">
        <w:t xml:space="preserve">and it was left for further investigation whether to establish requirements for this type of </w:t>
      </w:r>
      <w:r w:rsidR="00634334">
        <w:t>cell reselection:</w:t>
      </w:r>
    </w:p>
    <w:tbl>
      <w:tblPr>
        <w:tblStyle w:val="TableGrid"/>
        <w:tblW w:w="0" w:type="auto"/>
        <w:tblLook w:val="04A0" w:firstRow="1" w:lastRow="0" w:firstColumn="1" w:lastColumn="0" w:noHBand="0" w:noVBand="1"/>
      </w:tblPr>
      <w:tblGrid>
        <w:gridCol w:w="9617"/>
      </w:tblGrid>
      <w:tr w:rsidR="00634334" w14:paraId="36457F7E" w14:textId="77777777" w:rsidTr="00634334">
        <w:tc>
          <w:tcPr>
            <w:tcW w:w="9617" w:type="dxa"/>
          </w:tcPr>
          <w:p w14:paraId="7D8DCDA9" w14:textId="3B7DBEEF" w:rsidR="00865976" w:rsidRPr="00D573EE" w:rsidRDefault="00865976" w:rsidP="00865976">
            <w:pPr>
              <w:spacing w:after="120" w:line="252" w:lineRule="auto"/>
              <w:ind w:firstLine="284"/>
              <w:rPr>
                <w:b/>
                <w:bCs/>
                <w:u w:val="single"/>
                <w:lang w:eastAsia="ja-JP"/>
              </w:rPr>
            </w:pPr>
            <w:r w:rsidRPr="00D573EE">
              <w:rPr>
                <w:b/>
                <w:bCs/>
                <w:u w:val="single"/>
                <w:lang w:eastAsia="ja-JP"/>
              </w:rPr>
              <w:t>Agreement</w:t>
            </w:r>
            <w:r>
              <w:rPr>
                <w:b/>
                <w:bCs/>
                <w:u w:val="single"/>
                <w:lang w:eastAsia="ja-JP"/>
              </w:rPr>
              <w:t xml:space="preserve"> (RAN4 #108)</w:t>
            </w:r>
            <w:r w:rsidRPr="00D573EE">
              <w:rPr>
                <w:b/>
                <w:bCs/>
                <w:u w:val="single"/>
                <w:lang w:eastAsia="ja-JP"/>
              </w:rPr>
              <w:t>:</w:t>
            </w:r>
          </w:p>
          <w:p w14:paraId="4417D37E" w14:textId="77777777" w:rsidR="00865976" w:rsidRPr="00D573EE" w:rsidRDefault="00865976" w:rsidP="00865976">
            <w:pPr>
              <w:pStyle w:val="ListParagraph"/>
              <w:numPr>
                <w:ilvl w:val="0"/>
                <w:numId w:val="28"/>
              </w:numPr>
              <w:overflowPunct w:val="0"/>
              <w:autoSpaceDE w:val="0"/>
              <w:autoSpaceDN w:val="0"/>
              <w:adjustRightInd w:val="0"/>
              <w:spacing w:after="180" w:line="276" w:lineRule="auto"/>
              <w:ind w:left="644"/>
              <w:contextualSpacing w:val="0"/>
              <w:textAlignment w:val="baseline"/>
              <w:rPr>
                <w:szCs w:val="24"/>
                <w:lang w:eastAsia="zh-CN"/>
              </w:rPr>
            </w:pPr>
            <w:r w:rsidRPr="00D573EE">
              <w:rPr>
                <w:szCs w:val="24"/>
                <w:lang w:eastAsia="zh-CN"/>
              </w:rPr>
              <w:t>If whether/how to UE obtain TN coverage area information from TN cell is confirmed, the  following can be further discussed:</w:t>
            </w:r>
          </w:p>
          <w:p w14:paraId="61194F6E" w14:textId="77777777" w:rsidR="00865976" w:rsidRPr="00D573EE" w:rsidRDefault="00865976" w:rsidP="00865976">
            <w:pPr>
              <w:pStyle w:val="ListParagraph"/>
              <w:numPr>
                <w:ilvl w:val="1"/>
                <w:numId w:val="28"/>
              </w:numPr>
              <w:spacing w:after="180"/>
              <w:ind w:left="1364"/>
              <w:rPr>
                <w:szCs w:val="24"/>
                <w:lang w:eastAsia="zh-CN"/>
              </w:rPr>
            </w:pPr>
            <w:r w:rsidRPr="00D573EE">
              <w:rPr>
                <w:szCs w:val="24"/>
                <w:lang w:eastAsia="zh-CN"/>
              </w:rPr>
              <w:t>Whether or not to define RRM requirements for TN-to-NTN cell reselection.</w:t>
            </w:r>
          </w:p>
          <w:p w14:paraId="230913D1" w14:textId="77777777" w:rsidR="00865976" w:rsidRPr="00D573EE" w:rsidRDefault="00865976" w:rsidP="00865976">
            <w:pPr>
              <w:pStyle w:val="ListParagraph"/>
              <w:numPr>
                <w:ilvl w:val="1"/>
                <w:numId w:val="28"/>
              </w:numPr>
              <w:spacing w:after="180"/>
              <w:ind w:left="1364"/>
              <w:rPr>
                <w:szCs w:val="24"/>
                <w:lang w:eastAsia="zh-CN"/>
              </w:rPr>
            </w:pPr>
            <w:r w:rsidRPr="00D573EE">
              <w:rPr>
                <w:szCs w:val="24"/>
                <w:lang w:eastAsia="zh-CN"/>
              </w:rPr>
              <w:t>Centre and radius of TN coverage can be used for measurement initiation for cell reselection, e.g.</w:t>
            </w:r>
          </w:p>
          <w:p w14:paraId="2E49FF23" w14:textId="77777777" w:rsidR="00865976" w:rsidRPr="00D573EE" w:rsidRDefault="00865976" w:rsidP="00865976">
            <w:pPr>
              <w:pStyle w:val="ListParagraph"/>
              <w:numPr>
                <w:ilvl w:val="2"/>
                <w:numId w:val="28"/>
              </w:numPr>
              <w:spacing w:after="180"/>
              <w:ind w:left="2084"/>
              <w:rPr>
                <w:szCs w:val="24"/>
                <w:lang w:eastAsia="zh-CN"/>
              </w:rPr>
            </w:pPr>
            <w:r w:rsidRPr="00D573EE">
              <w:rPr>
                <w:szCs w:val="24"/>
                <w:lang w:eastAsia="zh-CN"/>
              </w:rPr>
              <w:t xml:space="preserve">If </w:t>
            </w:r>
            <w:proofErr w:type="spellStart"/>
            <w:r w:rsidRPr="00D573EE">
              <w:rPr>
                <w:szCs w:val="24"/>
                <w:lang w:eastAsia="zh-CN"/>
              </w:rPr>
              <w:t>Srxlev</w:t>
            </w:r>
            <w:proofErr w:type="spellEnd"/>
            <w:r w:rsidRPr="00D573EE">
              <w:rPr>
                <w:szCs w:val="24"/>
                <w:lang w:eastAsia="zh-CN"/>
              </w:rPr>
              <w:t xml:space="preserve"> &gt; </w:t>
            </w:r>
            <w:proofErr w:type="spellStart"/>
            <w:r w:rsidRPr="00D573EE">
              <w:rPr>
                <w:szCs w:val="24"/>
                <w:lang w:eastAsia="zh-CN"/>
              </w:rPr>
              <w:t>SnonIntraSearchP</w:t>
            </w:r>
            <w:proofErr w:type="spellEnd"/>
            <w:r w:rsidRPr="00D573EE">
              <w:rPr>
                <w:szCs w:val="24"/>
                <w:lang w:eastAsia="zh-CN"/>
              </w:rPr>
              <w:t xml:space="preserve"> and </w:t>
            </w:r>
            <w:proofErr w:type="spellStart"/>
            <w:r w:rsidRPr="00D573EE">
              <w:rPr>
                <w:szCs w:val="24"/>
                <w:lang w:eastAsia="zh-CN"/>
              </w:rPr>
              <w:t>Squal</w:t>
            </w:r>
            <w:proofErr w:type="spellEnd"/>
            <w:r w:rsidRPr="00D573EE">
              <w:rPr>
                <w:szCs w:val="24"/>
                <w:lang w:eastAsia="zh-CN"/>
              </w:rPr>
              <w:t xml:space="preserve"> &gt; </w:t>
            </w:r>
            <w:proofErr w:type="spellStart"/>
            <w:r w:rsidRPr="00D573EE">
              <w:rPr>
                <w:szCs w:val="24"/>
                <w:lang w:eastAsia="zh-CN"/>
              </w:rPr>
              <w:t>SnonIntraSearchQ</w:t>
            </w:r>
            <w:proofErr w:type="spellEnd"/>
            <w:r w:rsidRPr="00D573EE">
              <w:rPr>
                <w:szCs w:val="24"/>
                <w:lang w:eastAsia="zh-CN"/>
              </w:rPr>
              <w:t xml:space="preserve">, and the distance between UE and TN coverage area </w:t>
            </w:r>
            <w:proofErr w:type="spellStart"/>
            <w:r w:rsidRPr="00D573EE">
              <w:rPr>
                <w:szCs w:val="24"/>
                <w:lang w:eastAsia="zh-CN"/>
              </w:rPr>
              <w:t>centre</w:t>
            </w:r>
            <w:proofErr w:type="spellEnd"/>
            <w:r w:rsidRPr="00D573EE">
              <w:rPr>
                <w:szCs w:val="24"/>
                <w:lang w:eastAsia="zh-CN"/>
              </w:rPr>
              <w:t xml:space="preserve"> is smaller than radius, then the UE may not perform measurement of NTN intra- and/or inter-frequency.</w:t>
            </w:r>
          </w:p>
          <w:p w14:paraId="17807642" w14:textId="77777777" w:rsidR="00634334" w:rsidRDefault="00634334" w:rsidP="0048773A"/>
        </w:tc>
      </w:tr>
    </w:tbl>
    <w:p w14:paraId="03599B40" w14:textId="77777777" w:rsidR="00634334" w:rsidRDefault="00634334" w:rsidP="0048773A"/>
    <w:p w14:paraId="16DE45E4" w14:textId="4C056278" w:rsidR="00865976" w:rsidRDefault="00865976" w:rsidP="0048773A">
      <w:r>
        <w:t xml:space="preserve">Looking closely at this issue, it seems reasonable that this type of cell reselection must be </w:t>
      </w:r>
      <w:proofErr w:type="spellStart"/>
      <w:r>
        <w:t>downprioritized</w:t>
      </w:r>
      <w:proofErr w:type="spellEnd"/>
      <w:r>
        <w:t xml:space="preserve"> and not treated under the scope of the current work item. The reasons are manifold:</w:t>
      </w:r>
    </w:p>
    <w:p w14:paraId="4B7B773D" w14:textId="77777777" w:rsidR="00AA32D5" w:rsidRDefault="00865976" w:rsidP="004E3411">
      <w:pPr>
        <w:pStyle w:val="ListParagraph"/>
        <w:numPr>
          <w:ilvl w:val="0"/>
          <w:numId w:val="33"/>
        </w:numPr>
      </w:pPr>
      <w:r>
        <w:t>This type of cell reselection did not seem to be part of the scope of the WI or th</w:t>
      </w:r>
      <w:r w:rsidR="00AF30BE">
        <w:t xml:space="preserve">e discussions in RAN 1 and/or RAN 2. </w:t>
      </w:r>
    </w:p>
    <w:p w14:paraId="2363B1A8" w14:textId="6232A1F1" w:rsidR="004E3411" w:rsidRDefault="00AF30BE" w:rsidP="004E3411">
      <w:pPr>
        <w:pStyle w:val="ListParagraph"/>
        <w:numPr>
          <w:ilvl w:val="0"/>
          <w:numId w:val="33"/>
        </w:numPr>
      </w:pPr>
      <w:r>
        <w:t xml:space="preserve">It would still be possible to design requirements for it in RAN </w:t>
      </w:r>
      <w:proofErr w:type="gramStart"/>
      <w:r>
        <w:t>4, but</w:t>
      </w:r>
      <w:proofErr w:type="gramEnd"/>
      <w:r>
        <w:t xml:space="preserve"> given the amount of workload still pending in this work item and the limited time for discussions, it seems that among all mobility enhancements on RAN4 specification, for the harmony between the working groups, this </w:t>
      </w:r>
      <w:r w:rsidR="004E3411">
        <w:t xml:space="preserve">aspect should be </w:t>
      </w:r>
      <w:proofErr w:type="spellStart"/>
      <w:r w:rsidR="004E3411">
        <w:t>downprioritized</w:t>
      </w:r>
      <w:proofErr w:type="spellEnd"/>
      <w:r w:rsidR="004E3411">
        <w:t>.</w:t>
      </w:r>
    </w:p>
    <w:p w14:paraId="5831FEB7" w14:textId="1CAA8481" w:rsidR="004E3411" w:rsidRDefault="004E3411" w:rsidP="004E3411">
      <w:pPr>
        <w:pStyle w:val="ListParagraph"/>
        <w:numPr>
          <w:ilvl w:val="0"/>
          <w:numId w:val="33"/>
        </w:numPr>
      </w:pPr>
      <w:r>
        <w:t xml:space="preserve">The reselection from TN to NTN </w:t>
      </w:r>
      <w:r w:rsidR="009E5234">
        <w:t xml:space="preserve">would require an overhaul of either the applicability rules in TS 38.133 or the </w:t>
      </w:r>
      <w:r w:rsidR="00190DA8">
        <w:t>signaling</w:t>
      </w:r>
      <w:r w:rsidR="009E5234">
        <w:t xml:space="preserve"> procedures in TS 38.331. </w:t>
      </w:r>
      <w:r w:rsidR="00AA32D5">
        <w:t xml:space="preserve">In TS 38.133, it is specified that mobility requirements only apply when the UE </w:t>
      </w:r>
      <w:r w:rsidR="00D32EFD">
        <w:t xml:space="preserve">has satellite assistance information for the target cell. There is no way to provide this information for UEs in Idle Mode in a terrestrial cell currently. This information could only be broadcast for idle mode UEs if SIB19 is provided, but that would make the UE interpret the cell as </w:t>
      </w:r>
      <w:proofErr w:type="gramStart"/>
      <w:r w:rsidR="00D32EFD">
        <w:t>a</w:t>
      </w:r>
      <w:proofErr w:type="gramEnd"/>
      <w:r w:rsidR="00D32EFD">
        <w:t xml:space="preserve"> NTN cell and not a TN cell. </w:t>
      </w:r>
    </w:p>
    <w:p w14:paraId="55D0E1C5" w14:textId="7E3C359B" w:rsidR="002C42FF" w:rsidRDefault="002C42FF" w:rsidP="002C42FF">
      <w:pPr>
        <w:pStyle w:val="RAN4proposal"/>
      </w:pPr>
      <w:bookmarkStart w:id="5" w:name="_Toc146734068"/>
      <w:r>
        <w:t>Do not specify requirements for TN to NTN cell reselection in Release 18.</w:t>
      </w:r>
      <w:bookmarkEnd w:id="5"/>
      <w:r>
        <w:t xml:space="preserve"> </w:t>
      </w:r>
    </w:p>
    <w:p w14:paraId="12EC459E" w14:textId="636C63D8" w:rsidR="0074657D" w:rsidRDefault="0074657D" w:rsidP="0074657D">
      <w:pPr>
        <w:pStyle w:val="RAN4H3"/>
      </w:pPr>
      <w:r>
        <w:t>NTN to TN Cell Reselection</w:t>
      </w:r>
    </w:p>
    <w:p w14:paraId="4B953EC6" w14:textId="47E7DA41" w:rsidR="0074657D" w:rsidRDefault="0074657D" w:rsidP="0074657D">
      <w:r>
        <w:t xml:space="preserve">In  the previous RAN4 meeting,  the following </w:t>
      </w:r>
      <w:r w:rsidR="003B1DE1">
        <w:t>issue was discussed</w:t>
      </w:r>
      <w:r>
        <w:t xml:space="preserve"> was reached:</w:t>
      </w:r>
    </w:p>
    <w:tbl>
      <w:tblPr>
        <w:tblStyle w:val="TableGrid"/>
        <w:tblW w:w="0" w:type="auto"/>
        <w:tblLook w:val="04A0" w:firstRow="1" w:lastRow="0" w:firstColumn="1" w:lastColumn="0" w:noHBand="0" w:noVBand="1"/>
      </w:tblPr>
      <w:tblGrid>
        <w:gridCol w:w="9617"/>
      </w:tblGrid>
      <w:tr w:rsidR="0074657D" w14:paraId="609BA439" w14:textId="77777777">
        <w:tc>
          <w:tcPr>
            <w:tcW w:w="9617" w:type="dxa"/>
          </w:tcPr>
          <w:p w14:paraId="03CDD908" w14:textId="77777777" w:rsidR="003B1DE1" w:rsidRPr="00D573EE" w:rsidRDefault="003B1DE1" w:rsidP="003B1DE1">
            <w:pPr>
              <w:outlineLvl w:val="2"/>
              <w:rPr>
                <w:b/>
                <w:u w:val="single"/>
                <w:lang w:eastAsia="ko-KR"/>
              </w:rPr>
            </w:pPr>
            <w:r w:rsidRPr="00D573EE">
              <w:rPr>
                <w:b/>
                <w:u w:val="single"/>
                <w:lang w:eastAsia="ko-KR"/>
              </w:rPr>
              <w:t>Issue 3-2: NTN-to-TN Cell reselection</w:t>
            </w:r>
          </w:p>
          <w:p w14:paraId="0B0BAB80" w14:textId="77777777" w:rsidR="003B1DE1" w:rsidRPr="00D573EE" w:rsidRDefault="003B1DE1" w:rsidP="003B1DE1">
            <w:pPr>
              <w:spacing w:after="120" w:line="252" w:lineRule="auto"/>
              <w:ind w:firstLine="284"/>
              <w:rPr>
                <w:b/>
                <w:bCs/>
                <w:u w:val="single"/>
                <w:lang w:eastAsia="ja-JP"/>
              </w:rPr>
            </w:pPr>
            <w:r w:rsidRPr="00D573EE">
              <w:rPr>
                <w:b/>
                <w:bCs/>
                <w:u w:val="single"/>
                <w:lang w:eastAsia="ja-JP"/>
              </w:rPr>
              <w:t>FFS:</w:t>
            </w:r>
          </w:p>
          <w:p w14:paraId="59BF0BB0" w14:textId="77777777" w:rsidR="003B1DE1" w:rsidRPr="00D573EE" w:rsidRDefault="003B1DE1" w:rsidP="003B1DE1">
            <w:pPr>
              <w:pStyle w:val="ListParagraph"/>
              <w:numPr>
                <w:ilvl w:val="0"/>
                <w:numId w:val="28"/>
              </w:numPr>
              <w:overflowPunct w:val="0"/>
              <w:autoSpaceDE w:val="0"/>
              <w:autoSpaceDN w:val="0"/>
              <w:adjustRightInd w:val="0"/>
              <w:spacing w:after="180" w:line="276" w:lineRule="auto"/>
              <w:ind w:left="644"/>
              <w:contextualSpacing w:val="0"/>
              <w:textAlignment w:val="baseline"/>
              <w:rPr>
                <w:szCs w:val="24"/>
                <w:lang w:eastAsia="zh-CN"/>
              </w:rPr>
            </w:pPr>
            <w:r w:rsidRPr="00D573EE">
              <w:rPr>
                <w:szCs w:val="24"/>
                <w:lang w:eastAsia="zh-CN"/>
              </w:rPr>
              <w:t>For NTN-to-TN cell reselection,</w:t>
            </w:r>
          </w:p>
          <w:p w14:paraId="11305600" w14:textId="77777777" w:rsidR="003B1DE1" w:rsidRPr="00D573EE" w:rsidRDefault="003B1DE1" w:rsidP="003B1DE1">
            <w:pPr>
              <w:pStyle w:val="ListParagraph"/>
              <w:numPr>
                <w:ilvl w:val="1"/>
                <w:numId w:val="28"/>
              </w:numPr>
              <w:overflowPunct w:val="0"/>
              <w:autoSpaceDE w:val="0"/>
              <w:autoSpaceDN w:val="0"/>
              <w:adjustRightInd w:val="0"/>
              <w:spacing w:after="180" w:line="276" w:lineRule="auto"/>
              <w:ind w:left="1364"/>
              <w:contextualSpacing w:val="0"/>
              <w:textAlignment w:val="baseline"/>
              <w:rPr>
                <w:szCs w:val="24"/>
                <w:lang w:eastAsia="zh-CN"/>
              </w:rPr>
            </w:pPr>
            <w:r w:rsidRPr="00D573EE">
              <w:rPr>
                <w:szCs w:val="24"/>
                <w:lang w:eastAsia="zh-CN"/>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06600988" w14:textId="77777777" w:rsidR="003B1DE1" w:rsidRPr="00D573EE" w:rsidRDefault="003B1DE1" w:rsidP="003B1DE1">
            <w:pPr>
              <w:pStyle w:val="ListParagraph"/>
              <w:numPr>
                <w:ilvl w:val="1"/>
                <w:numId w:val="28"/>
              </w:numPr>
              <w:spacing w:after="180"/>
              <w:ind w:left="1364"/>
            </w:pPr>
            <w:r w:rsidRPr="00D573EE">
              <w:t>Option B: A UE shall start (up to UE implementation) measurements on TN cell (frequency layer) before arriving in a TN cell range indicated by the TN cell information. After UE enters overlapped coverage by TN/NTN cell,</w:t>
            </w:r>
          </w:p>
          <w:p w14:paraId="2D5A5D7B" w14:textId="77777777" w:rsidR="003B1DE1" w:rsidRPr="00D573EE" w:rsidRDefault="003B1DE1" w:rsidP="003B1DE1">
            <w:pPr>
              <w:pStyle w:val="ListParagraph"/>
              <w:numPr>
                <w:ilvl w:val="2"/>
                <w:numId w:val="28"/>
              </w:numPr>
              <w:spacing w:after="180"/>
              <w:ind w:left="2084"/>
            </w:pPr>
            <w:r w:rsidRPr="00D573EE">
              <w:t>If the UE doesn’t detect any TN cell or measures signal strength from any TN cell lower than a threshold and the measured signal strength of NTN cell that UE camps on meets S-criteria, the UE shall:</w:t>
            </w:r>
          </w:p>
          <w:p w14:paraId="7EC0FE90" w14:textId="77777777" w:rsidR="003B1DE1" w:rsidRPr="00D573EE" w:rsidRDefault="003B1DE1" w:rsidP="003B1DE1">
            <w:pPr>
              <w:pStyle w:val="ListParagraph"/>
              <w:numPr>
                <w:ilvl w:val="3"/>
                <w:numId w:val="28"/>
              </w:numPr>
              <w:spacing w:after="180"/>
              <w:ind w:left="2804"/>
            </w:pPr>
            <w:r w:rsidRPr="00D573EE">
              <w:t xml:space="preserve">Option B-1: skip measurements on TN cell for </w:t>
            </w:r>
            <w:proofErr w:type="gramStart"/>
            <w:r w:rsidRPr="00D573EE">
              <w:t>a time period</w:t>
            </w:r>
            <w:proofErr w:type="gramEnd"/>
            <w:r w:rsidRPr="00D573EE">
              <w:t xml:space="preserve"> before resuming measurements. </w:t>
            </w:r>
          </w:p>
          <w:p w14:paraId="4CF2D412" w14:textId="77777777" w:rsidR="003B1DE1" w:rsidRPr="00D573EE" w:rsidRDefault="003B1DE1" w:rsidP="003B1DE1">
            <w:pPr>
              <w:pStyle w:val="ListParagraph"/>
              <w:numPr>
                <w:ilvl w:val="3"/>
                <w:numId w:val="28"/>
              </w:numPr>
              <w:spacing w:after="180"/>
              <w:ind w:left="2804"/>
            </w:pPr>
            <w:r w:rsidRPr="00D573EE">
              <w:lastRenderedPageBreak/>
              <w:t>Option B-2: relax measurements on TN cell until TN cell is detected and signal strength from any TN cell is higher than a threshold.</w:t>
            </w:r>
          </w:p>
          <w:p w14:paraId="1ABE96D3" w14:textId="77777777" w:rsidR="003B1DE1" w:rsidRPr="00D573EE" w:rsidRDefault="003B1DE1" w:rsidP="003B1DE1">
            <w:pPr>
              <w:pStyle w:val="ListParagraph"/>
              <w:numPr>
                <w:ilvl w:val="2"/>
                <w:numId w:val="28"/>
              </w:numPr>
              <w:spacing w:after="180"/>
              <w:ind w:left="2084"/>
            </w:pPr>
            <w:r w:rsidRPr="00D573EE">
              <w:t>Otherwise, UE shall keep normal measurements on the TN cell (frequency layer).</w:t>
            </w:r>
          </w:p>
          <w:p w14:paraId="1CACDFCA" w14:textId="77777777" w:rsidR="003B1DE1" w:rsidRPr="00D573EE" w:rsidRDefault="003B1DE1" w:rsidP="003B1DE1">
            <w:pPr>
              <w:pStyle w:val="ListParagraph"/>
              <w:numPr>
                <w:ilvl w:val="1"/>
                <w:numId w:val="28"/>
              </w:numPr>
              <w:spacing w:after="180"/>
              <w:ind w:left="1364"/>
            </w:pPr>
            <w:r w:rsidRPr="00D573EE">
              <w:t xml:space="preserve">Option C: TN coverage area </w:t>
            </w:r>
            <w:proofErr w:type="spellStart"/>
            <w:r w:rsidRPr="00D573EE">
              <w:t>centre</w:t>
            </w:r>
            <w:proofErr w:type="spellEnd"/>
            <w:r w:rsidRPr="00D573EE">
              <w:t xml:space="preserve"> and radius can be used for measurement initiation for cell reselection.</w:t>
            </w:r>
          </w:p>
          <w:p w14:paraId="2F1218A2" w14:textId="77777777" w:rsidR="003B1DE1" w:rsidRPr="00D573EE" w:rsidRDefault="003B1DE1" w:rsidP="003B1DE1">
            <w:pPr>
              <w:pStyle w:val="ListParagraph"/>
              <w:numPr>
                <w:ilvl w:val="2"/>
                <w:numId w:val="28"/>
              </w:numPr>
              <w:spacing w:after="180"/>
              <w:ind w:left="2084"/>
              <w:rPr>
                <w:rFonts w:eastAsiaTheme="minorEastAsia"/>
                <w:szCs w:val="24"/>
                <w:lang w:eastAsia="zh-CN"/>
              </w:rPr>
            </w:pPr>
            <w:r w:rsidRPr="00D573EE">
              <w:rPr>
                <w:rFonts w:eastAsiaTheme="minorEastAsia"/>
                <w:szCs w:val="24"/>
                <w:lang w:eastAsia="zh-CN"/>
              </w:rPr>
              <w:t>Such as for intra-</w:t>
            </w:r>
            <w:r w:rsidRPr="00D573EE">
              <w:t>frequency</w:t>
            </w:r>
            <w:r w:rsidRPr="00D573EE">
              <w:rPr>
                <w:rFonts w:eastAsiaTheme="minorEastAsia"/>
                <w:szCs w:val="24"/>
                <w:lang w:eastAsia="zh-CN"/>
              </w:rPr>
              <w:t xml:space="preserve"> cell reselection for earth fixed cell: in measurement time, the distance between UE location and NTN cell reference location is less than </w:t>
            </w:r>
            <w:proofErr w:type="spellStart"/>
            <w:r w:rsidRPr="00D573EE">
              <w:rPr>
                <w:rFonts w:eastAsiaTheme="minorEastAsia"/>
                <w:szCs w:val="24"/>
                <w:lang w:eastAsia="zh-CN"/>
              </w:rPr>
              <w:t>distanceThresh</w:t>
            </w:r>
            <w:proofErr w:type="spellEnd"/>
            <w:r w:rsidRPr="00D573EE">
              <w:rPr>
                <w:rFonts w:eastAsiaTheme="minorEastAsia"/>
                <w:szCs w:val="24"/>
                <w:lang w:eastAsia="zh-CN"/>
              </w:rPr>
              <w:t xml:space="preserve"> and the distance between TN coverage area </w:t>
            </w:r>
            <w:proofErr w:type="spellStart"/>
            <w:r w:rsidRPr="00D573EE">
              <w:rPr>
                <w:rFonts w:eastAsiaTheme="minorEastAsia"/>
                <w:szCs w:val="24"/>
                <w:lang w:eastAsia="zh-CN"/>
              </w:rPr>
              <w:t>centre</w:t>
            </w:r>
            <w:proofErr w:type="spellEnd"/>
            <w:r w:rsidRPr="00D573EE">
              <w:rPr>
                <w:rFonts w:eastAsiaTheme="minorEastAsia"/>
                <w:szCs w:val="24"/>
                <w:lang w:eastAsia="zh-CN"/>
              </w:rPr>
              <w:t xml:space="preserve"> and NTN cell reference location plus radius is less than </w:t>
            </w:r>
            <w:proofErr w:type="spellStart"/>
            <w:r w:rsidRPr="00D573EE">
              <w:rPr>
                <w:rFonts w:eastAsiaTheme="minorEastAsia"/>
                <w:szCs w:val="24"/>
                <w:lang w:eastAsia="zh-CN"/>
              </w:rPr>
              <w:t>distanceThresh</w:t>
            </w:r>
            <w:proofErr w:type="spellEnd"/>
            <w:r w:rsidRPr="00D573EE">
              <w:rPr>
                <w:rFonts w:eastAsiaTheme="minorEastAsia"/>
                <w:szCs w:val="24"/>
                <w:lang w:eastAsia="zh-CN"/>
              </w:rPr>
              <w:t>. For inter-frequency cell reselection, apply the similar rule.</w:t>
            </w:r>
          </w:p>
          <w:p w14:paraId="6447C6EE" w14:textId="77777777" w:rsidR="003B1DE1" w:rsidRPr="00D573EE" w:rsidRDefault="003B1DE1" w:rsidP="003B1DE1">
            <w:pPr>
              <w:pStyle w:val="ListParagraph"/>
              <w:numPr>
                <w:ilvl w:val="2"/>
                <w:numId w:val="28"/>
              </w:numPr>
              <w:spacing w:after="180"/>
              <w:ind w:left="2084"/>
              <w:rPr>
                <w:rFonts w:eastAsiaTheme="minorEastAsia"/>
                <w:szCs w:val="24"/>
                <w:lang w:eastAsia="zh-CN"/>
              </w:rPr>
            </w:pPr>
            <w:r w:rsidRPr="00D573EE">
              <w:rPr>
                <w:rFonts w:eastAsiaTheme="minorEastAsia"/>
                <w:szCs w:val="24"/>
                <w:lang w:eastAsia="zh-CN"/>
              </w:rPr>
              <w:t>For earth moving cell, the reference location should be updated with reference location with time reference.</w:t>
            </w:r>
          </w:p>
          <w:p w14:paraId="74E71849" w14:textId="6D26C7DA" w:rsidR="0074657D" w:rsidRPr="00C36D89" w:rsidRDefault="0074657D" w:rsidP="0074657D">
            <w:pPr>
              <w:pStyle w:val="ListParagraph"/>
              <w:numPr>
                <w:ilvl w:val="2"/>
                <w:numId w:val="28"/>
              </w:numPr>
              <w:overflowPunct w:val="0"/>
              <w:autoSpaceDE w:val="0"/>
              <w:autoSpaceDN w:val="0"/>
              <w:adjustRightInd w:val="0"/>
              <w:spacing w:after="180" w:line="276" w:lineRule="auto"/>
              <w:ind w:left="2084"/>
              <w:contextualSpacing w:val="0"/>
              <w:rPr>
                <w:szCs w:val="24"/>
                <w:lang w:eastAsia="zh-CN"/>
              </w:rPr>
            </w:pPr>
          </w:p>
        </w:tc>
      </w:tr>
    </w:tbl>
    <w:p w14:paraId="4DF81AB6" w14:textId="77777777" w:rsidR="0074657D" w:rsidRDefault="0074657D" w:rsidP="0074657D"/>
    <w:p w14:paraId="2DD92E75" w14:textId="249FF56A" w:rsidR="00A02715" w:rsidRDefault="00A65D9D" w:rsidP="0074657D">
      <w:r>
        <w:t>We will now discuss how we see these options:</w:t>
      </w:r>
    </w:p>
    <w:p w14:paraId="57D4AB96" w14:textId="20AD0F61" w:rsidR="00A65D9D" w:rsidRDefault="00A65D9D" w:rsidP="00A65D9D">
      <w:pPr>
        <w:pStyle w:val="ListParagraph"/>
        <w:numPr>
          <w:ilvl w:val="0"/>
          <w:numId w:val="34"/>
        </w:numPr>
      </w:pPr>
      <w:r w:rsidRPr="00314B0C">
        <w:rPr>
          <w:b/>
          <w:bCs/>
        </w:rPr>
        <w:t>Option A</w:t>
      </w:r>
      <w:r w:rsidR="005B0209">
        <w:rPr>
          <w:b/>
          <w:bCs/>
        </w:rPr>
        <w:t>:</w:t>
      </w:r>
      <w:r>
        <w:t xml:space="preserve"> does not seem reasonable from our point of view. </w:t>
      </w:r>
      <w:r w:rsidR="00314B0C">
        <w:t xml:space="preserve">The reason is that the current requirements are not applicable for a cell reselection from NTN to TN. </w:t>
      </w:r>
      <w:proofErr w:type="gramStart"/>
      <w:r w:rsidR="00314B0C">
        <w:t>First of all</w:t>
      </w:r>
      <w:proofErr w:type="gramEnd"/>
      <w:r w:rsidR="00314B0C">
        <w:t xml:space="preserve">, the applicability rules </w:t>
      </w:r>
      <w:r w:rsidR="00B11C35">
        <w:t>in TS 38.133 indicate that, only mobility across satellite in the same orbital layer (GSO to GSO and NGSO to NGSO) are to be considered</w:t>
      </w:r>
      <w:r w:rsidR="00C50D1F">
        <w:t xml:space="preserve"> </w:t>
      </w:r>
      <w:r w:rsidR="00C50D1F" w:rsidRPr="00C50D1F">
        <w:rPr>
          <w:b/>
          <w:bCs/>
        </w:rPr>
        <w:t>AND</w:t>
      </w:r>
      <w:r w:rsidR="00C50D1F">
        <w:t xml:space="preserve"> that the requirements only apply when the UE is provided with </w:t>
      </w:r>
      <w:r w:rsidR="0097507F">
        <w:t xml:space="preserve">satellite assistance information. </w:t>
      </w:r>
    </w:p>
    <w:p w14:paraId="1C069897" w14:textId="6388B919" w:rsidR="00845E61" w:rsidRDefault="00DA4C6B" w:rsidP="00845E61">
      <w:r>
        <w:t xml:space="preserve">So, </w:t>
      </w:r>
      <w:r w:rsidR="00845E61">
        <w:t>as it is important that the RAN4 work is aligned to the other RAN groups to provide meaningful requirements for the intended operation of the devices and features developed across the different RAN WG</w:t>
      </w:r>
      <w:r w:rsidR="00305274">
        <w:t xml:space="preserve">, the starting point should be updating the </w:t>
      </w:r>
      <w:r w:rsidR="00845E61">
        <w:t>applicability rules</w:t>
      </w:r>
      <w:r w:rsidR="00305274">
        <w:t xml:space="preserve"> for cell reselection</w:t>
      </w:r>
      <w:r w:rsidR="00845E61">
        <w:t>:</w:t>
      </w:r>
    </w:p>
    <w:p w14:paraId="44189B3E" w14:textId="77777777" w:rsidR="00845E61" w:rsidRDefault="00845E61" w:rsidP="00845E61">
      <w:pPr>
        <w:pStyle w:val="RAN4proposal"/>
      </w:pPr>
      <w:bookmarkStart w:id="6" w:name="_Toc146734069"/>
      <w:r>
        <w:t>In Rel-18, update the applicability rules on TS 38.133:</w:t>
      </w:r>
      <w:bookmarkEnd w:id="6"/>
    </w:p>
    <w:p w14:paraId="7F0870D0" w14:textId="77777777" w:rsidR="00845E61" w:rsidRDefault="00845E61" w:rsidP="00845E61">
      <w:pPr>
        <w:pStyle w:val="RAN4proposal"/>
        <w:numPr>
          <w:ilvl w:val="1"/>
          <w:numId w:val="7"/>
        </w:numPr>
      </w:pPr>
      <w:bookmarkStart w:id="7" w:name="_Toc146734070"/>
      <w:r>
        <w:t xml:space="preserve">Cell reselection requirements apply between satellites on the same layer or between </w:t>
      </w:r>
      <w:proofErr w:type="gramStart"/>
      <w:r>
        <w:t>a</w:t>
      </w:r>
      <w:proofErr w:type="gramEnd"/>
      <w:r>
        <w:t xml:space="preserve"> NTN cell and a TN cell.</w:t>
      </w:r>
      <w:bookmarkEnd w:id="7"/>
      <w:r>
        <w:t xml:space="preserve"> </w:t>
      </w:r>
    </w:p>
    <w:p w14:paraId="01DCCCDC" w14:textId="77777777" w:rsidR="00845E61" w:rsidRDefault="00845E61" w:rsidP="00845E61">
      <w:pPr>
        <w:pStyle w:val="RAN4proposal"/>
        <w:numPr>
          <w:ilvl w:val="1"/>
          <w:numId w:val="7"/>
        </w:numPr>
      </w:pPr>
      <w:bookmarkStart w:id="8" w:name="_Toc146734071"/>
      <w:r>
        <w:t xml:space="preserve">Cell reselection requirements where both source and target cell are NTN cells are only applicable when the UE is provided with satellite assistance information for the target </w:t>
      </w:r>
      <w:proofErr w:type="gramStart"/>
      <w:r>
        <w:t>cell;</w:t>
      </w:r>
      <w:bookmarkEnd w:id="8"/>
      <w:proofErr w:type="gramEnd"/>
      <w:r>
        <w:t xml:space="preserve"> </w:t>
      </w:r>
    </w:p>
    <w:p w14:paraId="0EABB99D" w14:textId="77777777" w:rsidR="00845E61" w:rsidRDefault="00845E61" w:rsidP="00845E61">
      <w:pPr>
        <w:pStyle w:val="RAN4proposal"/>
        <w:numPr>
          <w:ilvl w:val="1"/>
          <w:numId w:val="7"/>
        </w:numPr>
      </w:pPr>
      <w:bookmarkStart w:id="9" w:name="_Toc146734072"/>
      <w:r>
        <w:t>Cell reselection requirements where source cell is NTN and target cell is TN regardless of assistance information to the target cell.</w:t>
      </w:r>
      <w:bookmarkEnd w:id="9"/>
      <w:r>
        <w:t xml:space="preserve"> </w:t>
      </w:r>
      <w:r>
        <w:tab/>
      </w:r>
    </w:p>
    <w:p w14:paraId="1EE28EE2" w14:textId="444FFBF9" w:rsidR="005B0209" w:rsidRPr="005B0209" w:rsidRDefault="004E23AD" w:rsidP="005B0209">
      <w:r>
        <w:t>The other options, B and C also bring relevant aspects that should be discussed in our view:</w:t>
      </w:r>
    </w:p>
    <w:p w14:paraId="32E006BE" w14:textId="553AEB08" w:rsidR="003A5797" w:rsidRDefault="000A320A" w:rsidP="000A320A">
      <w:pPr>
        <w:pStyle w:val="ListParagraph"/>
        <w:numPr>
          <w:ilvl w:val="0"/>
          <w:numId w:val="34"/>
        </w:numPr>
      </w:pPr>
      <w:r w:rsidRPr="000A320A">
        <w:rPr>
          <w:b/>
          <w:bCs/>
        </w:rPr>
        <w:t>Option B</w:t>
      </w:r>
      <w:r>
        <w:t xml:space="preserve"> creates a requirement that is difficult to verify and that might be difficult to interpret by the UE when it </w:t>
      </w:r>
      <w:proofErr w:type="gramStart"/>
      <w:r>
        <w:t>says</w:t>
      </w:r>
      <w:proofErr w:type="gramEnd"/>
      <w:r>
        <w:t xml:space="preserve"> </w:t>
      </w:r>
      <w:r w:rsidRPr="00EE4385">
        <w:rPr>
          <w:i/>
          <w:iCs/>
        </w:rPr>
        <w:t>“</w:t>
      </w:r>
      <w:r w:rsidR="00EE4385" w:rsidRPr="00EE4385">
        <w:rPr>
          <w:i/>
          <w:iCs/>
        </w:rPr>
        <w:t>shall start (up to UE implementation) measurements on TN cell (frequency layer) before arriving in a TN cell range”</w:t>
      </w:r>
      <w:r w:rsidR="00EE4385">
        <w:rPr>
          <w:i/>
          <w:iCs/>
        </w:rPr>
        <w:t xml:space="preserve">. </w:t>
      </w:r>
      <w:r w:rsidR="00EE4385">
        <w:t xml:space="preserve"> A UE might be close to TN cell range for long periods of time without entering it, but </w:t>
      </w:r>
      <w:proofErr w:type="gramStart"/>
      <w:r w:rsidR="00EE4385">
        <w:t>in order to</w:t>
      </w:r>
      <w:proofErr w:type="gramEnd"/>
      <w:r w:rsidR="00EE4385">
        <w:t xml:space="preserve"> comply with such requirement, it would probably start the measurements </w:t>
      </w:r>
      <w:r w:rsidR="005B0209">
        <w:t xml:space="preserve">long before needed, wasting UE power. Moreover, it is hard to verify whether the measurements were started before the UE entered the range of the TN cell. </w:t>
      </w:r>
    </w:p>
    <w:p w14:paraId="484BD3CA" w14:textId="77777777" w:rsidR="00B548BB" w:rsidRDefault="005B0209" w:rsidP="005B0209">
      <w:r>
        <w:t xml:space="preserve">The </w:t>
      </w:r>
      <w:r w:rsidR="005453A3">
        <w:t xml:space="preserve">goal of RAN2 when designing the TN assistance information was </w:t>
      </w:r>
      <w:r w:rsidR="005453A3" w:rsidRPr="005453A3">
        <w:rPr>
          <w:b/>
          <w:bCs/>
        </w:rPr>
        <w:t>to prevent</w:t>
      </w:r>
      <w:r w:rsidR="005453A3">
        <w:t xml:space="preserve"> the UE </w:t>
      </w:r>
      <w:r w:rsidR="00FA77F9">
        <w:t xml:space="preserve">to waste </w:t>
      </w:r>
      <w:r w:rsidR="00A94D78">
        <w:t>energy</w:t>
      </w:r>
      <w:r w:rsidR="00FA77F9">
        <w:t xml:space="preserve"> with unnecessary measurements</w:t>
      </w:r>
      <w:r w:rsidR="00A94D78">
        <w:t xml:space="preserve">. </w:t>
      </w:r>
      <w:r w:rsidR="00B548BB">
        <w:t>And start the measurements while the UE is still outside the area of the TN is not in line with RAN2 view on this matter:</w:t>
      </w:r>
    </w:p>
    <w:tbl>
      <w:tblPr>
        <w:tblStyle w:val="TableGrid"/>
        <w:tblW w:w="0" w:type="auto"/>
        <w:tblLook w:val="04A0" w:firstRow="1" w:lastRow="0" w:firstColumn="1" w:lastColumn="0" w:noHBand="0" w:noVBand="1"/>
      </w:tblPr>
      <w:tblGrid>
        <w:gridCol w:w="9617"/>
      </w:tblGrid>
      <w:tr w:rsidR="00B548BB" w14:paraId="4F4C4414" w14:textId="77777777" w:rsidTr="00B548BB">
        <w:tc>
          <w:tcPr>
            <w:tcW w:w="9617" w:type="dxa"/>
          </w:tcPr>
          <w:p w14:paraId="3BDC8876" w14:textId="523A67D3" w:rsidR="00B548BB" w:rsidRPr="00B548BB" w:rsidRDefault="00B548BB" w:rsidP="00B548BB">
            <w:pPr>
              <w:rPr>
                <w:b/>
                <w:bCs/>
                <w:u w:val="single"/>
                <w:lang w:val="en-GB"/>
              </w:rPr>
            </w:pPr>
            <w:r w:rsidRPr="00B548BB">
              <w:rPr>
                <w:b/>
                <w:bCs/>
                <w:u w:val="single"/>
                <w:lang w:val="en-GB"/>
              </w:rPr>
              <w:t>Agreements (RAN2 #122):</w:t>
            </w:r>
          </w:p>
          <w:p w14:paraId="166BDE80" w14:textId="77777777" w:rsidR="00B548BB" w:rsidRPr="00527750" w:rsidRDefault="00B548BB" w:rsidP="00B548BB">
            <w:pPr>
              <w:rPr>
                <w:lang w:val="en-GB"/>
              </w:rPr>
            </w:pPr>
            <w:r w:rsidRPr="00527750">
              <w:rPr>
                <w:lang w:val="en-GB"/>
              </w:rPr>
              <w:t>1.</w:t>
            </w:r>
            <w:r w:rsidRPr="00527750">
              <w:rPr>
                <w:lang w:val="en-GB"/>
              </w:rPr>
              <w:tab/>
              <w:t>An RRC_IDLE/RRC_INACTIVE UE is not required to perform neighbour cell measurements for cell reselection for a TN frequency in the area, if configured, where there is no coverage of that frequency, regardless of the frequency priority</w:t>
            </w:r>
          </w:p>
          <w:p w14:paraId="5AB79141" w14:textId="77777777" w:rsidR="00B548BB" w:rsidRPr="00B548BB" w:rsidRDefault="00B548BB" w:rsidP="005B0209">
            <w:pPr>
              <w:rPr>
                <w:lang w:val="en-GB"/>
              </w:rPr>
            </w:pPr>
          </w:p>
        </w:tc>
      </w:tr>
    </w:tbl>
    <w:p w14:paraId="450F6D16" w14:textId="7B3556B2" w:rsidR="005B0209" w:rsidRDefault="00A94D78" w:rsidP="005B0209">
      <w:r>
        <w:t xml:space="preserve"> </w:t>
      </w:r>
    </w:p>
    <w:p w14:paraId="02A5A72D" w14:textId="7451233D" w:rsidR="000B6F58" w:rsidRDefault="000B6F58" w:rsidP="005B0209">
      <w:r>
        <w:t xml:space="preserve">Therefore, the measurements should only be required at the UE side after the UE is within the range of the TN. </w:t>
      </w:r>
      <w:r w:rsidR="00774D9E">
        <w:t xml:space="preserve">This is more in line with Option C, </w:t>
      </w:r>
      <w:r w:rsidR="006C4A7A">
        <w:t xml:space="preserve">in our view. </w:t>
      </w:r>
    </w:p>
    <w:p w14:paraId="136C3777" w14:textId="35E54C19" w:rsidR="00965400" w:rsidRDefault="006C4A7A" w:rsidP="00B548BB">
      <w:pPr>
        <w:pStyle w:val="RAN4proposal"/>
      </w:pPr>
      <w:bookmarkStart w:id="10" w:name="_Toc146734073"/>
      <w:r>
        <w:lastRenderedPageBreak/>
        <w:t xml:space="preserve">If the UE is configured to measure TN cells, </w:t>
      </w:r>
      <w:r w:rsidR="00A70E54">
        <w:t xml:space="preserve">and TN coverage information is provided, the UE is only required to perform cell reselection measurements for </w:t>
      </w:r>
      <w:r w:rsidR="003037A0">
        <w:t xml:space="preserve">a given </w:t>
      </w:r>
      <w:r w:rsidR="00A70E54">
        <w:t>TN</w:t>
      </w:r>
      <w:r w:rsidR="003037A0">
        <w:t xml:space="preserve"> frequency layer,</w:t>
      </w:r>
      <w:r w:rsidR="00A70E54">
        <w:t xml:space="preserve"> if the </w:t>
      </w:r>
      <w:r w:rsidR="003037A0">
        <w:t>UE is within one or more of the TN areas</w:t>
      </w:r>
      <w:r w:rsidR="00E53FA3">
        <w:t xml:space="preserve"> provided for this frequency layer. A TN area is defined by a reference location and </w:t>
      </w:r>
      <w:r w:rsidR="00965400">
        <w:t>the rad</w:t>
      </w:r>
      <w:r w:rsidR="00517A71">
        <w:t>i</w:t>
      </w:r>
      <w:r w:rsidR="00965400">
        <w:t xml:space="preserve">us, as provided in RAN2 </w:t>
      </w:r>
      <w:r w:rsidR="00FB46F8">
        <w:t>signaling</w:t>
      </w:r>
      <w:r w:rsidR="00965400">
        <w:t>.</w:t>
      </w:r>
      <w:bookmarkEnd w:id="10"/>
      <w:r w:rsidR="00965400">
        <w:t xml:space="preserve"> </w:t>
      </w:r>
    </w:p>
    <w:p w14:paraId="01AF51CA" w14:textId="5E16531B" w:rsidR="00AC6C3C" w:rsidRDefault="00581210" w:rsidP="00AC6C3C">
      <w:pPr>
        <w:pStyle w:val="RAN4proposal"/>
        <w:numPr>
          <w:ilvl w:val="1"/>
          <w:numId w:val="7"/>
        </w:numPr>
      </w:pPr>
      <w:bookmarkStart w:id="11" w:name="_Toc146734074"/>
      <w:r>
        <w:t xml:space="preserve">This proposal only applies to the UEs that can support </w:t>
      </w:r>
      <w:r w:rsidR="007B7C7A">
        <w:t xml:space="preserve">the “skipping of TN </w:t>
      </w:r>
      <w:proofErr w:type="spellStart"/>
      <w:r w:rsidR="007B7C7A">
        <w:t>neighbour</w:t>
      </w:r>
      <w:proofErr w:type="spellEnd"/>
      <w:r w:rsidR="007B7C7A">
        <w:t xml:space="preserve"> cell measurements” capability defined by RAN2.</w:t>
      </w:r>
      <w:bookmarkEnd w:id="11"/>
      <w:r w:rsidR="007B7C7A">
        <w:t xml:space="preserve"> </w:t>
      </w:r>
      <w:r w:rsidR="00AC6C3C">
        <w:tab/>
      </w:r>
    </w:p>
    <w:p w14:paraId="31515CEC" w14:textId="5215CC67" w:rsidR="00847852" w:rsidRPr="00847852" w:rsidRDefault="00847852" w:rsidP="00847852">
      <w:pPr>
        <w:pStyle w:val="RAN4proposal"/>
        <w:numPr>
          <w:ilvl w:val="1"/>
          <w:numId w:val="7"/>
        </w:numPr>
      </w:pPr>
      <w:bookmarkStart w:id="12" w:name="_Toc146734075"/>
      <w:r>
        <w:t>If no TN coverage information is provided or if the UE does not support the capability, the UE shall perform measurements towards the TN frequency layers normally.</w:t>
      </w:r>
      <w:bookmarkEnd w:id="12"/>
    </w:p>
    <w:p w14:paraId="79B8A4A9" w14:textId="77777777" w:rsidR="004C4710" w:rsidRDefault="004C4710" w:rsidP="004C4710">
      <w:pPr>
        <w:pStyle w:val="RAN4proposal"/>
        <w:numPr>
          <w:ilvl w:val="0"/>
          <w:numId w:val="0"/>
        </w:numPr>
      </w:pPr>
    </w:p>
    <w:p w14:paraId="689F5C9E" w14:textId="6210AA14" w:rsidR="004C4710" w:rsidRDefault="004C4710" w:rsidP="004C4710">
      <w:r>
        <w:t xml:space="preserve">In the proposal above, one key aspect is whether the UE is configured to measure TN cells. </w:t>
      </w:r>
      <w:r w:rsidR="004203EC">
        <w:t xml:space="preserve">It is important that the UE can differentiate whether a cell to be measured is a TN or NTN cell, </w:t>
      </w:r>
      <w:r w:rsidR="003D0731">
        <w:t>and RAN2 have already reached some agreements on this regard:</w:t>
      </w:r>
    </w:p>
    <w:tbl>
      <w:tblPr>
        <w:tblStyle w:val="TableGrid"/>
        <w:tblW w:w="0" w:type="auto"/>
        <w:tblLook w:val="04A0" w:firstRow="1" w:lastRow="0" w:firstColumn="1" w:lastColumn="0" w:noHBand="0" w:noVBand="1"/>
      </w:tblPr>
      <w:tblGrid>
        <w:gridCol w:w="9617"/>
      </w:tblGrid>
      <w:tr w:rsidR="003D0731" w14:paraId="7143E6B3" w14:textId="77777777" w:rsidTr="003D0731">
        <w:tc>
          <w:tcPr>
            <w:tcW w:w="9617" w:type="dxa"/>
          </w:tcPr>
          <w:p w14:paraId="54F64282" w14:textId="77777777" w:rsidR="003D0731" w:rsidRPr="008D4FB9" w:rsidRDefault="003D0731" w:rsidP="003D0731">
            <w:pPr>
              <w:rPr>
                <w:b/>
                <w:bCs/>
                <w:u w:val="single"/>
              </w:rPr>
            </w:pPr>
            <w:r>
              <w:rPr>
                <w:b/>
                <w:bCs/>
                <w:u w:val="single"/>
              </w:rPr>
              <w:t>RAN 2 #121bis</w:t>
            </w:r>
            <w:r w:rsidRPr="008D4FB9">
              <w:rPr>
                <w:b/>
                <w:bCs/>
                <w:u w:val="single"/>
              </w:rPr>
              <w:t>:</w:t>
            </w:r>
          </w:p>
          <w:p w14:paraId="18CEFC5B" w14:textId="77777777" w:rsidR="003D0731" w:rsidRDefault="003D0731" w:rsidP="003D0731">
            <w:pPr>
              <w:rPr>
                <w:lang w:val="en-GB"/>
              </w:rPr>
            </w:pPr>
          </w:p>
          <w:p w14:paraId="57B3FA96" w14:textId="77777777" w:rsidR="003D0731" w:rsidRPr="00A46DD5" w:rsidRDefault="003D0731" w:rsidP="003D0731">
            <w:pPr>
              <w:pStyle w:val="ListParagraph"/>
              <w:numPr>
                <w:ilvl w:val="0"/>
                <w:numId w:val="29"/>
              </w:numPr>
              <w:rPr>
                <w:lang w:val="en-GB"/>
              </w:rPr>
            </w:pPr>
            <w:r w:rsidRPr="00A46DD5">
              <w:rPr>
                <w:lang w:val="en-GB"/>
              </w:rPr>
              <w:t>On a frequency band number shared by TN and NTN (e.g., n1</w:t>
            </w:r>
            <w:r w:rsidRPr="00A46DD5">
              <w:rPr>
                <w:highlight w:val="cyan"/>
                <w:lang w:val="en-GB"/>
              </w:rPr>
              <w:t>), if NTN-specific assistance information is NOT provided for a neighbour cell configured in SIB3/SIB4</w:t>
            </w:r>
            <w:r w:rsidRPr="00A46DD5">
              <w:rPr>
                <w:lang w:val="en-GB"/>
              </w:rPr>
              <w:t>, UE assumes this is a TN neighbour cell. This understanding is also applicable for Rel-</w:t>
            </w:r>
            <w:proofErr w:type="gramStart"/>
            <w:r w:rsidRPr="00A46DD5">
              <w:rPr>
                <w:lang w:val="en-GB"/>
              </w:rPr>
              <w:t>17</w:t>
            </w:r>
            <w:proofErr w:type="gramEnd"/>
            <w:r w:rsidRPr="00A46DD5">
              <w:rPr>
                <w:lang w:val="en-GB"/>
              </w:rPr>
              <w:t xml:space="preserve"> and it does not need any spec update</w:t>
            </w:r>
          </w:p>
          <w:p w14:paraId="25B6CF85" w14:textId="77777777" w:rsidR="003D0731" w:rsidRDefault="003D0731" w:rsidP="004C4710">
            <w:pPr>
              <w:rPr>
                <w:lang w:val="en-GB"/>
              </w:rPr>
            </w:pPr>
          </w:p>
        </w:tc>
      </w:tr>
    </w:tbl>
    <w:p w14:paraId="70AAFDEC" w14:textId="77777777" w:rsidR="003D0731" w:rsidRDefault="003D0731" w:rsidP="004C4710">
      <w:pPr>
        <w:rPr>
          <w:lang w:val="en-GB"/>
        </w:rPr>
      </w:pPr>
    </w:p>
    <w:p w14:paraId="345BD88D" w14:textId="22AADF0E" w:rsidR="000166A6" w:rsidRDefault="000166A6" w:rsidP="000166A6">
      <w:r>
        <w:t>Therefore</w:t>
      </w:r>
      <w:r w:rsidR="001E4D71">
        <w:t>,</w:t>
      </w:r>
      <w:r>
        <w:t xml:space="preserve"> we propose:</w:t>
      </w:r>
    </w:p>
    <w:p w14:paraId="428F6580" w14:textId="05A5D430" w:rsidR="000166A6" w:rsidRDefault="000166A6" w:rsidP="000166A6">
      <w:pPr>
        <w:pStyle w:val="RAN4proposal"/>
      </w:pPr>
      <w:bookmarkStart w:id="13" w:name="_Toc146734076"/>
      <w:r>
        <w:t>When the UE is configured</w:t>
      </w:r>
      <w:r w:rsidR="00E8781E">
        <w:t xml:space="preserve"> in SIB3/4</w:t>
      </w:r>
      <w:r>
        <w:t xml:space="preserve"> to measure cells</w:t>
      </w:r>
      <w:r w:rsidR="00412DD1">
        <w:t xml:space="preserve">, </w:t>
      </w:r>
      <w:r w:rsidR="000F3DD5">
        <w:t>to whom</w:t>
      </w:r>
      <w:r w:rsidR="00412DD1">
        <w:t xml:space="preserve"> no</w:t>
      </w:r>
      <w:r>
        <w:t xml:space="preserve"> satellite assistance information </w:t>
      </w:r>
      <w:r w:rsidRPr="002D5514">
        <w:t>is</w:t>
      </w:r>
      <w:r w:rsidR="00A77896">
        <w:t xml:space="preserve"> provided</w:t>
      </w:r>
      <w:r w:rsidRPr="002D5514">
        <w:t xml:space="preserve">, UE assumes this is a TN </w:t>
      </w:r>
      <w:proofErr w:type="spellStart"/>
      <w:r w:rsidRPr="002D5514">
        <w:t>neighbour</w:t>
      </w:r>
      <w:proofErr w:type="spellEnd"/>
      <w:r w:rsidRPr="002D5514">
        <w:t xml:space="preserve"> cell and the specific requirements for NTN-&gt;TN cell reselection apply.</w:t>
      </w:r>
      <w:bookmarkEnd w:id="13"/>
      <w:r>
        <w:rPr>
          <w:rStyle w:val="normaltextrun"/>
          <w:rFonts w:ascii="Calibri" w:hAnsi="Calibri" w:cs="Calibri"/>
          <w:sz w:val="22"/>
          <w:szCs w:val="22"/>
        </w:rPr>
        <w:t xml:space="preserve"> </w:t>
      </w:r>
      <w:r>
        <w:t xml:space="preserve"> </w:t>
      </w:r>
    </w:p>
    <w:p w14:paraId="70D35833" w14:textId="77777777" w:rsidR="000F3DD5" w:rsidRDefault="000F3DD5" w:rsidP="000F3DD5"/>
    <w:p w14:paraId="47CEA4EB" w14:textId="4E79D83D" w:rsidR="000F3DD5" w:rsidRPr="000F3DD5" w:rsidRDefault="000F3DD5" w:rsidP="000F3DD5">
      <w:pPr>
        <w:rPr>
          <w:b/>
          <w:bCs/>
          <w:u w:val="single"/>
        </w:rPr>
      </w:pPr>
      <w:r w:rsidRPr="000F3DD5">
        <w:rPr>
          <w:b/>
          <w:bCs/>
          <w:u w:val="single"/>
        </w:rPr>
        <w:t xml:space="preserve">Capturing requirements for cell reselection towards TN. </w:t>
      </w:r>
    </w:p>
    <w:p w14:paraId="70EEE383" w14:textId="2A761AC2" w:rsidR="000F3DD5" w:rsidRPr="000F3DD5" w:rsidRDefault="000F3DD5" w:rsidP="000F3DD5">
      <w:r>
        <w:t>At current Release, it is expected that</w:t>
      </w:r>
      <w:r w:rsidR="00D4169C">
        <w:t xml:space="preserve"> TN cells might only be configured for measurements in </w:t>
      </w:r>
      <w:r w:rsidR="001D749D">
        <w:t xml:space="preserve">inter-frequency layers. It is also expected that TN and NTN do not coexistence in the same frequency layer. Therefore, for a given SMTC/MG </w:t>
      </w:r>
      <w:r w:rsidR="008C5E71">
        <w:t>associated to a terrestrial frequency layer, the UE is not expected to adjust its doppler pre-compensation for multiple different target cells. Hence:</w:t>
      </w:r>
    </w:p>
    <w:p w14:paraId="1235B5E5" w14:textId="77777777" w:rsidR="000166A6" w:rsidRPr="00CC748F" w:rsidRDefault="000166A6" w:rsidP="000166A6">
      <w:pPr>
        <w:pStyle w:val="RAN4proposal"/>
      </w:pPr>
      <w:bookmarkStart w:id="14" w:name="_Toc146734077"/>
      <w:r>
        <w:t xml:space="preserve">For cell reselection between NTN and TN cells </w:t>
      </w:r>
      <w:proofErr w:type="spellStart"/>
      <w:r>
        <w:t>K</w:t>
      </w:r>
      <w:r w:rsidRPr="004C3271">
        <w:rPr>
          <w:vertAlign w:val="subscript"/>
        </w:rPr>
        <w:t>multi</w:t>
      </w:r>
      <w:r>
        <w:rPr>
          <w:vertAlign w:val="subscript"/>
        </w:rPr>
        <w:t>_</w:t>
      </w:r>
      <w:r w:rsidRPr="00041269">
        <w:rPr>
          <w:vertAlign w:val="subscript"/>
        </w:rPr>
        <w:t>SMTC</w:t>
      </w:r>
      <w:proofErr w:type="spellEnd"/>
      <w:r>
        <w:rPr>
          <w:vertAlign w:val="subscript"/>
        </w:rPr>
        <w:t xml:space="preserve"> ,</w:t>
      </w:r>
      <w:proofErr w:type="spellStart"/>
      <w:r w:rsidRPr="004C3271">
        <w:rPr>
          <w:vertAlign w:val="subscript"/>
        </w:rPr>
        <w:t>i</w:t>
      </w:r>
      <w:proofErr w:type="spellEnd"/>
      <w:r>
        <w:t xml:space="preserve">=1, if frequency layer </w:t>
      </w:r>
      <w:proofErr w:type="spellStart"/>
      <w:r>
        <w:t>i</w:t>
      </w:r>
      <w:proofErr w:type="spellEnd"/>
      <w:r>
        <w:t xml:space="preserve"> is configured for measurement of TN cells.</w:t>
      </w:r>
      <w:bookmarkEnd w:id="14"/>
      <w:r>
        <w:t xml:space="preserve"> </w:t>
      </w:r>
    </w:p>
    <w:p w14:paraId="277B5B3A" w14:textId="01B01509" w:rsidR="00D516FD" w:rsidRDefault="00356688" w:rsidP="004C4710">
      <w:r>
        <w:t>Another aspect that was recently agreed in RAN2 is the RAT associated to the target cells in TN:</w:t>
      </w:r>
    </w:p>
    <w:tbl>
      <w:tblPr>
        <w:tblStyle w:val="TableGrid"/>
        <w:tblW w:w="0" w:type="auto"/>
        <w:tblLook w:val="04A0" w:firstRow="1" w:lastRow="0" w:firstColumn="1" w:lastColumn="0" w:noHBand="0" w:noVBand="1"/>
      </w:tblPr>
      <w:tblGrid>
        <w:gridCol w:w="9617"/>
      </w:tblGrid>
      <w:tr w:rsidR="00135158" w14:paraId="40D27586" w14:textId="77777777" w:rsidTr="00135158">
        <w:tc>
          <w:tcPr>
            <w:tcW w:w="9617" w:type="dxa"/>
          </w:tcPr>
          <w:p w14:paraId="64F368A0" w14:textId="3626E64F" w:rsidR="00135158" w:rsidRPr="00527750" w:rsidRDefault="00135158" w:rsidP="00135158">
            <w:pPr>
              <w:rPr>
                <w:lang w:val="en-GB"/>
              </w:rPr>
            </w:pPr>
            <w:r w:rsidRPr="00527750">
              <w:rPr>
                <w:lang w:val="en-GB"/>
              </w:rPr>
              <w:t>Agreements</w:t>
            </w:r>
            <w:r>
              <w:rPr>
                <w:lang w:val="en-GB"/>
              </w:rPr>
              <w:t xml:space="preserve"> (RAN 2 #12)</w:t>
            </w:r>
            <w:r w:rsidRPr="00527750">
              <w:rPr>
                <w:lang w:val="en-GB"/>
              </w:rPr>
              <w:t xml:space="preserve">: </w:t>
            </w:r>
          </w:p>
          <w:p w14:paraId="69019EE2" w14:textId="77777777" w:rsidR="00135158" w:rsidRPr="00527750" w:rsidRDefault="00135158" w:rsidP="00135158">
            <w:pPr>
              <w:rPr>
                <w:lang w:val="en-GB"/>
              </w:rPr>
            </w:pPr>
            <w:r w:rsidRPr="00527750">
              <w:rPr>
                <w:lang w:val="en-GB"/>
              </w:rPr>
              <w:t>1.</w:t>
            </w:r>
            <w:r w:rsidRPr="00527750">
              <w:rPr>
                <w:lang w:val="en-GB"/>
              </w:rPr>
              <w:tab/>
            </w:r>
            <w:proofErr w:type="gramStart"/>
            <w:r w:rsidRPr="00527750">
              <w:rPr>
                <w:lang w:val="en-GB"/>
              </w:rPr>
              <w:t>Both of the NR TN</w:t>
            </w:r>
            <w:proofErr w:type="gramEnd"/>
            <w:r w:rsidRPr="00527750">
              <w:rPr>
                <w:lang w:val="en-GB"/>
              </w:rPr>
              <w:t xml:space="preserve"> coverage and EUTRA TN coverage can be provided.</w:t>
            </w:r>
          </w:p>
          <w:p w14:paraId="251C115A" w14:textId="77777777" w:rsidR="00135158" w:rsidRPr="00135158" w:rsidRDefault="00135158" w:rsidP="004C4710">
            <w:pPr>
              <w:rPr>
                <w:lang w:val="en-GB"/>
              </w:rPr>
            </w:pPr>
          </w:p>
        </w:tc>
      </w:tr>
    </w:tbl>
    <w:p w14:paraId="045FB7F6" w14:textId="77777777" w:rsidR="00356688" w:rsidRPr="000166A6" w:rsidRDefault="00356688" w:rsidP="004C4710"/>
    <w:p w14:paraId="6C1FE88F" w14:textId="0C39BD99" w:rsidR="00B548BB" w:rsidRDefault="00E53FA3" w:rsidP="00135158">
      <w:pPr>
        <w:pStyle w:val="RAN4proposal"/>
      </w:pPr>
      <w:r>
        <w:t xml:space="preserve"> </w:t>
      </w:r>
      <w:r w:rsidR="003037A0">
        <w:t xml:space="preserve"> </w:t>
      </w:r>
      <w:bookmarkStart w:id="15" w:name="_Toc146734078"/>
      <w:r w:rsidR="00135158">
        <w:t>Capture in TS 38.133 the cell reselection from NR NTN to EUTRA TN.</w:t>
      </w:r>
      <w:bookmarkEnd w:id="15"/>
      <w:r w:rsidR="00135158">
        <w:t xml:space="preserve"> </w:t>
      </w:r>
    </w:p>
    <w:p w14:paraId="2EB89D33" w14:textId="77777777" w:rsidR="0074657D" w:rsidRPr="0074657D" w:rsidRDefault="0074657D" w:rsidP="0074657D"/>
    <w:p w14:paraId="065CDBD9" w14:textId="3BDCA822" w:rsidR="00FD3B2A" w:rsidRDefault="00421A2B" w:rsidP="00421A2B">
      <w:pPr>
        <w:pStyle w:val="RAN4H3"/>
      </w:pPr>
      <w:r>
        <w:t>Location based measurement initiation in Earth-Moving scenarios.</w:t>
      </w:r>
    </w:p>
    <w:p w14:paraId="447093E7" w14:textId="0D5A1A0A" w:rsidR="00421A2B" w:rsidRDefault="00421A2B" w:rsidP="00421A2B">
      <w:r>
        <w:t>In Rel-17, the location-based measurement initiation for cell reselection was introduced</w:t>
      </w:r>
      <w:r w:rsidR="00EC34B5">
        <w:t xml:space="preserve">, with the basic functionality described in </w:t>
      </w:r>
      <w:r>
        <w:t>TS 38.304</w:t>
      </w:r>
      <w:r w:rsidR="00EC34B5">
        <w:t>, clause 5.2.4.2. However, the concept was limited to earth-fixed cells, as a fixed reference location on Earth was assumed. For Rel-18, one of the enhancements introduced was to have the measurement initiation based on location also extended for Earth moving cells:</w:t>
      </w:r>
    </w:p>
    <w:tbl>
      <w:tblPr>
        <w:tblStyle w:val="TableGrid"/>
        <w:tblW w:w="0" w:type="auto"/>
        <w:tblLook w:val="04A0" w:firstRow="1" w:lastRow="0" w:firstColumn="1" w:lastColumn="0" w:noHBand="0" w:noVBand="1"/>
      </w:tblPr>
      <w:tblGrid>
        <w:gridCol w:w="9617"/>
      </w:tblGrid>
      <w:tr w:rsidR="00EC34B5" w14:paraId="7881013B" w14:textId="77777777" w:rsidTr="00EC34B5">
        <w:tc>
          <w:tcPr>
            <w:tcW w:w="9617" w:type="dxa"/>
          </w:tcPr>
          <w:p w14:paraId="71BC4C20" w14:textId="10FD0066" w:rsidR="00EC34B5" w:rsidRPr="00EC34B5" w:rsidRDefault="00EC34B5" w:rsidP="00421A2B">
            <w:pPr>
              <w:rPr>
                <w:b/>
                <w:bCs/>
                <w:u w:val="single"/>
              </w:rPr>
            </w:pPr>
            <w:r w:rsidRPr="00EC34B5">
              <w:rPr>
                <w:b/>
                <w:bCs/>
                <w:u w:val="single"/>
              </w:rPr>
              <w:t>Agreements on RAN2 #121bis</w:t>
            </w:r>
          </w:p>
          <w:p w14:paraId="4D5392AF" w14:textId="77777777" w:rsidR="00EC34B5" w:rsidRPr="00280C0B" w:rsidRDefault="00EC34B5" w:rsidP="00EC34B5">
            <w:pPr>
              <w:rPr>
                <w:lang w:val="en-GB"/>
              </w:rPr>
            </w:pPr>
            <w:r w:rsidRPr="00280C0B">
              <w:rPr>
                <w:lang w:val="en-GB"/>
              </w:rPr>
              <w:t>1.</w:t>
            </w:r>
            <w:r w:rsidRPr="00280C0B">
              <w:rPr>
                <w:lang w:val="en-GB"/>
              </w:rPr>
              <w:tab/>
              <w:t xml:space="preserve">RAN2 understands that for earth-moving cell reselection, the UE can derive the trajectory of serving cell with rough accuracy based on serving satellite ephemeris and </w:t>
            </w:r>
            <w:proofErr w:type="spellStart"/>
            <w:r w:rsidRPr="00280C0B">
              <w:rPr>
                <w:lang w:val="en-GB"/>
              </w:rPr>
              <w:t>epochTime</w:t>
            </w:r>
            <w:proofErr w:type="spellEnd"/>
            <w:r w:rsidRPr="00280C0B">
              <w:rPr>
                <w:lang w:val="en-GB"/>
              </w:rPr>
              <w:t xml:space="preserve">, with the assumption that the serving cell </w:t>
            </w:r>
            <w:r w:rsidRPr="00280C0B">
              <w:rPr>
                <w:lang w:val="en-GB"/>
              </w:rPr>
              <w:lastRenderedPageBreak/>
              <w:t xml:space="preserve">reference location broadcast by the network is the one at Epoch time (FFS whether a new </w:t>
            </w:r>
            <w:proofErr w:type="spellStart"/>
            <w:r w:rsidRPr="00280C0B">
              <w:rPr>
                <w:lang w:val="en-GB"/>
              </w:rPr>
              <w:t>epochTime</w:t>
            </w:r>
            <w:proofErr w:type="spellEnd"/>
            <w:r w:rsidRPr="00280C0B">
              <w:rPr>
                <w:lang w:val="en-GB"/>
              </w:rPr>
              <w:t xml:space="preserve"> IE is needed). RAN2 understanding is that both PVT and orbital parameters can be used for this. FFS if additional information is needed to allow more accurate measurements.</w:t>
            </w:r>
          </w:p>
          <w:p w14:paraId="1A2F3385" w14:textId="77777777" w:rsidR="00EC34B5" w:rsidRPr="00280C0B" w:rsidRDefault="00EC34B5" w:rsidP="00EC34B5">
            <w:pPr>
              <w:rPr>
                <w:lang w:val="en-GB"/>
              </w:rPr>
            </w:pPr>
            <w:r w:rsidRPr="00280C0B">
              <w:rPr>
                <w:lang w:val="en-GB"/>
              </w:rPr>
              <w:t>2.</w:t>
            </w:r>
            <w:r w:rsidRPr="00280C0B">
              <w:rPr>
                <w:lang w:val="en-GB"/>
              </w:rPr>
              <w:tab/>
              <w:t>For earth-moving cell, new IE is introduced to indicate the reference location of serving cell.</w:t>
            </w:r>
          </w:p>
          <w:p w14:paraId="1FD83708" w14:textId="77777777" w:rsidR="00EC34B5" w:rsidRPr="00280C0B" w:rsidRDefault="00EC34B5" w:rsidP="00EC34B5">
            <w:pPr>
              <w:rPr>
                <w:lang w:val="en-GB"/>
              </w:rPr>
            </w:pPr>
            <w:r w:rsidRPr="00280C0B">
              <w:rPr>
                <w:lang w:val="en-GB"/>
              </w:rPr>
              <w:t>3.</w:t>
            </w:r>
            <w:r w:rsidRPr="00280C0B">
              <w:rPr>
                <w:lang w:val="en-GB"/>
              </w:rPr>
              <w:tab/>
              <w:t xml:space="preserve">For cell (re)selection in earth-moving system, a distance threshold is introduced for location-based measurement initiation, which reuses </w:t>
            </w:r>
            <w:proofErr w:type="spellStart"/>
            <w:r w:rsidRPr="00280C0B">
              <w:rPr>
                <w:lang w:val="en-GB"/>
              </w:rPr>
              <w:t>distanceThresh</w:t>
            </w:r>
            <w:proofErr w:type="spellEnd"/>
            <w:r w:rsidRPr="00280C0B">
              <w:rPr>
                <w:lang w:val="en-GB"/>
              </w:rPr>
              <w:t xml:space="preserve"> in SIB19.</w:t>
            </w:r>
          </w:p>
          <w:p w14:paraId="44C3ECD9" w14:textId="77777777" w:rsidR="00EC34B5" w:rsidRPr="00280C0B" w:rsidRDefault="00EC34B5" w:rsidP="00EC34B5">
            <w:pPr>
              <w:rPr>
                <w:lang w:val="en-GB"/>
              </w:rPr>
            </w:pPr>
            <w:r w:rsidRPr="00280C0B">
              <w:rPr>
                <w:lang w:val="en-GB"/>
              </w:rPr>
              <w:t>4.</w:t>
            </w:r>
            <w:r w:rsidRPr="00280C0B">
              <w:rPr>
                <w:lang w:val="en-GB"/>
              </w:rPr>
              <w:tab/>
              <w:t>For cell (re)selection in earth-moving system, time-based measurement initiation is used to address feeder-link switch case.</w:t>
            </w:r>
          </w:p>
          <w:p w14:paraId="0EA95DE3" w14:textId="77777777" w:rsidR="00EC34B5" w:rsidRDefault="00EC34B5" w:rsidP="00421A2B">
            <w:pPr>
              <w:rPr>
                <w:lang w:val="en-GB"/>
              </w:rPr>
            </w:pPr>
            <w:r w:rsidRPr="00280C0B">
              <w:rPr>
                <w:lang w:val="en-GB"/>
              </w:rPr>
              <w:t>5.</w:t>
            </w:r>
            <w:r w:rsidRPr="00280C0B">
              <w:rPr>
                <w:lang w:val="en-GB"/>
              </w:rPr>
              <w:tab/>
              <w:t xml:space="preserve">Time-based cell reselection criteria </w:t>
            </w:r>
            <w:proofErr w:type="gramStart"/>
            <w:r w:rsidRPr="00280C0B">
              <w:rPr>
                <w:lang w:val="en-GB"/>
              </w:rPr>
              <w:t>is</w:t>
            </w:r>
            <w:proofErr w:type="gramEnd"/>
            <w:r w:rsidRPr="00280C0B">
              <w:rPr>
                <w:lang w:val="en-GB"/>
              </w:rPr>
              <w:t xml:space="preserve"> not pursued in R18.</w:t>
            </w:r>
          </w:p>
          <w:p w14:paraId="5D888618" w14:textId="77777777" w:rsidR="00EC34B5" w:rsidRDefault="00EC34B5" w:rsidP="00421A2B">
            <w:pPr>
              <w:rPr>
                <w:lang w:val="en-GB"/>
              </w:rPr>
            </w:pPr>
          </w:p>
          <w:p w14:paraId="383230A5" w14:textId="6CA05CE7" w:rsidR="00EC34B5" w:rsidRPr="00EC34B5" w:rsidRDefault="00EC34B5" w:rsidP="00421A2B">
            <w:pPr>
              <w:rPr>
                <w:lang w:val="en-GB"/>
              </w:rPr>
            </w:pPr>
            <w:r>
              <w:t>Agreements on RAN2 #122</w:t>
            </w:r>
          </w:p>
        </w:tc>
      </w:tr>
    </w:tbl>
    <w:p w14:paraId="754B2BD8" w14:textId="77777777" w:rsidR="00EC34B5" w:rsidRDefault="00EC34B5" w:rsidP="00421A2B"/>
    <w:p w14:paraId="1C020C0E" w14:textId="2A4405AD" w:rsidR="004F3940" w:rsidRDefault="004F3940" w:rsidP="00421A2B">
      <w:r>
        <w:t xml:space="preserve">At the same time, RAN2 has agreed that the location-based mechanism is limited to be used for the measurement initiation and not for the definition of cell reselection trigger/priorities assignment, </w:t>
      </w:r>
      <w:proofErr w:type="spellStart"/>
      <w:r>
        <w:t>etc</w:t>
      </w:r>
      <w:proofErr w:type="spellEnd"/>
      <w:r>
        <w:t>:</w:t>
      </w:r>
    </w:p>
    <w:tbl>
      <w:tblPr>
        <w:tblStyle w:val="TableGrid"/>
        <w:tblW w:w="0" w:type="auto"/>
        <w:tblLook w:val="04A0" w:firstRow="1" w:lastRow="0" w:firstColumn="1" w:lastColumn="0" w:noHBand="0" w:noVBand="1"/>
      </w:tblPr>
      <w:tblGrid>
        <w:gridCol w:w="9617"/>
      </w:tblGrid>
      <w:tr w:rsidR="004F3940" w14:paraId="0D8A91BA" w14:textId="77777777" w:rsidTr="004F3940">
        <w:tc>
          <w:tcPr>
            <w:tcW w:w="9617" w:type="dxa"/>
          </w:tcPr>
          <w:p w14:paraId="08CF2351" w14:textId="180541FF" w:rsidR="004F3940" w:rsidRDefault="004F3940" w:rsidP="00421A2B">
            <w:r w:rsidRPr="00280C0B">
              <w:rPr>
                <w:lang w:val="en-GB"/>
              </w:rPr>
              <w:t>1.</w:t>
            </w:r>
            <w:r w:rsidRPr="00280C0B">
              <w:rPr>
                <w:lang w:val="en-GB"/>
              </w:rPr>
              <w:tab/>
              <w:t>Location-based cell reselection criteria are not pursued in R18.</w:t>
            </w:r>
          </w:p>
        </w:tc>
      </w:tr>
    </w:tbl>
    <w:p w14:paraId="5B5E10BF" w14:textId="77777777" w:rsidR="004F3940" w:rsidRDefault="004F3940" w:rsidP="00421A2B"/>
    <w:p w14:paraId="1CAD986B" w14:textId="5A76E759" w:rsidR="004F3940" w:rsidRDefault="004F3940" w:rsidP="00421A2B">
      <w:r>
        <w:t xml:space="preserve">The most important feature on the </w:t>
      </w:r>
      <w:proofErr w:type="gramStart"/>
      <w:r>
        <w:t>location based</w:t>
      </w:r>
      <w:proofErr w:type="gramEnd"/>
      <w:r>
        <w:t xml:space="preserve"> measurement initiation for Earth-Moving cells that differentiate it from the mechanism used for  Earth fixed is presented in the first agreement on the box above from RAN2 #121bis: “the UE can derive the trajectory of serving cell with rough accuracy based on serving satellite ephemeris and epoch time”</w:t>
      </w:r>
    </w:p>
    <w:p w14:paraId="018BA26B" w14:textId="42253D45" w:rsidR="004F3940" w:rsidRDefault="004F3940" w:rsidP="004F3940">
      <w:pPr>
        <w:pStyle w:val="RAN4observation0"/>
      </w:pPr>
      <w:bookmarkStart w:id="16" w:name="_Toc146734079"/>
      <w:r>
        <w:t>It is expected that the reference location on Earth Moving cells is moving and that the UE shall derive the trajectory.</w:t>
      </w:r>
      <w:bookmarkEnd w:id="16"/>
    </w:p>
    <w:p w14:paraId="166806CF" w14:textId="70C292E1" w:rsidR="004F3940" w:rsidRDefault="004F3940">
      <w:pPr>
        <w:pStyle w:val="RAN4proposal"/>
      </w:pPr>
      <w:bookmarkStart w:id="17" w:name="_Toc146734080"/>
      <w:r>
        <w:t xml:space="preserve">Define the location-based measurement initiation considering a </w:t>
      </w:r>
      <w:r w:rsidRPr="00030BB1">
        <w:rPr>
          <w:u w:val="single"/>
        </w:rPr>
        <w:t>moving</w:t>
      </w:r>
      <w:r>
        <w:t xml:space="preserve"> reference location where the UE shall derive the trajectory based on satellite ephemeris and epoch Time.</w:t>
      </w:r>
      <w:bookmarkEnd w:id="17"/>
      <w:r>
        <w:t xml:space="preserve"> </w:t>
      </w:r>
    </w:p>
    <w:p w14:paraId="04B74556" w14:textId="79B83959" w:rsidR="00030BB1" w:rsidRPr="00030BB1" w:rsidRDefault="00030BB1" w:rsidP="00030BB1">
      <w:pPr>
        <w:pStyle w:val="RAN4proposal"/>
        <w:numPr>
          <w:ilvl w:val="1"/>
          <w:numId w:val="7"/>
        </w:numPr>
      </w:pPr>
      <w:bookmarkStart w:id="18" w:name="_Toc146734081"/>
      <w:r>
        <w:t xml:space="preserve">The location of the moving reference location </w:t>
      </w:r>
      <w:r w:rsidR="00AB1A5B">
        <w:t xml:space="preserve">is updated over time, such that the angle between the reference location and the satellite position given by the ephemeris remains constant </w:t>
      </w:r>
      <w:r w:rsidR="00B53D52">
        <w:t>compared to the last time UE has read the</w:t>
      </w:r>
      <w:r w:rsidR="000E7C4E">
        <w:t xml:space="preserve"> ephemeris </w:t>
      </w:r>
      <w:proofErr w:type="gramStart"/>
      <w:r w:rsidR="000E7C4E">
        <w:t>information.</w:t>
      </w:r>
      <w:r w:rsidR="00AB1A5B">
        <w:t>.</w:t>
      </w:r>
      <w:bookmarkEnd w:id="18"/>
      <w:proofErr w:type="gramEnd"/>
      <w:r w:rsidR="00AB1A5B">
        <w:t xml:space="preserve"> </w:t>
      </w:r>
    </w:p>
    <w:p w14:paraId="2736B345" w14:textId="77777777" w:rsidR="004F3940" w:rsidRDefault="004F3940" w:rsidP="00421A2B"/>
    <w:p w14:paraId="17DF5E12" w14:textId="77777777" w:rsidR="00AE66BC" w:rsidRPr="008C39F7" w:rsidRDefault="00AE66BC" w:rsidP="00300956"/>
    <w:p w14:paraId="4AB19EA2" w14:textId="444AFCFF" w:rsidR="00CB22B2" w:rsidRDefault="003669F1" w:rsidP="00496606">
      <w:pPr>
        <w:pStyle w:val="RAN4H2"/>
      </w:pPr>
      <w:r>
        <w:t>Connected Mode Enhancements</w:t>
      </w:r>
    </w:p>
    <w:p w14:paraId="0F14B036" w14:textId="04114107" w:rsidR="003669F1" w:rsidRPr="003669F1" w:rsidRDefault="003669F1" w:rsidP="003669F1">
      <w:pPr>
        <w:pStyle w:val="RAN4H3"/>
      </w:pPr>
      <w:r>
        <w:t xml:space="preserve">Hard satellite switch with same PCI. </w:t>
      </w:r>
    </w:p>
    <w:p w14:paraId="2217769A" w14:textId="77777777" w:rsidR="00E806DF" w:rsidRDefault="00E806DF" w:rsidP="005C23A4">
      <w:r>
        <w:t>During the HARD PCI switch with same PCI, the serving satellite switches, but the PCI is maintained, which means the procedures in the higher layers is maintained. In this case, at some point, the UE will stop transmitting towards one satellite and start transmission toward the other satellite. This indicates a sudden transition in timing advance.  RAN2 has indicated that this is a possible scenario, and the UE needs to know how to deal with the timing advance:</w:t>
      </w:r>
    </w:p>
    <w:tbl>
      <w:tblPr>
        <w:tblStyle w:val="TableGrid"/>
        <w:tblW w:w="0" w:type="auto"/>
        <w:tblLook w:val="04A0" w:firstRow="1" w:lastRow="0" w:firstColumn="1" w:lastColumn="0" w:noHBand="0" w:noVBand="1"/>
      </w:tblPr>
      <w:tblGrid>
        <w:gridCol w:w="9617"/>
      </w:tblGrid>
      <w:tr w:rsidR="00E806DF" w14:paraId="177755CA" w14:textId="77777777" w:rsidTr="00E806DF">
        <w:tc>
          <w:tcPr>
            <w:tcW w:w="9617" w:type="dxa"/>
          </w:tcPr>
          <w:p w14:paraId="5B877CDB" w14:textId="77777777" w:rsidR="00E806DF" w:rsidRDefault="00E806DF" w:rsidP="005C23A4">
            <w:r>
              <w:t>RAN2 agreement from RAN2 #122:</w:t>
            </w:r>
          </w:p>
          <w:p w14:paraId="18CA5249" w14:textId="77777777" w:rsidR="00E806DF" w:rsidRDefault="00E806DF" w:rsidP="005C23A4"/>
          <w:p w14:paraId="66F31B9D" w14:textId="75ABFF3F" w:rsidR="00E806DF" w:rsidRDefault="00E806DF" w:rsidP="005C23A4">
            <w:r w:rsidRPr="00280C0B">
              <w:rPr>
                <w:lang w:val="en-GB"/>
              </w:rPr>
              <w:t>-&gt;</w:t>
            </w:r>
            <w:r w:rsidRPr="00280C0B">
              <w:rPr>
                <w:lang w:val="en-GB"/>
              </w:rPr>
              <w:tab/>
              <w:t>In hard switch unchanged PCI scenario (</w:t>
            </w:r>
            <w:proofErr w:type="gramStart"/>
            <w:r w:rsidRPr="00280C0B">
              <w:rPr>
                <w:lang w:val="en-GB"/>
              </w:rPr>
              <w:t>i.e.</w:t>
            </w:r>
            <w:proofErr w:type="gramEnd"/>
            <w:r w:rsidRPr="00280C0B">
              <w:rPr>
                <w:lang w:val="en-GB"/>
              </w:rPr>
              <w:t xml:space="preserve"> no handover), the UE needs to know the time the UE attempts to re-synchronize. (FFS whether a new “t-Start” / a t-gap is needed or whether t-Service can be reused (</w:t>
            </w:r>
            <w:proofErr w:type="gramStart"/>
            <w:r w:rsidRPr="00280C0B">
              <w:rPr>
                <w:lang w:val="en-GB"/>
              </w:rPr>
              <w:t>i.e.</w:t>
            </w:r>
            <w:proofErr w:type="gramEnd"/>
            <w:r w:rsidRPr="00280C0B">
              <w:rPr>
                <w:lang w:val="en-GB"/>
              </w:rPr>
              <w:t xml:space="preserve"> no other IE) if the gap is very short/zero).</w:t>
            </w:r>
          </w:p>
        </w:tc>
      </w:tr>
    </w:tbl>
    <w:p w14:paraId="1B1F790E" w14:textId="5752E491" w:rsidR="005C23A4" w:rsidRPr="008C39F7" w:rsidRDefault="00E806DF" w:rsidP="005C23A4">
      <w:r>
        <w:t xml:space="preserve"> </w:t>
      </w:r>
    </w:p>
    <w:p w14:paraId="2810D962" w14:textId="1E53ADB5" w:rsidR="00A0343C" w:rsidRDefault="003F6169" w:rsidP="005C23A4">
      <w:r>
        <w:t>The</w:t>
      </w:r>
      <w:r w:rsidR="000654BF">
        <w:t>re is one further issue, that is caused by the fact that</w:t>
      </w:r>
      <w:r>
        <w:t xml:space="preserve"> the </w:t>
      </w:r>
      <w:proofErr w:type="gramStart"/>
      <w:r>
        <w:t>hard-switch</w:t>
      </w:r>
      <w:proofErr w:type="gramEnd"/>
      <w:r>
        <w:t xml:space="preserve"> is associated to a</w:t>
      </w:r>
      <w:r w:rsidR="00813DA2">
        <w:t xml:space="preserve">n instant in time, </w:t>
      </w:r>
      <w:r w:rsidR="00A036CA">
        <w:t>on the satellite reference.</w:t>
      </w:r>
      <w:r w:rsidR="00814EA2">
        <w:t xml:space="preserve"> </w:t>
      </w:r>
      <w:r w:rsidR="00C01BC2">
        <w:t>This means that if the satellite indicate</w:t>
      </w:r>
      <w:r w:rsidR="000A27CD">
        <w:t>s</w:t>
      </w:r>
      <w:r w:rsidR="00C01BC2">
        <w:t xml:space="preserve"> that the hard-switch will occur at a given time </w:t>
      </w:r>
      <w:proofErr w:type="spellStart"/>
      <w:r w:rsidR="00C01BC2" w:rsidRPr="00C01BC2">
        <w:rPr>
          <w:b/>
          <w:bCs/>
        </w:rPr>
        <w:t>t</w:t>
      </w:r>
      <w:r w:rsidR="00C01BC2" w:rsidRPr="00C01BC2">
        <w:rPr>
          <w:b/>
          <w:bCs/>
          <w:vertAlign w:val="subscript"/>
        </w:rPr>
        <w:t>switch</w:t>
      </w:r>
      <w:proofErr w:type="spellEnd"/>
      <w:r>
        <w:t xml:space="preserve"> </w:t>
      </w:r>
      <w:r w:rsidR="00C01BC2">
        <w:t xml:space="preserve">(configured by t-service, for example), this means that the </w:t>
      </w:r>
      <w:r w:rsidR="00F165F7">
        <w:t>satellite will cease the transmissions to</w:t>
      </w:r>
      <w:r w:rsidR="008821D5">
        <w:t xml:space="preserve">/from the UE at </w:t>
      </w:r>
      <w:proofErr w:type="spellStart"/>
      <w:r w:rsidR="008821D5" w:rsidRPr="00C01BC2">
        <w:rPr>
          <w:b/>
          <w:bCs/>
        </w:rPr>
        <w:t>t</w:t>
      </w:r>
      <w:r w:rsidR="008821D5" w:rsidRPr="00C01BC2">
        <w:rPr>
          <w:b/>
          <w:bCs/>
          <w:vertAlign w:val="subscript"/>
        </w:rPr>
        <w:t>switch</w:t>
      </w:r>
      <w:proofErr w:type="spellEnd"/>
      <w:r w:rsidR="008821D5">
        <w:rPr>
          <w:b/>
          <w:bCs/>
          <w:vertAlign w:val="subscript"/>
        </w:rPr>
        <w:t>.</w:t>
      </w:r>
      <w:r w:rsidR="00A036CA">
        <w:rPr>
          <w:b/>
          <w:bCs/>
          <w:vertAlign w:val="subscript"/>
        </w:rPr>
        <w:t xml:space="preserve"> </w:t>
      </w:r>
      <w:r w:rsidR="00A036CA" w:rsidRPr="00A036CA">
        <w:t xml:space="preserve">To understand the issue, observe the Figure 1, </w:t>
      </w:r>
      <w:proofErr w:type="gramStart"/>
      <w:r w:rsidR="00A036CA" w:rsidRPr="00A036CA">
        <w:t>where</w:t>
      </w:r>
      <w:proofErr w:type="gramEnd"/>
      <w:r w:rsidR="00A036CA" w:rsidRPr="00A036CA">
        <w:t xml:space="preserve"> </w:t>
      </w:r>
    </w:p>
    <w:p w14:paraId="5DA1FBF6" w14:textId="77777777" w:rsidR="00A0343C" w:rsidRDefault="00A036CA" w:rsidP="00A0343C">
      <w:pPr>
        <w:pStyle w:val="ListParagraph"/>
        <w:numPr>
          <w:ilvl w:val="0"/>
          <w:numId w:val="29"/>
        </w:numPr>
      </w:pPr>
      <w:r w:rsidRPr="00A036CA">
        <w:t>UL(t</w:t>
      </w:r>
      <w:r w:rsidR="003540F5">
        <w:t>0</w:t>
      </w:r>
      <w:r w:rsidRPr="00A036CA">
        <w:t>) represents the</w:t>
      </w:r>
      <w:r w:rsidR="003540F5">
        <w:t xml:space="preserve"> UL slot number transmitted </w:t>
      </w:r>
      <w:r w:rsidR="003540F5" w:rsidRPr="00A0343C">
        <w:rPr>
          <w:b/>
          <w:bCs/>
          <w:u w:val="single"/>
        </w:rPr>
        <w:t>by the UE</w:t>
      </w:r>
      <w:r w:rsidR="003540F5">
        <w:t xml:space="preserve"> at time </w:t>
      </w:r>
      <w:proofErr w:type="gramStart"/>
      <w:r w:rsidR="003540F5">
        <w:t>t0</w:t>
      </w:r>
      <w:r w:rsidR="00A0343C">
        <w:t>;</w:t>
      </w:r>
      <w:proofErr w:type="gramEnd"/>
    </w:p>
    <w:p w14:paraId="0690F2D0" w14:textId="72F5E012" w:rsidR="00A036CA" w:rsidRDefault="003540F5" w:rsidP="00A0343C">
      <w:pPr>
        <w:pStyle w:val="ListParagraph"/>
        <w:numPr>
          <w:ilvl w:val="0"/>
          <w:numId w:val="29"/>
        </w:numPr>
      </w:pPr>
      <w:r>
        <w:t xml:space="preserve"> likewise, DL(t0) represents the DL slot number transmitted </w:t>
      </w:r>
      <w:r w:rsidRPr="00A0343C">
        <w:rPr>
          <w:b/>
          <w:bCs/>
          <w:u w:val="single"/>
        </w:rPr>
        <w:t xml:space="preserve">by the </w:t>
      </w:r>
      <w:proofErr w:type="spellStart"/>
      <w:r w:rsidRPr="00A0343C">
        <w:rPr>
          <w:b/>
          <w:bCs/>
          <w:u w:val="single"/>
        </w:rPr>
        <w:t>gNB</w:t>
      </w:r>
      <w:proofErr w:type="spellEnd"/>
      <w:r>
        <w:t xml:space="preserve"> at time t0. </w:t>
      </w:r>
    </w:p>
    <w:p w14:paraId="0BF7AADF" w14:textId="5EC50545" w:rsidR="00E56024" w:rsidRDefault="00CC0233" w:rsidP="00A0343C">
      <w:pPr>
        <w:pStyle w:val="ListParagraph"/>
        <w:numPr>
          <w:ilvl w:val="0"/>
          <w:numId w:val="29"/>
        </w:numPr>
      </w:pPr>
      <w:r>
        <w:t>t</w:t>
      </w:r>
      <w:r w:rsidR="00E56024">
        <w:t>0</w:t>
      </w:r>
      <w:r>
        <w:t xml:space="preserve"> is a point in time prior to the switch. </w:t>
      </w:r>
    </w:p>
    <w:p w14:paraId="54F7915D" w14:textId="77777777" w:rsidR="0044000B" w:rsidRDefault="008A5D0C" w:rsidP="0044000B">
      <w:pPr>
        <w:keepNext/>
      </w:pPr>
      <w:r>
        <w:rPr>
          <w:noProof/>
        </w:rPr>
        <w:lastRenderedPageBreak/>
        <w:drawing>
          <wp:inline distT="0" distB="0" distL="0" distR="0" wp14:anchorId="587E542D" wp14:editId="5D558F3C">
            <wp:extent cx="4688205" cy="28778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8205" cy="2877820"/>
                    </a:xfrm>
                    <a:prstGeom prst="rect">
                      <a:avLst/>
                    </a:prstGeom>
                    <a:noFill/>
                  </pic:spPr>
                </pic:pic>
              </a:graphicData>
            </a:graphic>
          </wp:inline>
        </w:drawing>
      </w:r>
    </w:p>
    <w:p w14:paraId="38AA3D4D" w14:textId="69245C0B" w:rsidR="003540F5" w:rsidRDefault="0044000B" w:rsidP="0044000B">
      <w:pPr>
        <w:pStyle w:val="Caption"/>
        <w:jc w:val="left"/>
      </w:pPr>
      <w:r>
        <w:t xml:space="preserve">Figure </w:t>
      </w:r>
      <w:r w:rsidR="0019481D">
        <w:fldChar w:fldCharType="begin"/>
      </w:r>
      <w:r w:rsidR="0019481D">
        <w:instrText xml:space="preserve"> SEQ Figure \* ARABIC </w:instrText>
      </w:r>
      <w:r w:rsidR="0019481D">
        <w:fldChar w:fldCharType="separate"/>
      </w:r>
      <w:r w:rsidR="00791C49">
        <w:rPr>
          <w:noProof/>
        </w:rPr>
        <w:t>1</w:t>
      </w:r>
      <w:r w:rsidR="0019481D">
        <w:rPr>
          <w:noProof/>
        </w:rPr>
        <w:fldChar w:fldCharType="end"/>
      </w:r>
      <w:r>
        <w:t>. UL and DL reference times at reference time t0 prior to the switch</w:t>
      </w:r>
    </w:p>
    <w:p w14:paraId="204329EA" w14:textId="348F279A" w:rsidR="00EE1790" w:rsidRDefault="00CE6FF0" w:rsidP="005C23A4">
      <w:r>
        <w:t xml:space="preserve">Figure 2 shows what happens when </w:t>
      </w:r>
      <w:proofErr w:type="spellStart"/>
      <w:r w:rsidRPr="00C01BC2">
        <w:rPr>
          <w:b/>
          <w:bCs/>
        </w:rPr>
        <w:t>t</w:t>
      </w:r>
      <w:r w:rsidRPr="00C01BC2">
        <w:rPr>
          <w:b/>
          <w:bCs/>
          <w:vertAlign w:val="subscript"/>
        </w:rPr>
        <w:t>switch</w:t>
      </w:r>
      <w:proofErr w:type="spellEnd"/>
      <w:r>
        <w:rPr>
          <w:b/>
          <w:bCs/>
          <w:vertAlign w:val="subscript"/>
        </w:rPr>
        <w:t xml:space="preserve"> </w:t>
      </w:r>
      <w:r>
        <w:t>is achieved and the satellite cease its transmissions to handover the</w:t>
      </w:r>
      <w:r w:rsidR="00B1024D">
        <w:t xml:space="preserve"> PCI to a different satellite (hard switch). </w:t>
      </w:r>
      <w:r w:rsidR="00814EA2" w:rsidRPr="008821D5">
        <w:t xml:space="preserve">However, </w:t>
      </w:r>
      <w:r w:rsidR="00814EA2">
        <w:t xml:space="preserve">the delays in NTN are in the order of several slots. </w:t>
      </w:r>
      <w:proofErr w:type="gramStart"/>
      <w:r w:rsidR="00814EA2">
        <w:t>So</w:t>
      </w:r>
      <w:proofErr w:type="gramEnd"/>
      <w:r w:rsidR="00814EA2">
        <w:t xml:space="preserve"> when </w:t>
      </w:r>
      <w:proofErr w:type="spellStart"/>
      <w:r w:rsidR="00814EA2" w:rsidRPr="00C01BC2">
        <w:rPr>
          <w:b/>
          <w:bCs/>
        </w:rPr>
        <w:t>t</w:t>
      </w:r>
      <w:r w:rsidR="00814EA2" w:rsidRPr="00C01BC2">
        <w:rPr>
          <w:b/>
          <w:bCs/>
          <w:vertAlign w:val="subscript"/>
        </w:rPr>
        <w:t>switch</w:t>
      </w:r>
      <w:proofErr w:type="spellEnd"/>
      <w:r w:rsidR="00814EA2">
        <w:rPr>
          <w:b/>
          <w:bCs/>
          <w:vertAlign w:val="subscript"/>
        </w:rPr>
        <w:t xml:space="preserve"> </w:t>
      </w:r>
      <w:r w:rsidR="00814EA2">
        <w:t>happens, n</w:t>
      </w:r>
      <w:r w:rsidR="00AA1253">
        <w:t xml:space="preserve">ote that from the point that the satellite ceases its transmissions, it can no longer receive UE information </w:t>
      </w:r>
      <w:r w:rsidR="000263EE">
        <w:t xml:space="preserve">in UL and </w:t>
      </w:r>
      <w:r w:rsidR="00F02133">
        <w:t xml:space="preserve">it can no longer transmit </w:t>
      </w:r>
      <w:r w:rsidR="00604C92">
        <w:t xml:space="preserve">in the DL towards the </w:t>
      </w:r>
      <w:r w:rsidR="00BC47E7">
        <w:t>UE</w:t>
      </w:r>
      <w:r w:rsidR="001932B6">
        <w:t xml:space="preserve">. </w:t>
      </w:r>
    </w:p>
    <w:p w14:paraId="40A50D0A" w14:textId="77777777" w:rsidR="00216968" w:rsidRDefault="00216968" w:rsidP="0012102B">
      <w:pPr>
        <w:pStyle w:val="ListParagraph"/>
      </w:pPr>
    </w:p>
    <w:p w14:paraId="6CEC7735" w14:textId="2D9BCA04" w:rsidR="0092128F" w:rsidRDefault="00F571A8" w:rsidP="0092128F">
      <w:pPr>
        <w:keepNext/>
      </w:pPr>
      <w:r>
        <w:rPr>
          <w:noProof/>
        </w:rPr>
        <w:drawing>
          <wp:inline distT="0" distB="0" distL="0" distR="0" wp14:anchorId="7CBAE437" wp14:editId="5848B129">
            <wp:extent cx="4895215" cy="3164205"/>
            <wp:effectExtent l="0" t="0" r="63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5215" cy="3164205"/>
                    </a:xfrm>
                    <a:prstGeom prst="rect">
                      <a:avLst/>
                    </a:prstGeom>
                    <a:noFill/>
                  </pic:spPr>
                </pic:pic>
              </a:graphicData>
            </a:graphic>
          </wp:inline>
        </w:drawing>
      </w:r>
    </w:p>
    <w:p w14:paraId="4AAE9809" w14:textId="79D4B4FD" w:rsidR="00B1024D" w:rsidRPr="0092128F" w:rsidRDefault="0092128F" w:rsidP="0092128F">
      <w:pPr>
        <w:pStyle w:val="Caption"/>
        <w:jc w:val="left"/>
        <w:rPr>
          <w:b/>
          <w:bCs/>
        </w:rPr>
      </w:pPr>
      <w:r w:rsidRPr="0092128F">
        <w:rPr>
          <w:b/>
          <w:bCs/>
        </w:rPr>
        <w:t xml:space="preserve">Figure </w:t>
      </w:r>
      <w:r w:rsidRPr="0092128F">
        <w:rPr>
          <w:b/>
          <w:bCs/>
        </w:rPr>
        <w:fldChar w:fldCharType="begin"/>
      </w:r>
      <w:r w:rsidRPr="0092128F">
        <w:rPr>
          <w:b/>
          <w:bCs/>
        </w:rPr>
        <w:instrText xml:space="preserve"> SEQ Figure \* ARABIC </w:instrText>
      </w:r>
      <w:r w:rsidRPr="0092128F">
        <w:rPr>
          <w:b/>
          <w:bCs/>
        </w:rPr>
        <w:fldChar w:fldCharType="separate"/>
      </w:r>
      <w:r w:rsidR="00791C49">
        <w:rPr>
          <w:b/>
          <w:bCs/>
          <w:noProof/>
        </w:rPr>
        <w:t>2</w:t>
      </w:r>
      <w:r w:rsidRPr="0092128F">
        <w:rPr>
          <w:b/>
          <w:bCs/>
        </w:rPr>
        <w:fldChar w:fldCharType="end"/>
      </w:r>
      <w:r w:rsidRPr="0092128F">
        <w:rPr>
          <w:b/>
          <w:bCs/>
        </w:rPr>
        <w:t xml:space="preserve"> UL and DL reference times at </w:t>
      </w:r>
      <w:proofErr w:type="spellStart"/>
      <w:r w:rsidRPr="0092128F">
        <w:rPr>
          <w:b/>
          <w:bCs/>
        </w:rPr>
        <w:t>t</w:t>
      </w:r>
      <w:r w:rsidRPr="0092128F">
        <w:rPr>
          <w:b/>
          <w:bCs/>
          <w:vertAlign w:val="subscript"/>
        </w:rPr>
        <w:t>switch</w:t>
      </w:r>
      <w:proofErr w:type="spellEnd"/>
    </w:p>
    <w:p w14:paraId="13750D04" w14:textId="77777777" w:rsidR="00EE1790" w:rsidRDefault="00EE1790" w:rsidP="005C23A4"/>
    <w:p w14:paraId="167DDB19" w14:textId="2F2457A5" w:rsidR="005C7B1D" w:rsidRDefault="00DC395E" w:rsidP="005C23A4">
      <w:r>
        <w:t>Now, lets assume that</w:t>
      </w:r>
      <w:r w:rsidR="00906108">
        <w:t>:</w:t>
      </w:r>
    </w:p>
    <w:p w14:paraId="07E2FC47" w14:textId="66731D79" w:rsidR="00A57CFD" w:rsidRDefault="00A57CFD" w:rsidP="00A57CFD">
      <w:pPr>
        <w:pStyle w:val="ListParagraph"/>
        <w:numPr>
          <w:ilvl w:val="0"/>
          <w:numId w:val="35"/>
        </w:numPr>
      </w:pPr>
      <w:r>
        <w:t xml:space="preserve">The </w:t>
      </w:r>
      <w:r w:rsidR="00C7128D">
        <w:t xml:space="preserve">propagation time </w:t>
      </w:r>
      <w:r w:rsidR="00C7128D" w:rsidRPr="00EE1790">
        <w:rPr>
          <w:b/>
          <w:bCs/>
        </w:rPr>
        <w:t>t</w:t>
      </w:r>
      <w:r w:rsidR="00C7128D" w:rsidRPr="00EE1790">
        <w:rPr>
          <w:b/>
          <w:bCs/>
          <w:vertAlign w:val="subscript"/>
        </w:rPr>
        <w:t>2</w:t>
      </w:r>
      <w:r w:rsidR="00C7128D">
        <w:rPr>
          <w:vertAlign w:val="subscript"/>
        </w:rPr>
        <w:t xml:space="preserve"> </w:t>
      </w:r>
      <w:r w:rsidR="00C7128D">
        <w:t xml:space="preserve">is equivalent to an offset of </w:t>
      </w:r>
      <w:r w:rsidR="00C7128D" w:rsidRPr="00EE1790">
        <w:rPr>
          <w:b/>
          <w:bCs/>
        </w:rPr>
        <w:t>x</w:t>
      </w:r>
      <w:r w:rsidR="00C7128D" w:rsidRPr="00EE1790">
        <w:rPr>
          <w:b/>
          <w:bCs/>
          <w:vertAlign w:val="subscript"/>
        </w:rPr>
        <w:t>2</w:t>
      </w:r>
      <w:r w:rsidR="00C7128D">
        <w:t xml:space="preserve"> </w:t>
      </w:r>
      <w:proofErr w:type="gramStart"/>
      <w:r w:rsidR="00C7128D">
        <w:t>slots</w:t>
      </w:r>
      <w:proofErr w:type="gramEnd"/>
    </w:p>
    <w:p w14:paraId="55DD4089" w14:textId="70AC4501" w:rsidR="00EE1790" w:rsidRDefault="00EE1790" w:rsidP="00A57CFD">
      <w:pPr>
        <w:pStyle w:val="ListParagraph"/>
        <w:numPr>
          <w:ilvl w:val="0"/>
          <w:numId w:val="35"/>
        </w:numPr>
      </w:pPr>
      <w:r>
        <w:t xml:space="preserve">The propagation time </w:t>
      </w:r>
      <w:r w:rsidRPr="00EE1790">
        <w:rPr>
          <w:b/>
          <w:bCs/>
        </w:rPr>
        <w:t>t</w:t>
      </w:r>
      <w:r w:rsidRPr="00EE1790">
        <w:rPr>
          <w:b/>
          <w:bCs/>
          <w:vertAlign w:val="subscript"/>
        </w:rPr>
        <w:t>1</w:t>
      </w:r>
      <w:r>
        <w:t xml:space="preserve"> is equivalent to an offset of </w:t>
      </w:r>
      <w:r w:rsidRPr="00EE1790">
        <w:rPr>
          <w:b/>
          <w:bCs/>
        </w:rPr>
        <w:t>x</w:t>
      </w:r>
      <w:r w:rsidRPr="00EE1790">
        <w:rPr>
          <w:b/>
          <w:bCs/>
          <w:vertAlign w:val="subscript"/>
        </w:rPr>
        <w:t>1</w:t>
      </w:r>
      <w:r>
        <w:t xml:space="preserve"> </w:t>
      </w:r>
      <w:proofErr w:type="gramStart"/>
      <w:r>
        <w:t>slots</w:t>
      </w:r>
      <w:proofErr w:type="gramEnd"/>
    </w:p>
    <w:p w14:paraId="03EBA590" w14:textId="1EE5C731" w:rsidR="00EE1790" w:rsidRDefault="00EE1790" w:rsidP="00A57CFD">
      <w:pPr>
        <w:pStyle w:val="ListParagraph"/>
        <w:numPr>
          <w:ilvl w:val="0"/>
          <w:numId w:val="35"/>
        </w:numPr>
      </w:pPr>
      <w:r>
        <w:t xml:space="preserve">The total UL timing advance is then equal to x1+x2 slots. </w:t>
      </w:r>
    </w:p>
    <w:p w14:paraId="50931B3C" w14:textId="77777777" w:rsidR="00683BFA" w:rsidRDefault="00FE1E3F" w:rsidP="00A57CFD">
      <w:pPr>
        <w:pStyle w:val="ListParagraph"/>
        <w:numPr>
          <w:ilvl w:val="0"/>
          <w:numId w:val="35"/>
        </w:numPr>
      </w:pPr>
      <w:r>
        <w:t xml:space="preserve">The </w:t>
      </w:r>
      <w:r w:rsidR="00706758">
        <w:t xml:space="preserve">DL slot given by </w:t>
      </w:r>
      <w:r>
        <w:t>DL(</w:t>
      </w:r>
      <w:proofErr w:type="spellStart"/>
      <w:r>
        <w:t>t</w:t>
      </w:r>
      <w:r w:rsidR="00706758" w:rsidRPr="00706758">
        <w:rPr>
          <w:vertAlign w:val="subscript"/>
        </w:rPr>
        <w:t>switch</w:t>
      </w:r>
      <w:proofErr w:type="spellEnd"/>
      <w:r w:rsidR="00706758">
        <w:t xml:space="preserve">) = n. </w:t>
      </w:r>
    </w:p>
    <w:p w14:paraId="6E617AAF" w14:textId="77777777" w:rsidR="00683BFA" w:rsidRDefault="00683BFA" w:rsidP="00683BFA"/>
    <w:p w14:paraId="552C91C1" w14:textId="732ED159" w:rsidR="00FE1E3F" w:rsidRDefault="00706758" w:rsidP="00683BFA">
      <w:r>
        <w:t>Then,</w:t>
      </w:r>
      <w:r w:rsidR="00683BFA">
        <w:t xml:space="preserve"> </w:t>
      </w:r>
      <w:r>
        <w:t xml:space="preserve"> </w:t>
      </w:r>
      <w:r w:rsidR="00CF1D32">
        <w:t>Figure 2 can be redrawn into Figure</w:t>
      </w:r>
      <w:r w:rsidR="00CA5C63">
        <w:t xml:space="preserve"> 3</w:t>
      </w:r>
      <w:r w:rsidR="002C7A7F">
        <w:t xml:space="preserve"> at </w:t>
      </w:r>
      <w:proofErr w:type="spellStart"/>
      <w:r w:rsidR="002C7A7F">
        <w:t>t</w:t>
      </w:r>
      <w:r w:rsidR="002C7A7F" w:rsidRPr="002C7A7F">
        <w:rPr>
          <w:vertAlign w:val="subscript"/>
        </w:rPr>
        <w:t>switch</w:t>
      </w:r>
      <w:proofErr w:type="spellEnd"/>
      <w:r w:rsidR="00CA5C63">
        <w:t>:</w:t>
      </w:r>
    </w:p>
    <w:p w14:paraId="4561ED2D" w14:textId="77777777" w:rsidR="004120AF" w:rsidRDefault="002C7A7F" w:rsidP="004120AF">
      <w:pPr>
        <w:keepNext/>
      </w:pPr>
      <w:r>
        <w:rPr>
          <w:noProof/>
        </w:rPr>
        <w:drawing>
          <wp:inline distT="0" distB="0" distL="0" distR="0" wp14:anchorId="525786D4" wp14:editId="119F7462">
            <wp:extent cx="4288832" cy="3164205"/>
            <wp:effectExtent l="0" t="0" r="0" b="0"/>
            <wp:docPr id="32" name="Graphic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bwMode="auto">
                    <a:xfrm>
                      <a:off x="0" y="0"/>
                      <a:ext cx="4288832" cy="3164205"/>
                    </a:xfrm>
                    <a:prstGeom prst="rect">
                      <a:avLst/>
                    </a:prstGeom>
                  </pic:spPr>
                </pic:pic>
              </a:graphicData>
            </a:graphic>
          </wp:inline>
        </w:drawing>
      </w:r>
    </w:p>
    <w:p w14:paraId="5BE10DBA" w14:textId="36341560" w:rsidR="00CA5C63" w:rsidRDefault="004120AF" w:rsidP="004120AF">
      <w:pPr>
        <w:pStyle w:val="Caption"/>
        <w:jc w:val="left"/>
      </w:pPr>
      <w:r>
        <w:t xml:space="preserve">Figure </w:t>
      </w:r>
      <w:r w:rsidR="0019481D">
        <w:fldChar w:fldCharType="begin"/>
      </w:r>
      <w:r w:rsidR="0019481D">
        <w:instrText xml:space="preserve"> SEQ Figure \* ARABIC </w:instrText>
      </w:r>
      <w:r w:rsidR="0019481D">
        <w:fldChar w:fldCharType="separate"/>
      </w:r>
      <w:r w:rsidR="00791C49">
        <w:rPr>
          <w:noProof/>
        </w:rPr>
        <w:t>3</w:t>
      </w:r>
      <w:r w:rsidR="0019481D">
        <w:rPr>
          <w:noProof/>
        </w:rPr>
        <w:fldChar w:fldCharType="end"/>
      </w:r>
      <w:r>
        <w:t xml:space="preserve">. DL and UL slot numbers </w:t>
      </w:r>
      <w:r w:rsidR="00856CB5">
        <w:t xml:space="preserve">at the UE, satellite and </w:t>
      </w:r>
      <w:proofErr w:type="spellStart"/>
      <w:r w:rsidR="00856CB5">
        <w:t>gNB</w:t>
      </w:r>
      <w:proofErr w:type="spellEnd"/>
      <w:r w:rsidR="00856CB5">
        <w:t xml:space="preserve"> when the switch happens.</w:t>
      </w:r>
    </w:p>
    <w:p w14:paraId="0EDDBB53" w14:textId="77777777" w:rsidR="00706758" w:rsidRDefault="00706758" w:rsidP="00706758"/>
    <w:p w14:paraId="55D44A72" w14:textId="72F6DD39" w:rsidR="002839A0" w:rsidRDefault="00FA3ABF" w:rsidP="005C23A4">
      <w:r>
        <w:t xml:space="preserve">Therefore, </w:t>
      </w:r>
    </w:p>
    <w:p w14:paraId="68B8AFC2" w14:textId="481CAD09" w:rsidR="00872593" w:rsidRDefault="00872593" w:rsidP="00872593">
      <w:pPr>
        <w:pStyle w:val="ListParagraph"/>
        <w:numPr>
          <w:ilvl w:val="0"/>
          <w:numId w:val="36"/>
        </w:numPr>
      </w:pPr>
      <w:r>
        <w:t>Any DL slot received by the satellite after slot</w:t>
      </w:r>
      <w:r w:rsidR="00A418B5">
        <w:t xml:space="preserve"> after n</w:t>
      </w:r>
      <w:r w:rsidR="00617B80">
        <w:t>-x1</w:t>
      </w:r>
      <w:r>
        <w:rPr>
          <w:b/>
          <w:bCs/>
          <w:vertAlign w:val="subscript"/>
        </w:rPr>
        <w:t xml:space="preserve"> </w:t>
      </w:r>
      <w:r>
        <w:t xml:space="preserve">cannot be relayed to the UE. </w:t>
      </w:r>
    </w:p>
    <w:p w14:paraId="4CC2F297" w14:textId="36804AC8" w:rsidR="00FD125D" w:rsidRDefault="00FD125D" w:rsidP="00FD125D">
      <w:pPr>
        <w:pStyle w:val="ListParagraph"/>
        <w:numPr>
          <w:ilvl w:val="1"/>
          <w:numId w:val="36"/>
        </w:numPr>
      </w:pPr>
      <w:r>
        <w:t>Any DL slot between [n</w:t>
      </w:r>
      <w:r w:rsidR="00F1681F">
        <w:t xml:space="preserve">-x2-x1, n-x1] has been already transmitted by </w:t>
      </w:r>
      <w:r w:rsidR="00697C11">
        <w:t>the satellite</w:t>
      </w:r>
      <w:r w:rsidR="00F1681F">
        <w:t xml:space="preserve"> </w:t>
      </w:r>
      <w:r w:rsidR="00F1681F" w:rsidRPr="00697C11">
        <w:rPr>
          <w:b/>
          <w:bCs/>
        </w:rPr>
        <w:t>but it is still travelling through the air interface.</w:t>
      </w:r>
      <w:r w:rsidR="00F1681F">
        <w:t xml:space="preserve"> </w:t>
      </w:r>
    </w:p>
    <w:p w14:paraId="103B8922" w14:textId="43603CB9" w:rsidR="00872593" w:rsidRDefault="00872593" w:rsidP="00872593">
      <w:pPr>
        <w:pStyle w:val="ListParagraph"/>
        <w:numPr>
          <w:ilvl w:val="0"/>
          <w:numId w:val="36"/>
        </w:numPr>
      </w:pPr>
      <w:r>
        <w:t xml:space="preserve">Any UL slot received by the satellite after UL slot  </w:t>
      </w:r>
      <w:r w:rsidR="00617B80">
        <w:t>n+x2</w:t>
      </w:r>
      <w:r>
        <w:rPr>
          <w:b/>
          <w:bCs/>
        </w:rPr>
        <w:t xml:space="preserve"> </w:t>
      </w:r>
      <w:r w:rsidRPr="00712FAD">
        <w:t xml:space="preserve">cannot be relayed to the </w:t>
      </w:r>
      <w:proofErr w:type="spellStart"/>
      <w:proofErr w:type="gramStart"/>
      <w:r w:rsidRPr="00712FAD">
        <w:t>gNB</w:t>
      </w:r>
      <w:proofErr w:type="spellEnd"/>
      <w:proofErr w:type="gramEnd"/>
    </w:p>
    <w:p w14:paraId="2A0ED20A" w14:textId="2F0A8DE7" w:rsidR="00697C11" w:rsidRDefault="00697C11" w:rsidP="00697C11">
      <w:pPr>
        <w:pStyle w:val="ListParagraph"/>
        <w:numPr>
          <w:ilvl w:val="1"/>
          <w:numId w:val="36"/>
        </w:numPr>
      </w:pPr>
      <w:r>
        <w:t xml:space="preserve">Any UL slot between [n, n+x1] has been already transmitted by the satellite </w:t>
      </w:r>
      <w:r w:rsidRPr="00697C11">
        <w:rPr>
          <w:b/>
          <w:bCs/>
        </w:rPr>
        <w:t>but is still travelling through the air interface.</w:t>
      </w:r>
    </w:p>
    <w:p w14:paraId="58FC78F2" w14:textId="77777777" w:rsidR="00872593" w:rsidRDefault="00872593" w:rsidP="005C23A4"/>
    <w:p w14:paraId="0D3BD20B" w14:textId="760C4BE0" w:rsidR="00697C11" w:rsidRDefault="00697C11" w:rsidP="005C23A4">
      <w:r>
        <w:t xml:space="preserve">Hence, if we measure the </w:t>
      </w:r>
      <w:r w:rsidR="0016759A">
        <w:t xml:space="preserve">activity </w:t>
      </w:r>
      <w:r w:rsidR="003116B8">
        <w:t xml:space="preserve">in DL </w:t>
      </w:r>
      <w:r w:rsidR="00D7468E">
        <w:t xml:space="preserve">and UL of the </w:t>
      </w:r>
      <w:proofErr w:type="spellStart"/>
      <w:r w:rsidR="00D7468E">
        <w:t>gNB</w:t>
      </w:r>
      <w:proofErr w:type="spellEnd"/>
      <w:r w:rsidR="00D7468E">
        <w:t xml:space="preserve"> such that every reachable slot is used at both ends we will have something </w:t>
      </w:r>
      <w:proofErr w:type="gramStart"/>
      <w:r w:rsidR="00D7468E">
        <w:t>similar to</w:t>
      </w:r>
      <w:proofErr w:type="gramEnd"/>
      <w:r w:rsidR="00791C49">
        <w:t xml:space="preserve"> Figure 4, where greyed slots are “unreachable” slots:</w:t>
      </w:r>
    </w:p>
    <w:p w14:paraId="45E657D8" w14:textId="77777777" w:rsidR="00791C49" w:rsidRDefault="00791C49" w:rsidP="00791C49">
      <w:pPr>
        <w:keepNext/>
      </w:pPr>
      <w:r>
        <w:rPr>
          <w:noProof/>
        </w:rPr>
        <w:lastRenderedPageBreak/>
        <w:drawing>
          <wp:inline distT="0" distB="0" distL="0" distR="0" wp14:anchorId="06271C67" wp14:editId="5305D5E5">
            <wp:extent cx="5968365" cy="324929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8365" cy="3249295"/>
                    </a:xfrm>
                    <a:prstGeom prst="rect">
                      <a:avLst/>
                    </a:prstGeom>
                    <a:noFill/>
                  </pic:spPr>
                </pic:pic>
              </a:graphicData>
            </a:graphic>
          </wp:inline>
        </w:drawing>
      </w:r>
    </w:p>
    <w:p w14:paraId="1B0CE15D" w14:textId="13400F90" w:rsidR="00791C49" w:rsidRDefault="00791C49" w:rsidP="00791C49">
      <w:pPr>
        <w:pStyle w:val="Caption"/>
        <w:jc w:val="left"/>
      </w:pPr>
      <w:r>
        <w:t xml:space="preserve">Figure </w:t>
      </w:r>
      <w:r w:rsidR="0019481D">
        <w:fldChar w:fldCharType="begin"/>
      </w:r>
      <w:r w:rsidR="0019481D">
        <w:instrText xml:space="preserve"> SEQ Figure \* ARABIC </w:instrText>
      </w:r>
      <w:r w:rsidR="0019481D">
        <w:fldChar w:fldCharType="separate"/>
      </w:r>
      <w:r>
        <w:rPr>
          <w:noProof/>
        </w:rPr>
        <w:t>4</w:t>
      </w:r>
      <w:r w:rsidR="0019481D">
        <w:rPr>
          <w:noProof/>
        </w:rPr>
        <w:fldChar w:fldCharType="end"/>
      </w:r>
      <w:r>
        <w:t xml:space="preserve">. DL and UL reachable slots by </w:t>
      </w:r>
      <w:proofErr w:type="spellStart"/>
      <w:r>
        <w:t>gNB</w:t>
      </w:r>
      <w:proofErr w:type="spellEnd"/>
      <w:r>
        <w:t xml:space="preserve"> and UE when a hard switch occurs.</w:t>
      </w:r>
    </w:p>
    <w:p w14:paraId="181EFA74" w14:textId="77777777" w:rsidR="00D7468E" w:rsidRDefault="00D7468E" w:rsidP="005C23A4"/>
    <w:p w14:paraId="28F48D1F" w14:textId="70E0AD34" w:rsidR="00791C49" w:rsidRDefault="007B464C" w:rsidP="005C23A4">
      <w:r>
        <w:t xml:space="preserve">So, </w:t>
      </w:r>
      <w:r w:rsidR="000A2D12">
        <w:t xml:space="preserve">it is clear from Figure 4 that </w:t>
      </w:r>
      <w:r w:rsidR="00ED234B">
        <w:t xml:space="preserve">the UE might still receive several DL slots from the source satellite, while it is not capable to </w:t>
      </w:r>
      <w:r w:rsidR="00A17863">
        <w:t xml:space="preserve">transmit </w:t>
      </w:r>
      <w:r w:rsidR="0031633A">
        <w:t xml:space="preserve">in this direction. </w:t>
      </w:r>
    </w:p>
    <w:p w14:paraId="57848992" w14:textId="7CB85EC9" w:rsidR="00D22020" w:rsidRDefault="00096128" w:rsidP="00D22020">
      <w:pPr>
        <w:pStyle w:val="RAN4proposal"/>
      </w:pPr>
      <w:bookmarkStart w:id="19" w:name="_Toc146734082"/>
      <w:r>
        <w:t xml:space="preserve">For hard-switch the UL </w:t>
      </w:r>
      <w:r w:rsidR="00D22020">
        <w:t>switch</w:t>
      </w:r>
      <w:r>
        <w:t xml:space="preserve"> time and the DL </w:t>
      </w:r>
      <w:r w:rsidR="00D22020">
        <w:t>switch</w:t>
      </w:r>
      <w:r>
        <w:t xml:space="preserve"> time at the UE are different</w:t>
      </w:r>
      <w:r w:rsidR="00D22020">
        <w:t>.</w:t>
      </w:r>
      <w:bookmarkEnd w:id="19"/>
    </w:p>
    <w:p w14:paraId="00499254" w14:textId="459975D8" w:rsidR="006129C7" w:rsidRDefault="00D22020" w:rsidP="006129C7">
      <w:pPr>
        <w:pStyle w:val="RAN4proposal"/>
        <w:numPr>
          <w:ilvl w:val="1"/>
          <w:numId w:val="7"/>
        </w:numPr>
      </w:pPr>
      <w:bookmarkStart w:id="20" w:name="_Toc146734083"/>
      <w:r>
        <w:t xml:space="preserve">UL switch time occurs at </w:t>
      </w:r>
      <w:proofErr w:type="spellStart"/>
      <w:r w:rsidR="00C03A45">
        <w:t>t</w:t>
      </w:r>
      <w:r w:rsidR="00C03A45" w:rsidRPr="006129C7">
        <w:rPr>
          <w:vertAlign w:val="subscript"/>
        </w:rPr>
        <w:t>ue_ul_switch</w:t>
      </w:r>
      <w:proofErr w:type="spellEnd"/>
      <w:r w:rsidR="00C03A45" w:rsidRPr="006129C7">
        <w:rPr>
          <w:vertAlign w:val="subscript"/>
        </w:rPr>
        <w:t xml:space="preserve"> </w:t>
      </w:r>
      <w:r w:rsidR="00C03A45">
        <w:t xml:space="preserve">= </w:t>
      </w:r>
      <w:r>
        <w:t>t-service</w:t>
      </w:r>
      <w:r w:rsidR="004F0B59">
        <w:t xml:space="preserve"> </w:t>
      </w:r>
      <w:r w:rsidR="00C03A45">
        <w:t>–</w:t>
      </w:r>
      <w:r w:rsidR="004F0B59">
        <w:t xml:space="preserve"> </w:t>
      </w:r>
      <w:r w:rsidR="002D05AE">
        <w:t>feeder link</w:t>
      </w:r>
      <w:r w:rsidR="00C03A45">
        <w:t xml:space="preserve"> </w:t>
      </w:r>
      <w:r w:rsidR="002D05AE">
        <w:t xml:space="preserve">propagation </w:t>
      </w:r>
      <w:r w:rsidR="00C03A45">
        <w:t>delay</w:t>
      </w:r>
      <w:bookmarkEnd w:id="20"/>
    </w:p>
    <w:p w14:paraId="4B2BDDFD" w14:textId="00E3D03A" w:rsidR="006129C7" w:rsidRPr="006129C7" w:rsidRDefault="006129C7" w:rsidP="006129C7">
      <w:pPr>
        <w:pStyle w:val="RAN4proposal"/>
        <w:numPr>
          <w:ilvl w:val="1"/>
          <w:numId w:val="7"/>
        </w:numPr>
      </w:pPr>
      <w:bookmarkStart w:id="21" w:name="_Toc146734084"/>
      <w:r>
        <w:t xml:space="preserve">DL switch time occurs at </w:t>
      </w:r>
      <w:proofErr w:type="spellStart"/>
      <w:r>
        <w:t>t</w:t>
      </w:r>
      <w:r w:rsidRPr="006129C7">
        <w:rPr>
          <w:vertAlign w:val="subscript"/>
        </w:rPr>
        <w:t>ue_dl_switch</w:t>
      </w:r>
      <w:proofErr w:type="spellEnd"/>
      <w:r w:rsidRPr="006129C7">
        <w:rPr>
          <w:vertAlign w:val="subscript"/>
        </w:rPr>
        <w:t xml:space="preserve"> </w:t>
      </w:r>
      <w:r>
        <w:t xml:space="preserve">= t-service + </w:t>
      </w:r>
      <w:r w:rsidR="002D05AE">
        <w:t>feeder link propagation</w:t>
      </w:r>
      <w:r>
        <w:t xml:space="preserve"> delay</w:t>
      </w:r>
      <w:bookmarkEnd w:id="21"/>
    </w:p>
    <w:p w14:paraId="6CE08C15" w14:textId="77777777" w:rsidR="00D22020" w:rsidRPr="00D22020" w:rsidRDefault="00D22020" w:rsidP="00D22020">
      <w:pPr>
        <w:pStyle w:val="RAN4proposal"/>
        <w:numPr>
          <w:ilvl w:val="0"/>
          <w:numId w:val="0"/>
        </w:numPr>
      </w:pPr>
    </w:p>
    <w:p w14:paraId="511B1712" w14:textId="7CC75D2B" w:rsidR="0060543D" w:rsidRPr="008C39F7" w:rsidRDefault="002D05AE" w:rsidP="002D05AE">
      <w:pPr>
        <w:pStyle w:val="RAN4proposal"/>
      </w:pPr>
      <w:bookmarkStart w:id="22" w:name="_Toc146734085"/>
      <w:r>
        <w:t xml:space="preserve">Separate UL and DL interruption requirements for </w:t>
      </w:r>
      <w:r w:rsidR="00D10BCD">
        <w:t>the case of hard satellite switch with same PCI.</w:t>
      </w:r>
      <w:bookmarkEnd w:id="22"/>
      <w:r w:rsidR="00D10BCD">
        <w:t xml:space="preserve"> </w:t>
      </w:r>
    </w:p>
    <w:p w14:paraId="1750F338" w14:textId="77777777" w:rsidR="0060543D" w:rsidRDefault="0060543D" w:rsidP="0060543D"/>
    <w:p w14:paraId="7EE5C7AF" w14:textId="77777777" w:rsidR="00450F3D" w:rsidRDefault="00450F3D" w:rsidP="0060543D"/>
    <w:p w14:paraId="0462FA8C" w14:textId="3FD0EF79" w:rsidR="00427801" w:rsidRDefault="00427801" w:rsidP="00427801">
      <w:pPr>
        <w:pStyle w:val="RAN4H3"/>
      </w:pPr>
      <w:r>
        <w:t>Time and Location Based Conditional Handovers</w:t>
      </w:r>
    </w:p>
    <w:p w14:paraId="465B6772" w14:textId="77777777" w:rsidR="00427801" w:rsidRDefault="00427801" w:rsidP="00427801">
      <w:pPr>
        <w:pStyle w:val="ListParagraph"/>
      </w:pPr>
    </w:p>
    <w:p w14:paraId="0570DBD7" w14:textId="77777777" w:rsidR="008115F5" w:rsidRDefault="00427801" w:rsidP="008115F5">
      <w:r>
        <w:t xml:space="preserve">Recently, RAN2 has agreed that time and location </w:t>
      </w:r>
      <w:r w:rsidR="00A13F60">
        <w:t xml:space="preserve">conditional triggers can be configured independently, i.e., without any other radio conditions associated to the trigger. This will require </w:t>
      </w:r>
      <w:r w:rsidR="008115F5">
        <w:t xml:space="preserve">that RAN4 requirements are updated to deal with this new </w:t>
      </w:r>
      <w:proofErr w:type="spellStart"/>
      <w:r w:rsidR="008115F5">
        <w:t>potencial</w:t>
      </w:r>
      <w:proofErr w:type="spellEnd"/>
      <w:r w:rsidR="008115F5">
        <w:t xml:space="preserve"> scenarios. </w:t>
      </w:r>
    </w:p>
    <w:tbl>
      <w:tblPr>
        <w:tblStyle w:val="TableGrid"/>
        <w:tblW w:w="0" w:type="auto"/>
        <w:tblLook w:val="04A0" w:firstRow="1" w:lastRow="0" w:firstColumn="1" w:lastColumn="0" w:noHBand="0" w:noVBand="1"/>
      </w:tblPr>
      <w:tblGrid>
        <w:gridCol w:w="9617"/>
      </w:tblGrid>
      <w:tr w:rsidR="0060106E" w14:paraId="3BEDDFA5" w14:textId="77777777" w:rsidTr="0060106E">
        <w:tc>
          <w:tcPr>
            <w:tcW w:w="9617" w:type="dxa"/>
          </w:tcPr>
          <w:p w14:paraId="6210D1C9" w14:textId="77777777" w:rsidR="0060106E" w:rsidRDefault="00950DBF" w:rsidP="008115F5">
            <w:r>
              <w:t>Agreement (RAN2 #123):</w:t>
            </w:r>
          </w:p>
          <w:p w14:paraId="7880535E" w14:textId="77777777" w:rsidR="00AC27F6" w:rsidRDefault="00AC27F6" w:rsidP="00AC27F6">
            <w:r>
              <w:t xml:space="preserve">6. For CHO in NTN (both NR NTN and </w:t>
            </w:r>
            <w:proofErr w:type="spellStart"/>
            <w:r>
              <w:t>eMTC</w:t>
            </w:r>
            <w:proofErr w:type="spellEnd"/>
            <w:r>
              <w:t xml:space="preserve"> NTN, time and location-based trigger conditions may be configured independently (i.e., without a jointly configured measurement condition). We add a description/note saying in which scenarios this is reasonable, </w:t>
            </w:r>
            <w:proofErr w:type="gramStart"/>
            <w:r>
              <w:t>e.g.</w:t>
            </w:r>
            <w:proofErr w:type="gramEnd"/>
            <w:r>
              <w:t xml:space="preserve"> at least hard-switch case where gap is assumed to be zero/negligible</w:t>
            </w:r>
          </w:p>
          <w:p w14:paraId="3F3A5579" w14:textId="031F0CE9" w:rsidR="00950DBF" w:rsidRDefault="00950DBF" w:rsidP="008115F5"/>
        </w:tc>
      </w:tr>
    </w:tbl>
    <w:p w14:paraId="68EC252F" w14:textId="2B3C7F54" w:rsidR="00427801" w:rsidRPr="008C39F7" w:rsidRDefault="008115F5" w:rsidP="00AC27F6">
      <w:pPr>
        <w:pStyle w:val="RAN4proposal"/>
      </w:pPr>
      <w:r>
        <w:t xml:space="preserve"> </w:t>
      </w:r>
      <w:bookmarkStart w:id="23" w:name="_Toc146734086"/>
      <w:r w:rsidR="00AC27F6">
        <w:t xml:space="preserve">RAN4 to specify new requirements for the </w:t>
      </w:r>
      <w:r w:rsidR="007A6F98">
        <w:t xml:space="preserve">CHO </w:t>
      </w:r>
      <w:r w:rsidR="00BA0665">
        <w:t xml:space="preserve">with </w:t>
      </w:r>
      <w:r w:rsidR="000911E0">
        <w:t xml:space="preserve">time and or distance </w:t>
      </w:r>
      <w:r w:rsidR="004604A8">
        <w:t>independent triggers</w:t>
      </w:r>
      <w:r w:rsidR="00A547F8">
        <w:t>.</w:t>
      </w:r>
      <w:bookmarkEnd w:id="23"/>
    </w:p>
    <w:p w14:paraId="178F717B" w14:textId="77777777" w:rsidR="00CD7492" w:rsidRPr="008C39F7" w:rsidRDefault="00CD7492" w:rsidP="00A37002">
      <w:pPr>
        <w:pStyle w:val="RAN4H1"/>
      </w:pPr>
      <w:bookmarkStart w:id="24" w:name="_Toc116995848"/>
      <w:r w:rsidRPr="008C39F7">
        <w:lastRenderedPageBreak/>
        <w:t>Conclusion</w:t>
      </w:r>
      <w:bookmarkEnd w:id="24"/>
    </w:p>
    <w:p w14:paraId="75012FC1" w14:textId="30F35B32" w:rsidR="008B0961" w:rsidRDefault="00E806DF" w:rsidP="005C23A4">
      <w:r>
        <w:t xml:space="preserve">In this paper we have analyzed the mobility enhancements for </w:t>
      </w:r>
      <w:proofErr w:type="gramStart"/>
      <w:r>
        <w:t>NTN UEs, and</w:t>
      </w:r>
      <w:proofErr w:type="gramEnd"/>
      <w:r>
        <w:t xml:space="preserve"> have discussed the impact of such enhancements in RRM requirements. Based on this discussion, we make the following set of observations and proposals:</w:t>
      </w:r>
    </w:p>
    <w:p w14:paraId="3AA8030C" w14:textId="326C8EB1" w:rsidR="00A547F8" w:rsidRDefault="00EF3DBE">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6734068" w:history="1">
        <w:r w:rsidR="00A547F8" w:rsidRPr="00213B6D">
          <w:rPr>
            <w:rStyle w:val="Hyperlink"/>
          </w:rPr>
          <w:t>Proposal 1: Do not specify requirements for TN to NTN cell reselection in Release 18.</w:t>
        </w:r>
      </w:hyperlink>
    </w:p>
    <w:p w14:paraId="5A89C6CA" w14:textId="7B16E9C3"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69" w:history="1">
        <w:r w:rsidR="00A547F8" w:rsidRPr="00213B6D">
          <w:rPr>
            <w:rStyle w:val="Hyperlink"/>
          </w:rPr>
          <w:t>Proposal 2: In Rel-18, update the applicability rules on TS 38.133:</w:t>
        </w:r>
      </w:hyperlink>
    </w:p>
    <w:p w14:paraId="729C0EA5" w14:textId="23041779" w:rsidR="00A547F8" w:rsidRDefault="0019481D">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070" w:history="1">
        <w:r w:rsidR="00A547F8" w:rsidRPr="00213B6D">
          <w:rPr>
            <w:rStyle w:val="Hyperlink"/>
          </w:rPr>
          <w:t>a.</w:t>
        </w:r>
        <w:r w:rsidR="00A547F8">
          <w:rPr>
            <w:rFonts w:asciiTheme="minorHAnsi" w:eastAsiaTheme="minorEastAsia" w:hAnsiTheme="minorHAnsi"/>
            <w:b w:val="0"/>
            <w:iCs w:val="0"/>
            <w:kern w:val="2"/>
            <w:sz w:val="22"/>
            <w:lang w:val="en-GB" w:eastAsia="en-GB"/>
            <w14:ligatures w14:val="standardContextual"/>
          </w:rPr>
          <w:tab/>
        </w:r>
        <w:r w:rsidR="00A547F8" w:rsidRPr="00213B6D">
          <w:rPr>
            <w:rStyle w:val="Hyperlink"/>
          </w:rPr>
          <w:t>Cell reselection requirements apply between satellites on the same layer or between a NTN cell and a TN cell.</w:t>
        </w:r>
      </w:hyperlink>
    </w:p>
    <w:p w14:paraId="67EAB2EB" w14:textId="3636B774" w:rsidR="00A547F8" w:rsidRDefault="0019481D">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071" w:history="1">
        <w:r w:rsidR="00A547F8" w:rsidRPr="00213B6D">
          <w:rPr>
            <w:rStyle w:val="Hyperlink"/>
          </w:rPr>
          <w:t>b.</w:t>
        </w:r>
        <w:r w:rsidR="00A547F8">
          <w:rPr>
            <w:rFonts w:asciiTheme="minorHAnsi" w:eastAsiaTheme="minorEastAsia" w:hAnsiTheme="minorHAnsi"/>
            <w:b w:val="0"/>
            <w:iCs w:val="0"/>
            <w:kern w:val="2"/>
            <w:sz w:val="22"/>
            <w:lang w:val="en-GB" w:eastAsia="en-GB"/>
            <w14:ligatures w14:val="standardContextual"/>
          </w:rPr>
          <w:tab/>
        </w:r>
        <w:r w:rsidR="00A547F8" w:rsidRPr="00213B6D">
          <w:rPr>
            <w:rStyle w:val="Hyperlink"/>
          </w:rPr>
          <w:t>Cell reselection requirements where both source and target cell are NTN cells are only applicable when the UE is provided with satellite assistance information for the target cell;</w:t>
        </w:r>
      </w:hyperlink>
    </w:p>
    <w:p w14:paraId="31DEDFA0" w14:textId="6E88294E" w:rsidR="00A547F8" w:rsidRDefault="0019481D">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072" w:history="1">
        <w:r w:rsidR="00A547F8" w:rsidRPr="00213B6D">
          <w:rPr>
            <w:rStyle w:val="Hyperlink"/>
          </w:rPr>
          <w:t>c.</w:t>
        </w:r>
        <w:r w:rsidR="00A547F8">
          <w:rPr>
            <w:rFonts w:asciiTheme="minorHAnsi" w:eastAsiaTheme="minorEastAsia" w:hAnsiTheme="minorHAnsi"/>
            <w:b w:val="0"/>
            <w:iCs w:val="0"/>
            <w:kern w:val="2"/>
            <w:sz w:val="22"/>
            <w:lang w:val="en-GB" w:eastAsia="en-GB"/>
            <w14:ligatures w14:val="standardContextual"/>
          </w:rPr>
          <w:tab/>
        </w:r>
        <w:r w:rsidR="00A547F8" w:rsidRPr="00213B6D">
          <w:rPr>
            <w:rStyle w:val="Hyperlink"/>
          </w:rPr>
          <w:t>Cell reselection requirements where source cell is NTN and target cell is TN regardless of assistance information to the target cell.</w:t>
        </w:r>
      </w:hyperlink>
    </w:p>
    <w:p w14:paraId="4E35D970" w14:textId="013EB9B7"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73" w:history="1">
        <w:r w:rsidR="00A547F8" w:rsidRPr="00213B6D">
          <w:rPr>
            <w:rStyle w:val="Hyperlink"/>
          </w:rPr>
          <w:t>Proposal 3: If the UE is configured to measure TN cells, and TN coverage information is provided, the UE is only required to perform cell reselection measurements for a given TN frequency layer, if the UE is within one or more of the TN areas provided for this frequency layer. A TN area is defined by a reference location and the radius, as provided in RAN2 signaling.</w:t>
        </w:r>
      </w:hyperlink>
    </w:p>
    <w:p w14:paraId="02E36F23" w14:textId="3C081A21" w:rsidR="00A547F8" w:rsidRDefault="0019481D">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074" w:history="1">
        <w:r w:rsidR="00A547F8" w:rsidRPr="00213B6D">
          <w:rPr>
            <w:rStyle w:val="Hyperlink"/>
          </w:rPr>
          <w:t>a.</w:t>
        </w:r>
        <w:r w:rsidR="00A547F8">
          <w:rPr>
            <w:rFonts w:asciiTheme="minorHAnsi" w:eastAsiaTheme="minorEastAsia" w:hAnsiTheme="minorHAnsi"/>
            <w:b w:val="0"/>
            <w:iCs w:val="0"/>
            <w:kern w:val="2"/>
            <w:sz w:val="22"/>
            <w:lang w:val="en-GB" w:eastAsia="en-GB"/>
            <w14:ligatures w14:val="standardContextual"/>
          </w:rPr>
          <w:tab/>
        </w:r>
        <w:r w:rsidR="00A547F8" w:rsidRPr="00213B6D">
          <w:rPr>
            <w:rStyle w:val="Hyperlink"/>
          </w:rPr>
          <w:t>This proposal only applies to the UEs that can support the “skipping of TN neighbour cell measurements” capability defined by RAN2.</w:t>
        </w:r>
      </w:hyperlink>
    </w:p>
    <w:p w14:paraId="6A2B5632" w14:textId="15378383" w:rsidR="00A547F8" w:rsidRDefault="0019481D">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075" w:history="1">
        <w:r w:rsidR="00A547F8" w:rsidRPr="00213B6D">
          <w:rPr>
            <w:rStyle w:val="Hyperlink"/>
          </w:rPr>
          <w:t>b.</w:t>
        </w:r>
        <w:r w:rsidR="00A547F8">
          <w:rPr>
            <w:rFonts w:asciiTheme="minorHAnsi" w:eastAsiaTheme="minorEastAsia" w:hAnsiTheme="minorHAnsi"/>
            <w:b w:val="0"/>
            <w:iCs w:val="0"/>
            <w:kern w:val="2"/>
            <w:sz w:val="22"/>
            <w:lang w:val="en-GB" w:eastAsia="en-GB"/>
            <w14:ligatures w14:val="standardContextual"/>
          </w:rPr>
          <w:tab/>
        </w:r>
        <w:r w:rsidR="00A547F8" w:rsidRPr="00213B6D">
          <w:rPr>
            <w:rStyle w:val="Hyperlink"/>
          </w:rPr>
          <w:t>If no TN coverage information is provided or if the UE does not support the capability, the UE shall perform measurements towards the TN frequency layers normally.</w:t>
        </w:r>
      </w:hyperlink>
    </w:p>
    <w:p w14:paraId="1B96BD1F" w14:textId="28004894"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76" w:history="1">
        <w:r w:rsidR="00A547F8" w:rsidRPr="00213B6D">
          <w:rPr>
            <w:rStyle w:val="Hyperlink"/>
          </w:rPr>
          <w:t>Proposal 4: When the UE is configured in SIB3/4 to measure cells, to whom no satellite assistance information is provided, UE assumes this is a TN neighbour cell and the specific requirements for NTN-&gt;TN cell reselection apply.</w:t>
        </w:r>
      </w:hyperlink>
    </w:p>
    <w:p w14:paraId="00E20989" w14:textId="79E17D2F"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77" w:history="1">
        <w:r w:rsidR="00A547F8" w:rsidRPr="00213B6D">
          <w:rPr>
            <w:rStyle w:val="Hyperlink"/>
          </w:rPr>
          <w:t>Proposal 5: For cell reselection between NTN and TN cells K</w:t>
        </w:r>
        <w:r w:rsidR="00A547F8" w:rsidRPr="00213B6D">
          <w:rPr>
            <w:rStyle w:val="Hyperlink"/>
            <w:vertAlign w:val="subscript"/>
          </w:rPr>
          <w:t>multi_SMTC ,i</w:t>
        </w:r>
        <w:r w:rsidR="00A547F8" w:rsidRPr="00213B6D">
          <w:rPr>
            <w:rStyle w:val="Hyperlink"/>
          </w:rPr>
          <w:t>=1, if frequency layer i is configured for measurement of TN cells.</w:t>
        </w:r>
      </w:hyperlink>
    </w:p>
    <w:p w14:paraId="7A9473E1" w14:textId="575E9019"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78" w:history="1">
        <w:r w:rsidR="00A547F8" w:rsidRPr="00213B6D">
          <w:rPr>
            <w:rStyle w:val="Hyperlink"/>
          </w:rPr>
          <w:t>Proposal 6: Capture in TS 38.133 the cell reselection from NR NTN to EUTRA TN.</w:t>
        </w:r>
      </w:hyperlink>
    </w:p>
    <w:p w14:paraId="2C2E77E6" w14:textId="3F1D2581"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79" w:history="1">
        <w:r w:rsidR="00A547F8" w:rsidRPr="00213B6D">
          <w:rPr>
            <w:rStyle w:val="Hyperlink"/>
          </w:rPr>
          <w:t>Observation 1: It is expected that the reference location on Earth Moving cells is moving and that the UE shall derive the trajectory.</w:t>
        </w:r>
      </w:hyperlink>
    </w:p>
    <w:p w14:paraId="0DBA8CFF" w14:textId="6822021B"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80" w:history="1">
        <w:r w:rsidR="00A547F8" w:rsidRPr="00213B6D">
          <w:rPr>
            <w:rStyle w:val="Hyperlink"/>
          </w:rPr>
          <w:t>Proposal 7: Define the location-based measurement initiation considering a moving reference location where the UE shall derive the trajectory based on satellite ephemeris and epoch Time.</w:t>
        </w:r>
      </w:hyperlink>
    </w:p>
    <w:p w14:paraId="48BFCF54" w14:textId="52206AB0" w:rsidR="00A547F8" w:rsidRDefault="0019481D">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081" w:history="1">
        <w:r w:rsidR="00A547F8" w:rsidRPr="00213B6D">
          <w:rPr>
            <w:rStyle w:val="Hyperlink"/>
          </w:rPr>
          <w:t>a.</w:t>
        </w:r>
        <w:r w:rsidR="00A547F8">
          <w:rPr>
            <w:rFonts w:asciiTheme="minorHAnsi" w:eastAsiaTheme="minorEastAsia" w:hAnsiTheme="minorHAnsi"/>
            <w:b w:val="0"/>
            <w:iCs w:val="0"/>
            <w:kern w:val="2"/>
            <w:sz w:val="22"/>
            <w:lang w:val="en-GB" w:eastAsia="en-GB"/>
            <w14:ligatures w14:val="standardContextual"/>
          </w:rPr>
          <w:tab/>
        </w:r>
        <w:r w:rsidR="00A547F8" w:rsidRPr="00213B6D">
          <w:rPr>
            <w:rStyle w:val="Hyperlink"/>
          </w:rPr>
          <w:t>The location of the moving reference location is updated over time, such that the angle between the reference location and the satellite position given by the ephemeris remains constant compared to the last time UE has read the ephemeris information..</w:t>
        </w:r>
      </w:hyperlink>
    </w:p>
    <w:p w14:paraId="0181A84E" w14:textId="49CC5C04"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82" w:history="1">
        <w:r w:rsidR="00A547F8" w:rsidRPr="00213B6D">
          <w:rPr>
            <w:rStyle w:val="Hyperlink"/>
          </w:rPr>
          <w:t>Proposal 8: For hard-switch the UL switch time and the DL switch time at the UE are different.</w:t>
        </w:r>
      </w:hyperlink>
    </w:p>
    <w:p w14:paraId="66226331" w14:textId="6658704B" w:rsidR="00A547F8" w:rsidRDefault="0019481D">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083" w:history="1">
        <w:r w:rsidR="00A547F8" w:rsidRPr="00213B6D">
          <w:rPr>
            <w:rStyle w:val="Hyperlink"/>
          </w:rPr>
          <w:t>a.</w:t>
        </w:r>
        <w:r w:rsidR="00A547F8">
          <w:rPr>
            <w:rFonts w:asciiTheme="minorHAnsi" w:eastAsiaTheme="minorEastAsia" w:hAnsiTheme="minorHAnsi"/>
            <w:b w:val="0"/>
            <w:iCs w:val="0"/>
            <w:kern w:val="2"/>
            <w:sz w:val="22"/>
            <w:lang w:val="en-GB" w:eastAsia="en-GB"/>
            <w14:ligatures w14:val="standardContextual"/>
          </w:rPr>
          <w:tab/>
        </w:r>
        <w:r w:rsidR="00A547F8" w:rsidRPr="00213B6D">
          <w:rPr>
            <w:rStyle w:val="Hyperlink"/>
          </w:rPr>
          <w:t>UL switch time occurs at t</w:t>
        </w:r>
        <w:r w:rsidR="00A547F8" w:rsidRPr="00213B6D">
          <w:rPr>
            <w:rStyle w:val="Hyperlink"/>
            <w:vertAlign w:val="subscript"/>
          </w:rPr>
          <w:t xml:space="preserve">ue_ul_switch </w:t>
        </w:r>
        <w:r w:rsidR="00A547F8" w:rsidRPr="00213B6D">
          <w:rPr>
            <w:rStyle w:val="Hyperlink"/>
          </w:rPr>
          <w:t>= t-service – feeder link propagation delay</w:t>
        </w:r>
      </w:hyperlink>
    </w:p>
    <w:p w14:paraId="50444B1B" w14:textId="3CB0A4C9" w:rsidR="00A547F8" w:rsidRDefault="0019481D">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6734084" w:history="1">
        <w:r w:rsidR="00A547F8" w:rsidRPr="00213B6D">
          <w:rPr>
            <w:rStyle w:val="Hyperlink"/>
          </w:rPr>
          <w:t>b.</w:t>
        </w:r>
        <w:r w:rsidR="00A547F8">
          <w:rPr>
            <w:rFonts w:asciiTheme="minorHAnsi" w:eastAsiaTheme="minorEastAsia" w:hAnsiTheme="minorHAnsi"/>
            <w:b w:val="0"/>
            <w:iCs w:val="0"/>
            <w:kern w:val="2"/>
            <w:sz w:val="22"/>
            <w:lang w:val="en-GB" w:eastAsia="en-GB"/>
            <w14:ligatures w14:val="standardContextual"/>
          </w:rPr>
          <w:tab/>
        </w:r>
        <w:r w:rsidR="00A547F8" w:rsidRPr="00213B6D">
          <w:rPr>
            <w:rStyle w:val="Hyperlink"/>
          </w:rPr>
          <w:t>DL switch time occurs at t</w:t>
        </w:r>
        <w:r w:rsidR="00A547F8" w:rsidRPr="00213B6D">
          <w:rPr>
            <w:rStyle w:val="Hyperlink"/>
            <w:vertAlign w:val="subscript"/>
          </w:rPr>
          <w:t xml:space="preserve">ue_dl_switch </w:t>
        </w:r>
        <w:r w:rsidR="00A547F8" w:rsidRPr="00213B6D">
          <w:rPr>
            <w:rStyle w:val="Hyperlink"/>
          </w:rPr>
          <w:t>= t-service + feeder link propagation delay</w:t>
        </w:r>
      </w:hyperlink>
    </w:p>
    <w:p w14:paraId="67023D39" w14:textId="4505B51D"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85" w:history="1">
        <w:r w:rsidR="00A547F8" w:rsidRPr="00213B6D">
          <w:rPr>
            <w:rStyle w:val="Hyperlink"/>
          </w:rPr>
          <w:t>Proposal 9: Separate UL and DL interruption requirements for the case of hard satellite switch with same PCI.</w:t>
        </w:r>
      </w:hyperlink>
    </w:p>
    <w:p w14:paraId="5BF39B8E" w14:textId="70304390" w:rsidR="00A547F8" w:rsidRDefault="0019481D">
      <w:pPr>
        <w:pStyle w:val="TOC1"/>
        <w:rPr>
          <w:rFonts w:asciiTheme="minorHAnsi" w:eastAsiaTheme="minorEastAsia" w:hAnsiTheme="minorHAnsi"/>
          <w:b w:val="0"/>
          <w:iCs w:val="0"/>
          <w:kern w:val="2"/>
          <w:sz w:val="22"/>
          <w:lang w:val="en-GB" w:eastAsia="en-GB"/>
          <w14:ligatures w14:val="standardContextual"/>
        </w:rPr>
      </w:pPr>
      <w:hyperlink w:anchor="_Toc146734086" w:history="1">
        <w:r w:rsidR="00A547F8" w:rsidRPr="00213B6D">
          <w:rPr>
            <w:rStyle w:val="Hyperlink"/>
          </w:rPr>
          <w:t>Proposal 10: RAN4 to specify new requirements for the CHO with time and or distance independent triggers.</w:t>
        </w:r>
      </w:hyperlink>
    </w:p>
    <w:p w14:paraId="70CE908E" w14:textId="2A9A531C" w:rsidR="00E806DF" w:rsidRPr="008C39F7" w:rsidRDefault="00EF3DBE" w:rsidP="005C23A4">
      <w:r>
        <w:fldChar w:fldCharType="end"/>
      </w:r>
    </w:p>
    <w:p w14:paraId="3215B7A1" w14:textId="64FFDAD6" w:rsidR="00847264" w:rsidRPr="008C39F7" w:rsidRDefault="00847264" w:rsidP="008C39F7">
      <w:bookmarkStart w:id="25" w:name="_Toc116995849"/>
    </w:p>
    <w:p w14:paraId="06325D94" w14:textId="77777777" w:rsidR="003B659E" w:rsidRPr="008C39F7" w:rsidRDefault="003B659E" w:rsidP="0060543D">
      <w:pPr>
        <w:pStyle w:val="RAN4H1"/>
        <w:numPr>
          <w:ilvl w:val="0"/>
          <w:numId w:val="0"/>
        </w:numPr>
        <w:ind w:left="360" w:hanging="360"/>
      </w:pPr>
      <w:r w:rsidRPr="008C39F7">
        <w:t>References</w:t>
      </w:r>
      <w:bookmarkEnd w:id="25"/>
    </w:p>
    <w:p w14:paraId="1A853C1E"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bookmarkStart w:id="26" w:name="_Ref114500673"/>
      <w:bookmarkStart w:id="27" w:name="_Ref54013899"/>
      <w:bookmarkStart w:id="28" w:name="_Ref141960737"/>
      <w:bookmarkEnd w:id="26"/>
      <w:r w:rsidRPr="00FD51CE">
        <w:t>RP-223534</w:t>
      </w:r>
      <w:r w:rsidRPr="00FF6B64">
        <w:t xml:space="preserve">, </w:t>
      </w:r>
      <w:bookmarkEnd w:id="27"/>
      <w:r w:rsidRPr="001D7FDE">
        <w:t>NR NTN (Non-Terrestrial Networks) enhancements</w:t>
      </w:r>
      <w:r>
        <w:t>, Thales</w:t>
      </w:r>
      <w:bookmarkEnd w:id="28"/>
    </w:p>
    <w:p w14:paraId="0CD08FFD" w14:textId="77777777" w:rsidR="00AD1383" w:rsidRDefault="00AD1383" w:rsidP="00AD1383">
      <w:pPr>
        <w:numPr>
          <w:ilvl w:val="0"/>
          <w:numId w:val="21"/>
        </w:numPr>
        <w:overflowPunct w:val="0"/>
        <w:autoSpaceDE w:val="0"/>
        <w:autoSpaceDN w:val="0"/>
        <w:adjustRightInd w:val="0"/>
        <w:spacing w:after="0" w:line="240" w:lineRule="auto"/>
        <w:jc w:val="both"/>
        <w:textAlignment w:val="baseline"/>
      </w:pPr>
      <w:bookmarkStart w:id="29" w:name="_Ref146534405"/>
      <w:bookmarkStart w:id="30" w:name="_Ref134708583"/>
      <w:r w:rsidRPr="00280B89">
        <w:t>R4-2314447</w:t>
      </w:r>
      <w:r>
        <w:t xml:space="preserve">, </w:t>
      </w:r>
      <w:r w:rsidRPr="00280B89">
        <w:rPr>
          <w:i/>
          <w:iCs/>
        </w:rPr>
        <w:t>“WF on R18 NR NTN RRM requirements</w:t>
      </w:r>
      <w:r>
        <w:rPr>
          <w:i/>
          <w:iCs/>
        </w:rPr>
        <w:t>”</w:t>
      </w:r>
      <w:r>
        <w:t xml:space="preserve">, Qualcomm Incorporated, 3GPP WG RAN4 #107, </w:t>
      </w:r>
      <w:r w:rsidRPr="00280B89">
        <w:t>Toulouse, France, August 21 – 25, 2023</w:t>
      </w:r>
      <w:bookmarkEnd w:id="29"/>
    </w:p>
    <w:p w14:paraId="72A88F4B"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r w:rsidRPr="00D71116">
        <w:lastRenderedPageBreak/>
        <w:t>R4-2302998</w:t>
      </w:r>
      <w:r w:rsidRPr="00FF6B64">
        <w:t xml:space="preserve">, </w:t>
      </w:r>
      <w:r w:rsidRPr="00D71116">
        <w:rPr>
          <w:i/>
          <w:iCs/>
        </w:rPr>
        <w:t>WF for system parameters of above 10 GHz NTN band</w:t>
      </w:r>
      <w:r>
        <w:t>, Thales (Moderator)</w:t>
      </w:r>
      <w:bookmarkEnd w:id="30"/>
    </w:p>
    <w:p w14:paraId="478E22BD"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bookmarkStart w:id="31" w:name="_Ref141279468"/>
      <w:r w:rsidRPr="008863ED">
        <w:t>R4-2306169</w:t>
      </w:r>
      <w:r>
        <w:t xml:space="preserve">, </w:t>
      </w:r>
      <w:r w:rsidRPr="00C07B05">
        <w:rPr>
          <w:i/>
          <w:iCs/>
        </w:rPr>
        <w:t>WF on NR NTN enhancements RRM requirements</w:t>
      </w:r>
      <w:r>
        <w:t>, Qualcomm Incorporated, 3GPP WG RAN4#106-bis, electronic meeting</w:t>
      </w:r>
      <w:bookmarkEnd w:id="31"/>
    </w:p>
    <w:p w14:paraId="148C907D" w14:textId="68AEF1F5" w:rsidR="000040DC" w:rsidRPr="00847264" w:rsidRDefault="000040DC" w:rsidP="00EF3DBE">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4855" w14:textId="77777777" w:rsidR="00155AA8" w:rsidRDefault="00155AA8" w:rsidP="00001C9B">
      <w:pPr>
        <w:spacing w:after="0" w:line="240" w:lineRule="auto"/>
      </w:pPr>
      <w:r>
        <w:separator/>
      </w:r>
    </w:p>
  </w:endnote>
  <w:endnote w:type="continuationSeparator" w:id="0">
    <w:p w14:paraId="73972601" w14:textId="77777777" w:rsidR="00155AA8" w:rsidRDefault="00155AA8" w:rsidP="00001C9B">
      <w:pPr>
        <w:spacing w:after="0" w:line="240" w:lineRule="auto"/>
      </w:pPr>
      <w:r>
        <w:continuationSeparator/>
      </w:r>
    </w:p>
  </w:endnote>
  <w:endnote w:type="continuationNotice" w:id="1">
    <w:p w14:paraId="11DE57BE" w14:textId="77777777" w:rsidR="00155AA8" w:rsidRDefault="00155A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lett">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6709" w14:textId="77777777" w:rsidR="00155AA8" w:rsidRDefault="00155AA8" w:rsidP="00001C9B">
      <w:pPr>
        <w:spacing w:after="0" w:line="240" w:lineRule="auto"/>
      </w:pPr>
      <w:r>
        <w:separator/>
      </w:r>
    </w:p>
  </w:footnote>
  <w:footnote w:type="continuationSeparator" w:id="0">
    <w:p w14:paraId="44D2C1E6" w14:textId="77777777" w:rsidR="00155AA8" w:rsidRDefault="00155AA8" w:rsidP="00001C9B">
      <w:pPr>
        <w:spacing w:after="0" w:line="240" w:lineRule="auto"/>
      </w:pPr>
      <w:r>
        <w:continuationSeparator/>
      </w:r>
    </w:p>
  </w:footnote>
  <w:footnote w:type="continuationNotice" w:id="1">
    <w:p w14:paraId="221AEC6F" w14:textId="77777777" w:rsidR="00155AA8" w:rsidRDefault="00155A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3F7B7F"/>
    <w:multiLevelType w:val="hybridMultilevel"/>
    <w:tmpl w:val="3A1C9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FA7732"/>
    <w:multiLevelType w:val="hybridMultilevel"/>
    <w:tmpl w:val="F7BA4D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942677"/>
    <w:multiLevelType w:val="hybridMultilevel"/>
    <w:tmpl w:val="C8D89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F0375A"/>
    <w:multiLevelType w:val="hybridMultilevel"/>
    <w:tmpl w:val="494C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B48F1"/>
    <w:multiLevelType w:val="hybridMultilevel"/>
    <w:tmpl w:val="1748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F44A6"/>
    <w:multiLevelType w:val="hybridMultilevel"/>
    <w:tmpl w:val="A7284E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7F2B76"/>
    <w:multiLevelType w:val="hybridMultilevel"/>
    <w:tmpl w:val="C0400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4"/>
  </w:num>
  <w:num w:numId="4" w16cid:durableId="517735681">
    <w:abstractNumId w:val="8"/>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99697709">
    <w:abstractNumId w:val="23"/>
  </w:num>
  <w:num w:numId="28" w16cid:durableId="249850146">
    <w:abstractNumId w:val="19"/>
  </w:num>
  <w:num w:numId="29" w16cid:durableId="455176836">
    <w:abstractNumId w:val="5"/>
  </w:num>
  <w:num w:numId="30" w16cid:durableId="1254826386">
    <w:abstractNumId w:val="2"/>
  </w:num>
  <w:num w:numId="31" w16cid:durableId="1363358496">
    <w:abstractNumId w:val="7"/>
  </w:num>
  <w:num w:numId="32" w16cid:durableId="843668308">
    <w:abstractNumId w:val="21"/>
  </w:num>
  <w:num w:numId="33" w16cid:durableId="56320089">
    <w:abstractNumId w:val="4"/>
  </w:num>
  <w:num w:numId="34" w16cid:durableId="1420441769">
    <w:abstractNumId w:val="17"/>
  </w:num>
  <w:num w:numId="35" w16cid:durableId="799768441">
    <w:abstractNumId w:val="10"/>
  </w:num>
  <w:num w:numId="36" w16cid:durableId="18767733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430379"/>
    <w:rsid w:val="00001C9B"/>
    <w:rsid w:val="000040DC"/>
    <w:rsid w:val="00004909"/>
    <w:rsid w:val="00011784"/>
    <w:rsid w:val="00011787"/>
    <w:rsid w:val="000151EF"/>
    <w:rsid w:val="000166A6"/>
    <w:rsid w:val="000239F5"/>
    <w:rsid w:val="00023FC3"/>
    <w:rsid w:val="00025125"/>
    <w:rsid w:val="000263EE"/>
    <w:rsid w:val="00030BB1"/>
    <w:rsid w:val="00031914"/>
    <w:rsid w:val="0006042A"/>
    <w:rsid w:val="000654BF"/>
    <w:rsid w:val="00067771"/>
    <w:rsid w:val="0008044D"/>
    <w:rsid w:val="0008612A"/>
    <w:rsid w:val="00090E18"/>
    <w:rsid w:val="000911E0"/>
    <w:rsid w:val="00096128"/>
    <w:rsid w:val="00097CCF"/>
    <w:rsid w:val="000A10BC"/>
    <w:rsid w:val="000A27CD"/>
    <w:rsid w:val="000A2D12"/>
    <w:rsid w:val="000A320A"/>
    <w:rsid w:val="000A62C5"/>
    <w:rsid w:val="000B0056"/>
    <w:rsid w:val="000B6F58"/>
    <w:rsid w:val="000C0BED"/>
    <w:rsid w:val="000C232F"/>
    <w:rsid w:val="000C3C7B"/>
    <w:rsid w:val="000D0F93"/>
    <w:rsid w:val="000D5C64"/>
    <w:rsid w:val="000E3CBE"/>
    <w:rsid w:val="000E7C4E"/>
    <w:rsid w:val="000F363F"/>
    <w:rsid w:val="000F3DD5"/>
    <w:rsid w:val="001045EA"/>
    <w:rsid w:val="00106416"/>
    <w:rsid w:val="00110481"/>
    <w:rsid w:val="001127C9"/>
    <w:rsid w:val="00114498"/>
    <w:rsid w:val="00115B88"/>
    <w:rsid w:val="0011709D"/>
    <w:rsid w:val="0012102B"/>
    <w:rsid w:val="00126ED3"/>
    <w:rsid w:val="00132385"/>
    <w:rsid w:val="00132F6A"/>
    <w:rsid w:val="00133913"/>
    <w:rsid w:val="00135158"/>
    <w:rsid w:val="00140221"/>
    <w:rsid w:val="00155AA8"/>
    <w:rsid w:val="001616F5"/>
    <w:rsid w:val="001642FC"/>
    <w:rsid w:val="0016496B"/>
    <w:rsid w:val="00164BC0"/>
    <w:rsid w:val="0016759A"/>
    <w:rsid w:val="001743E2"/>
    <w:rsid w:val="001745F8"/>
    <w:rsid w:val="00176240"/>
    <w:rsid w:val="001838CF"/>
    <w:rsid w:val="001868EE"/>
    <w:rsid w:val="00190DA8"/>
    <w:rsid w:val="001932B6"/>
    <w:rsid w:val="0019481D"/>
    <w:rsid w:val="001A3BA4"/>
    <w:rsid w:val="001A6D1F"/>
    <w:rsid w:val="001B144A"/>
    <w:rsid w:val="001B3262"/>
    <w:rsid w:val="001B4629"/>
    <w:rsid w:val="001D1B50"/>
    <w:rsid w:val="001D3929"/>
    <w:rsid w:val="001D3CA4"/>
    <w:rsid w:val="001D749D"/>
    <w:rsid w:val="001E30F6"/>
    <w:rsid w:val="001E4D71"/>
    <w:rsid w:val="001F78A6"/>
    <w:rsid w:val="00203D02"/>
    <w:rsid w:val="00212A33"/>
    <w:rsid w:val="002168F8"/>
    <w:rsid w:val="00216968"/>
    <w:rsid w:val="00217EE5"/>
    <w:rsid w:val="00227C80"/>
    <w:rsid w:val="002320F5"/>
    <w:rsid w:val="0023514D"/>
    <w:rsid w:val="00235F5C"/>
    <w:rsid w:val="00246698"/>
    <w:rsid w:val="002545EC"/>
    <w:rsid w:val="00257FA3"/>
    <w:rsid w:val="00270A81"/>
    <w:rsid w:val="00270E3A"/>
    <w:rsid w:val="00277B56"/>
    <w:rsid w:val="002839A0"/>
    <w:rsid w:val="0029457B"/>
    <w:rsid w:val="002A1499"/>
    <w:rsid w:val="002A19F5"/>
    <w:rsid w:val="002B4922"/>
    <w:rsid w:val="002C22C3"/>
    <w:rsid w:val="002C2D19"/>
    <w:rsid w:val="002C42FF"/>
    <w:rsid w:val="002C7195"/>
    <w:rsid w:val="002C7A7F"/>
    <w:rsid w:val="002D05AE"/>
    <w:rsid w:val="002D10FA"/>
    <w:rsid w:val="002D14C9"/>
    <w:rsid w:val="002D4C55"/>
    <w:rsid w:val="002D7BA0"/>
    <w:rsid w:val="002E6DED"/>
    <w:rsid w:val="002F6D9F"/>
    <w:rsid w:val="00300956"/>
    <w:rsid w:val="0030185F"/>
    <w:rsid w:val="003037A0"/>
    <w:rsid w:val="00305274"/>
    <w:rsid w:val="003116B8"/>
    <w:rsid w:val="00314B0C"/>
    <w:rsid w:val="0031550C"/>
    <w:rsid w:val="0031633A"/>
    <w:rsid w:val="00316CC5"/>
    <w:rsid w:val="00317187"/>
    <w:rsid w:val="0032499A"/>
    <w:rsid w:val="00331FF4"/>
    <w:rsid w:val="003341F7"/>
    <w:rsid w:val="00335835"/>
    <w:rsid w:val="00346371"/>
    <w:rsid w:val="00347FEC"/>
    <w:rsid w:val="003509DF"/>
    <w:rsid w:val="003540F5"/>
    <w:rsid w:val="00356688"/>
    <w:rsid w:val="00356F45"/>
    <w:rsid w:val="003669F1"/>
    <w:rsid w:val="00366B74"/>
    <w:rsid w:val="0037653F"/>
    <w:rsid w:val="00381849"/>
    <w:rsid w:val="00392A97"/>
    <w:rsid w:val="003973F4"/>
    <w:rsid w:val="00397E0C"/>
    <w:rsid w:val="003A5797"/>
    <w:rsid w:val="003A710A"/>
    <w:rsid w:val="003B192F"/>
    <w:rsid w:val="003B1DE1"/>
    <w:rsid w:val="003B659E"/>
    <w:rsid w:val="003C275E"/>
    <w:rsid w:val="003C4FDE"/>
    <w:rsid w:val="003D0731"/>
    <w:rsid w:val="003E58DF"/>
    <w:rsid w:val="003E7124"/>
    <w:rsid w:val="003F1601"/>
    <w:rsid w:val="003F6169"/>
    <w:rsid w:val="004038CE"/>
    <w:rsid w:val="00404C4C"/>
    <w:rsid w:val="004077DA"/>
    <w:rsid w:val="004120AF"/>
    <w:rsid w:val="00412D60"/>
    <w:rsid w:val="00412DD1"/>
    <w:rsid w:val="0041341D"/>
    <w:rsid w:val="0041423F"/>
    <w:rsid w:val="00414F81"/>
    <w:rsid w:val="0041548F"/>
    <w:rsid w:val="004203EC"/>
    <w:rsid w:val="00421A2B"/>
    <w:rsid w:val="0042773A"/>
    <w:rsid w:val="00427801"/>
    <w:rsid w:val="00430379"/>
    <w:rsid w:val="00436A0F"/>
    <w:rsid w:val="00437150"/>
    <w:rsid w:val="0043715D"/>
    <w:rsid w:val="0043750A"/>
    <w:rsid w:val="0044000B"/>
    <w:rsid w:val="00442B0A"/>
    <w:rsid w:val="00445EF7"/>
    <w:rsid w:val="00447577"/>
    <w:rsid w:val="00450F3D"/>
    <w:rsid w:val="00452FE1"/>
    <w:rsid w:val="00456B6E"/>
    <w:rsid w:val="004604A8"/>
    <w:rsid w:val="00460B09"/>
    <w:rsid w:val="00463A6E"/>
    <w:rsid w:val="004640A2"/>
    <w:rsid w:val="00471764"/>
    <w:rsid w:val="004732E9"/>
    <w:rsid w:val="00473648"/>
    <w:rsid w:val="004854BB"/>
    <w:rsid w:val="0048773A"/>
    <w:rsid w:val="00494493"/>
    <w:rsid w:val="00496606"/>
    <w:rsid w:val="004A7A14"/>
    <w:rsid w:val="004B236C"/>
    <w:rsid w:val="004B2595"/>
    <w:rsid w:val="004C3271"/>
    <w:rsid w:val="004C4710"/>
    <w:rsid w:val="004E23AD"/>
    <w:rsid w:val="004E3411"/>
    <w:rsid w:val="004E5E66"/>
    <w:rsid w:val="004E7ADB"/>
    <w:rsid w:val="004F0B59"/>
    <w:rsid w:val="004F3940"/>
    <w:rsid w:val="00503B4D"/>
    <w:rsid w:val="00504EE9"/>
    <w:rsid w:val="00505053"/>
    <w:rsid w:val="00510D08"/>
    <w:rsid w:val="00517A71"/>
    <w:rsid w:val="00521576"/>
    <w:rsid w:val="005250E6"/>
    <w:rsid w:val="00525C99"/>
    <w:rsid w:val="00541767"/>
    <w:rsid w:val="00542D23"/>
    <w:rsid w:val="0054442C"/>
    <w:rsid w:val="00544531"/>
    <w:rsid w:val="005453A3"/>
    <w:rsid w:val="00550285"/>
    <w:rsid w:val="00562492"/>
    <w:rsid w:val="00572A20"/>
    <w:rsid w:val="00581210"/>
    <w:rsid w:val="005836F8"/>
    <w:rsid w:val="005918FA"/>
    <w:rsid w:val="00592A86"/>
    <w:rsid w:val="005B0209"/>
    <w:rsid w:val="005B0604"/>
    <w:rsid w:val="005B1538"/>
    <w:rsid w:val="005B4801"/>
    <w:rsid w:val="005B5D5F"/>
    <w:rsid w:val="005B6E04"/>
    <w:rsid w:val="005B6F0E"/>
    <w:rsid w:val="005B7455"/>
    <w:rsid w:val="005C2204"/>
    <w:rsid w:val="005C23A4"/>
    <w:rsid w:val="005C412F"/>
    <w:rsid w:val="005C6778"/>
    <w:rsid w:val="005C7B1D"/>
    <w:rsid w:val="005D1CDF"/>
    <w:rsid w:val="005D23E2"/>
    <w:rsid w:val="005D2BB7"/>
    <w:rsid w:val="005D52C2"/>
    <w:rsid w:val="005D534F"/>
    <w:rsid w:val="005E61A8"/>
    <w:rsid w:val="005F6419"/>
    <w:rsid w:val="0060106E"/>
    <w:rsid w:val="00604841"/>
    <w:rsid w:val="00604C92"/>
    <w:rsid w:val="0060543D"/>
    <w:rsid w:val="00606326"/>
    <w:rsid w:val="006104DD"/>
    <w:rsid w:val="0061291C"/>
    <w:rsid w:val="006129C7"/>
    <w:rsid w:val="006130B5"/>
    <w:rsid w:val="006149B9"/>
    <w:rsid w:val="00617400"/>
    <w:rsid w:val="00617B80"/>
    <w:rsid w:val="00631A2B"/>
    <w:rsid w:val="00632D29"/>
    <w:rsid w:val="00634334"/>
    <w:rsid w:val="006425CC"/>
    <w:rsid w:val="00664950"/>
    <w:rsid w:val="00675944"/>
    <w:rsid w:val="006804B7"/>
    <w:rsid w:val="00682508"/>
    <w:rsid w:val="00683220"/>
    <w:rsid w:val="00683BFA"/>
    <w:rsid w:val="00687FA0"/>
    <w:rsid w:val="00695AF3"/>
    <w:rsid w:val="00697C11"/>
    <w:rsid w:val="006A3C11"/>
    <w:rsid w:val="006A4CF9"/>
    <w:rsid w:val="006B7010"/>
    <w:rsid w:val="006C3095"/>
    <w:rsid w:val="006C3F84"/>
    <w:rsid w:val="006C4A7A"/>
    <w:rsid w:val="006D4FCD"/>
    <w:rsid w:val="006D7F3A"/>
    <w:rsid w:val="006E1151"/>
    <w:rsid w:val="006E1D00"/>
    <w:rsid w:val="006E2552"/>
    <w:rsid w:val="006E6311"/>
    <w:rsid w:val="006F6A0E"/>
    <w:rsid w:val="00701BAA"/>
    <w:rsid w:val="00706758"/>
    <w:rsid w:val="00712E9F"/>
    <w:rsid w:val="00712FAD"/>
    <w:rsid w:val="007145FF"/>
    <w:rsid w:val="00715B2A"/>
    <w:rsid w:val="00722B46"/>
    <w:rsid w:val="00735011"/>
    <w:rsid w:val="00737942"/>
    <w:rsid w:val="007450F1"/>
    <w:rsid w:val="0074657D"/>
    <w:rsid w:val="00751515"/>
    <w:rsid w:val="00761DD1"/>
    <w:rsid w:val="007626B7"/>
    <w:rsid w:val="00774D9E"/>
    <w:rsid w:val="0078212B"/>
    <w:rsid w:val="00783509"/>
    <w:rsid w:val="00784DF6"/>
    <w:rsid w:val="00784EA4"/>
    <w:rsid w:val="00785232"/>
    <w:rsid w:val="00791C49"/>
    <w:rsid w:val="007946C8"/>
    <w:rsid w:val="007A5063"/>
    <w:rsid w:val="007A6F98"/>
    <w:rsid w:val="007B186C"/>
    <w:rsid w:val="007B464C"/>
    <w:rsid w:val="007B7C7A"/>
    <w:rsid w:val="007C1696"/>
    <w:rsid w:val="007C3ED0"/>
    <w:rsid w:val="007C5971"/>
    <w:rsid w:val="007D0DD8"/>
    <w:rsid w:val="007D4B7B"/>
    <w:rsid w:val="007E50A6"/>
    <w:rsid w:val="007E7A8B"/>
    <w:rsid w:val="007F54B9"/>
    <w:rsid w:val="007F63A2"/>
    <w:rsid w:val="00806A76"/>
    <w:rsid w:val="00810ACE"/>
    <w:rsid w:val="008115F5"/>
    <w:rsid w:val="00811C9D"/>
    <w:rsid w:val="00813DA2"/>
    <w:rsid w:val="00814EA2"/>
    <w:rsid w:val="00816C80"/>
    <w:rsid w:val="0081716F"/>
    <w:rsid w:val="00825C17"/>
    <w:rsid w:val="00841BCD"/>
    <w:rsid w:val="00845E61"/>
    <w:rsid w:val="00847264"/>
    <w:rsid w:val="00847852"/>
    <w:rsid w:val="00851A8E"/>
    <w:rsid w:val="0085365B"/>
    <w:rsid w:val="00856CB5"/>
    <w:rsid w:val="00860905"/>
    <w:rsid w:val="00860E1F"/>
    <w:rsid w:val="00863CFF"/>
    <w:rsid w:val="00865976"/>
    <w:rsid w:val="008713E8"/>
    <w:rsid w:val="00872593"/>
    <w:rsid w:val="00876D92"/>
    <w:rsid w:val="008821D5"/>
    <w:rsid w:val="008826C1"/>
    <w:rsid w:val="0088328C"/>
    <w:rsid w:val="00883DFD"/>
    <w:rsid w:val="00890335"/>
    <w:rsid w:val="008A1BF7"/>
    <w:rsid w:val="008A2ED1"/>
    <w:rsid w:val="008A5B0E"/>
    <w:rsid w:val="008A5D0C"/>
    <w:rsid w:val="008B0961"/>
    <w:rsid w:val="008C39F7"/>
    <w:rsid w:val="008C5E71"/>
    <w:rsid w:val="008D4FB9"/>
    <w:rsid w:val="008E1D12"/>
    <w:rsid w:val="008E4334"/>
    <w:rsid w:val="008F6187"/>
    <w:rsid w:val="0090091A"/>
    <w:rsid w:val="009014CC"/>
    <w:rsid w:val="009042BD"/>
    <w:rsid w:val="00904FE4"/>
    <w:rsid w:val="00906108"/>
    <w:rsid w:val="00912A73"/>
    <w:rsid w:val="0092128F"/>
    <w:rsid w:val="00923729"/>
    <w:rsid w:val="00936159"/>
    <w:rsid w:val="00950DBF"/>
    <w:rsid w:val="00965400"/>
    <w:rsid w:val="0097467D"/>
    <w:rsid w:val="0097507F"/>
    <w:rsid w:val="00977E1D"/>
    <w:rsid w:val="0098642A"/>
    <w:rsid w:val="009A4B52"/>
    <w:rsid w:val="009B0573"/>
    <w:rsid w:val="009B30FE"/>
    <w:rsid w:val="009B7B4B"/>
    <w:rsid w:val="009B7C21"/>
    <w:rsid w:val="009C2386"/>
    <w:rsid w:val="009C4109"/>
    <w:rsid w:val="009C537A"/>
    <w:rsid w:val="009D1DAE"/>
    <w:rsid w:val="009D5EBC"/>
    <w:rsid w:val="009D6E38"/>
    <w:rsid w:val="009E07D3"/>
    <w:rsid w:val="009E1318"/>
    <w:rsid w:val="009E5234"/>
    <w:rsid w:val="009F4D65"/>
    <w:rsid w:val="00A02715"/>
    <w:rsid w:val="00A0343C"/>
    <w:rsid w:val="00A036CA"/>
    <w:rsid w:val="00A04992"/>
    <w:rsid w:val="00A13F60"/>
    <w:rsid w:val="00A147AA"/>
    <w:rsid w:val="00A14D53"/>
    <w:rsid w:val="00A17863"/>
    <w:rsid w:val="00A20D36"/>
    <w:rsid w:val="00A21D71"/>
    <w:rsid w:val="00A22B78"/>
    <w:rsid w:val="00A23673"/>
    <w:rsid w:val="00A25AE5"/>
    <w:rsid w:val="00A25E61"/>
    <w:rsid w:val="00A27A8B"/>
    <w:rsid w:val="00A30A6F"/>
    <w:rsid w:val="00A37002"/>
    <w:rsid w:val="00A418B5"/>
    <w:rsid w:val="00A4355E"/>
    <w:rsid w:val="00A46DD5"/>
    <w:rsid w:val="00A520D9"/>
    <w:rsid w:val="00A547F8"/>
    <w:rsid w:val="00A57CFD"/>
    <w:rsid w:val="00A65D9D"/>
    <w:rsid w:val="00A7034F"/>
    <w:rsid w:val="00A70E54"/>
    <w:rsid w:val="00A72CF6"/>
    <w:rsid w:val="00A77896"/>
    <w:rsid w:val="00A77938"/>
    <w:rsid w:val="00A87032"/>
    <w:rsid w:val="00A92BCD"/>
    <w:rsid w:val="00A94D78"/>
    <w:rsid w:val="00AA1253"/>
    <w:rsid w:val="00AA1B0E"/>
    <w:rsid w:val="00AA32D5"/>
    <w:rsid w:val="00AA47B6"/>
    <w:rsid w:val="00AA7666"/>
    <w:rsid w:val="00AB1A5B"/>
    <w:rsid w:val="00AB6B74"/>
    <w:rsid w:val="00AC163B"/>
    <w:rsid w:val="00AC27F6"/>
    <w:rsid w:val="00AC5CA7"/>
    <w:rsid w:val="00AC6058"/>
    <w:rsid w:val="00AC6C3C"/>
    <w:rsid w:val="00AC6E50"/>
    <w:rsid w:val="00AD1383"/>
    <w:rsid w:val="00AD5256"/>
    <w:rsid w:val="00AE2BA5"/>
    <w:rsid w:val="00AE56B1"/>
    <w:rsid w:val="00AE66BC"/>
    <w:rsid w:val="00AE6D09"/>
    <w:rsid w:val="00AF2231"/>
    <w:rsid w:val="00AF30BE"/>
    <w:rsid w:val="00AF7A7C"/>
    <w:rsid w:val="00B02070"/>
    <w:rsid w:val="00B1024D"/>
    <w:rsid w:val="00B11C35"/>
    <w:rsid w:val="00B350B4"/>
    <w:rsid w:val="00B408B6"/>
    <w:rsid w:val="00B4539A"/>
    <w:rsid w:val="00B53D52"/>
    <w:rsid w:val="00B542DA"/>
    <w:rsid w:val="00B548BB"/>
    <w:rsid w:val="00B54E52"/>
    <w:rsid w:val="00B637B4"/>
    <w:rsid w:val="00B66FBF"/>
    <w:rsid w:val="00B737B1"/>
    <w:rsid w:val="00B73862"/>
    <w:rsid w:val="00B73F43"/>
    <w:rsid w:val="00B748CD"/>
    <w:rsid w:val="00B75BBF"/>
    <w:rsid w:val="00BA0665"/>
    <w:rsid w:val="00BA1323"/>
    <w:rsid w:val="00BA642B"/>
    <w:rsid w:val="00BA6B66"/>
    <w:rsid w:val="00BA6E48"/>
    <w:rsid w:val="00BB2021"/>
    <w:rsid w:val="00BB6B46"/>
    <w:rsid w:val="00BC47E7"/>
    <w:rsid w:val="00BD0955"/>
    <w:rsid w:val="00BD72B2"/>
    <w:rsid w:val="00BE0AF6"/>
    <w:rsid w:val="00BE1F03"/>
    <w:rsid w:val="00BE2171"/>
    <w:rsid w:val="00BE58A7"/>
    <w:rsid w:val="00BF2218"/>
    <w:rsid w:val="00BF64DF"/>
    <w:rsid w:val="00C015B6"/>
    <w:rsid w:val="00C01BC2"/>
    <w:rsid w:val="00C03A45"/>
    <w:rsid w:val="00C0426B"/>
    <w:rsid w:val="00C045DF"/>
    <w:rsid w:val="00C237EE"/>
    <w:rsid w:val="00C26D43"/>
    <w:rsid w:val="00C3569E"/>
    <w:rsid w:val="00C35AE6"/>
    <w:rsid w:val="00C36D89"/>
    <w:rsid w:val="00C40C83"/>
    <w:rsid w:val="00C46548"/>
    <w:rsid w:val="00C47CC1"/>
    <w:rsid w:val="00C50D1F"/>
    <w:rsid w:val="00C574D5"/>
    <w:rsid w:val="00C7128D"/>
    <w:rsid w:val="00C73F32"/>
    <w:rsid w:val="00C8475C"/>
    <w:rsid w:val="00C86711"/>
    <w:rsid w:val="00C87462"/>
    <w:rsid w:val="00C91873"/>
    <w:rsid w:val="00CA180C"/>
    <w:rsid w:val="00CA3465"/>
    <w:rsid w:val="00CA5C63"/>
    <w:rsid w:val="00CA61C5"/>
    <w:rsid w:val="00CB22B2"/>
    <w:rsid w:val="00CB78E9"/>
    <w:rsid w:val="00CC0233"/>
    <w:rsid w:val="00CC3EE2"/>
    <w:rsid w:val="00CD4749"/>
    <w:rsid w:val="00CD712F"/>
    <w:rsid w:val="00CD7492"/>
    <w:rsid w:val="00CE18B8"/>
    <w:rsid w:val="00CE1BAB"/>
    <w:rsid w:val="00CE3A6B"/>
    <w:rsid w:val="00CE6FF0"/>
    <w:rsid w:val="00CF14EA"/>
    <w:rsid w:val="00CF1D32"/>
    <w:rsid w:val="00CF5001"/>
    <w:rsid w:val="00D00211"/>
    <w:rsid w:val="00D0366D"/>
    <w:rsid w:val="00D04ACA"/>
    <w:rsid w:val="00D06309"/>
    <w:rsid w:val="00D10BCD"/>
    <w:rsid w:val="00D11DA0"/>
    <w:rsid w:val="00D22020"/>
    <w:rsid w:val="00D3154B"/>
    <w:rsid w:val="00D32EFD"/>
    <w:rsid w:val="00D32FF3"/>
    <w:rsid w:val="00D34951"/>
    <w:rsid w:val="00D351EA"/>
    <w:rsid w:val="00D35ADF"/>
    <w:rsid w:val="00D40288"/>
    <w:rsid w:val="00D4169C"/>
    <w:rsid w:val="00D43403"/>
    <w:rsid w:val="00D4797E"/>
    <w:rsid w:val="00D516FD"/>
    <w:rsid w:val="00D5270B"/>
    <w:rsid w:val="00D62E71"/>
    <w:rsid w:val="00D6430D"/>
    <w:rsid w:val="00D66188"/>
    <w:rsid w:val="00D7057A"/>
    <w:rsid w:val="00D731F6"/>
    <w:rsid w:val="00D740CA"/>
    <w:rsid w:val="00D7468E"/>
    <w:rsid w:val="00D83FF4"/>
    <w:rsid w:val="00D85728"/>
    <w:rsid w:val="00D948FB"/>
    <w:rsid w:val="00D94C08"/>
    <w:rsid w:val="00D95481"/>
    <w:rsid w:val="00DA11F8"/>
    <w:rsid w:val="00DA4C6B"/>
    <w:rsid w:val="00DC395E"/>
    <w:rsid w:val="00DC78B3"/>
    <w:rsid w:val="00DC7A13"/>
    <w:rsid w:val="00DE347C"/>
    <w:rsid w:val="00DF2997"/>
    <w:rsid w:val="00DF541E"/>
    <w:rsid w:val="00DF735E"/>
    <w:rsid w:val="00E10BC4"/>
    <w:rsid w:val="00E1415D"/>
    <w:rsid w:val="00E14E4D"/>
    <w:rsid w:val="00E312F4"/>
    <w:rsid w:val="00E323E9"/>
    <w:rsid w:val="00E3252A"/>
    <w:rsid w:val="00E34018"/>
    <w:rsid w:val="00E40081"/>
    <w:rsid w:val="00E437D2"/>
    <w:rsid w:val="00E53FA3"/>
    <w:rsid w:val="00E55751"/>
    <w:rsid w:val="00E56024"/>
    <w:rsid w:val="00E56D3C"/>
    <w:rsid w:val="00E57751"/>
    <w:rsid w:val="00E71915"/>
    <w:rsid w:val="00E806DF"/>
    <w:rsid w:val="00E83601"/>
    <w:rsid w:val="00E8781E"/>
    <w:rsid w:val="00E95754"/>
    <w:rsid w:val="00E95DC8"/>
    <w:rsid w:val="00EA2311"/>
    <w:rsid w:val="00EA752C"/>
    <w:rsid w:val="00EB747D"/>
    <w:rsid w:val="00EC1C4A"/>
    <w:rsid w:val="00EC34B5"/>
    <w:rsid w:val="00EC5D17"/>
    <w:rsid w:val="00EC7BC3"/>
    <w:rsid w:val="00ED234B"/>
    <w:rsid w:val="00ED7600"/>
    <w:rsid w:val="00EE1790"/>
    <w:rsid w:val="00EE4385"/>
    <w:rsid w:val="00EF3DBE"/>
    <w:rsid w:val="00EF6073"/>
    <w:rsid w:val="00EF698B"/>
    <w:rsid w:val="00EF71F6"/>
    <w:rsid w:val="00F02133"/>
    <w:rsid w:val="00F055BE"/>
    <w:rsid w:val="00F05917"/>
    <w:rsid w:val="00F07CBE"/>
    <w:rsid w:val="00F1362C"/>
    <w:rsid w:val="00F14AA1"/>
    <w:rsid w:val="00F165F7"/>
    <w:rsid w:val="00F1681F"/>
    <w:rsid w:val="00F2579F"/>
    <w:rsid w:val="00F367CA"/>
    <w:rsid w:val="00F414F1"/>
    <w:rsid w:val="00F421DB"/>
    <w:rsid w:val="00F508B8"/>
    <w:rsid w:val="00F571A8"/>
    <w:rsid w:val="00F67130"/>
    <w:rsid w:val="00F70C95"/>
    <w:rsid w:val="00F72CB1"/>
    <w:rsid w:val="00F8215E"/>
    <w:rsid w:val="00F824F5"/>
    <w:rsid w:val="00F902F8"/>
    <w:rsid w:val="00F90FAB"/>
    <w:rsid w:val="00F9374D"/>
    <w:rsid w:val="00F94C18"/>
    <w:rsid w:val="00FA3ABF"/>
    <w:rsid w:val="00FA77F9"/>
    <w:rsid w:val="00FB1751"/>
    <w:rsid w:val="00FB46F8"/>
    <w:rsid w:val="00FC206E"/>
    <w:rsid w:val="00FC29B9"/>
    <w:rsid w:val="00FC6FD3"/>
    <w:rsid w:val="00FD125D"/>
    <w:rsid w:val="00FD3B2A"/>
    <w:rsid w:val="00FE1E3F"/>
    <w:rsid w:val="00FE305C"/>
    <w:rsid w:val="00FE3C53"/>
    <w:rsid w:val="00FF0301"/>
    <w:rsid w:val="00FF0628"/>
    <w:rsid w:val="00FF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80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EA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F3DBE"/>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arlett" w:hAnsi="Marlet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semiHidden/>
    <w:qFormat/>
    <w:locked/>
    <w:rsid w:val="00525C99"/>
    <w:rPr>
      <w:rFonts w:ascii="Arial" w:eastAsia="Times New Roman" w:hAnsi="Arial" w:cs="Times New Roman"/>
      <w:sz w:val="28"/>
      <w:szCs w:val="20"/>
      <w:lang w:val="en-GB" w:eastAsia="en-GB"/>
    </w:rPr>
  </w:style>
  <w:style w:type="character" w:customStyle="1" w:styleId="normaltextrun">
    <w:name w:val="normaltextrun"/>
    <w:basedOn w:val="DefaultParagraphFont"/>
    <w:rsid w:val="007D4B7B"/>
  </w:style>
  <w:style w:type="paragraph" w:styleId="Header">
    <w:name w:val="header"/>
    <w:basedOn w:val="Normal"/>
    <w:link w:val="HeaderChar"/>
    <w:uiPriority w:val="99"/>
    <w:unhideWhenUsed/>
    <w:rsid w:val="00A034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43C"/>
    <w:rPr>
      <w:rFonts w:ascii="Times New Roman" w:hAnsi="Times New Roman"/>
      <w:sz w:val="20"/>
    </w:rPr>
  </w:style>
  <w:style w:type="paragraph" w:styleId="Footer">
    <w:name w:val="footer"/>
    <w:basedOn w:val="Normal"/>
    <w:link w:val="FooterChar"/>
    <w:uiPriority w:val="99"/>
    <w:unhideWhenUsed/>
    <w:rsid w:val="00A034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43C"/>
    <w:rPr>
      <w:rFonts w:ascii="Times New Roman" w:hAnsi="Times New Roman"/>
      <w:sz w:val="20"/>
    </w:rPr>
  </w:style>
  <w:style w:type="paragraph" w:styleId="Revision">
    <w:name w:val="Revision"/>
    <w:hidden/>
    <w:uiPriority w:val="99"/>
    <w:semiHidden/>
    <w:rsid w:val="00B53D5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154762">
      <w:bodyDiv w:val="1"/>
      <w:marLeft w:val="0"/>
      <w:marRight w:val="0"/>
      <w:marTop w:val="0"/>
      <w:marBottom w:val="0"/>
      <w:divBdr>
        <w:top w:val="none" w:sz="0" w:space="0" w:color="auto"/>
        <w:left w:val="none" w:sz="0" w:space="0" w:color="auto"/>
        <w:bottom w:val="none" w:sz="0" w:space="0" w:color="auto"/>
        <w:right w:val="none" w:sz="0" w:space="0" w:color="auto"/>
      </w:divBdr>
    </w:div>
    <w:div w:id="1552228409">
      <w:bodyDiv w:val="1"/>
      <w:marLeft w:val="0"/>
      <w:marRight w:val="0"/>
      <w:marTop w:val="0"/>
      <w:marBottom w:val="0"/>
      <w:divBdr>
        <w:top w:val="none" w:sz="0" w:space="0" w:color="auto"/>
        <w:left w:val="none" w:sz="0" w:space="0" w:color="auto"/>
        <w:bottom w:val="none" w:sz="0" w:space="0" w:color="auto"/>
        <w:right w:val="none" w:sz="0" w:space="0" w:color="auto"/>
      </w:divBdr>
    </w:div>
    <w:div w:id="1883051584">
      <w:bodyDiv w:val="1"/>
      <w:marLeft w:val="0"/>
      <w:marRight w:val="0"/>
      <w:marTop w:val="0"/>
      <w:marBottom w:val="0"/>
      <w:divBdr>
        <w:top w:val="none" w:sz="0" w:space="0" w:color="auto"/>
        <w:left w:val="none" w:sz="0" w:space="0" w:color="auto"/>
        <w:bottom w:val="none" w:sz="0" w:space="0" w:color="auto"/>
        <w:right w:val="none" w:sz="0" w:space="0" w:color="auto"/>
      </w:divBdr>
    </w:div>
    <w:div w:id="2088457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3293</Words>
  <Characters>18773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22022</CharactersWithSpaces>
  <SharedDoc>false</SharedDoc>
  <HLinks>
    <vt:vector size="48" baseType="variant">
      <vt:variant>
        <vt:i4>1835058</vt:i4>
      </vt:variant>
      <vt:variant>
        <vt:i4>38</vt:i4>
      </vt:variant>
      <vt:variant>
        <vt:i4>0</vt:i4>
      </vt:variant>
      <vt:variant>
        <vt:i4>5</vt:i4>
      </vt:variant>
      <vt:variant>
        <vt:lpwstr/>
      </vt:variant>
      <vt:variant>
        <vt:lpwstr>_Toc142669706</vt:lpwstr>
      </vt:variant>
      <vt:variant>
        <vt:i4>1835058</vt:i4>
      </vt:variant>
      <vt:variant>
        <vt:i4>35</vt:i4>
      </vt:variant>
      <vt:variant>
        <vt:i4>0</vt:i4>
      </vt:variant>
      <vt:variant>
        <vt:i4>5</vt:i4>
      </vt:variant>
      <vt:variant>
        <vt:lpwstr/>
      </vt:variant>
      <vt:variant>
        <vt:lpwstr>_Toc142669705</vt:lpwstr>
      </vt:variant>
      <vt:variant>
        <vt:i4>1835058</vt:i4>
      </vt:variant>
      <vt:variant>
        <vt:i4>32</vt:i4>
      </vt:variant>
      <vt:variant>
        <vt:i4>0</vt:i4>
      </vt:variant>
      <vt:variant>
        <vt:i4>5</vt:i4>
      </vt:variant>
      <vt:variant>
        <vt:lpwstr/>
      </vt:variant>
      <vt:variant>
        <vt:lpwstr>_Toc142669704</vt:lpwstr>
      </vt:variant>
      <vt:variant>
        <vt:i4>1835058</vt:i4>
      </vt:variant>
      <vt:variant>
        <vt:i4>29</vt:i4>
      </vt:variant>
      <vt:variant>
        <vt:i4>0</vt:i4>
      </vt:variant>
      <vt:variant>
        <vt:i4>5</vt:i4>
      </vt:variant>
      <vt:variant>
        <vt:lpwstr/>
      </vt:variant>
      <vt:variant>
        <vt:lpwstr>_Toc142669703</vt:lpwstr>
      </vt:variant>
      <vt:variant>
        <vt:i4>1835058</vt:i4>
      </vt:variant>
      <vt:variant>
        <vt:i4>26</vt:i4>
      </vt:variant>
      <vt:variant>
        <vt:i4>0</vt:i4>
      </vt:variant>
      <vt:variant>
        <vt:i4>5</vt:i4>
      </vt:variant>
      <vt:variant>
        <vt:lpwstr/>
      </vt:variant>
      <vt:variant>
        <vt:lpwstr>_Toc142669702</vt:lpwstr>
      </vt:variant>
      <vt:variant>
        <vt:i4>1835058</vt:i4>
      </vt:variant>
      <vt:variant>
        <vt:i4>23</vt:i4>
      </vt:variant>
      <vt:variant>
        <vt:i4>0</vt:i4>
      </vt:variant>
      <vt:variant>
        <vt:i4>5</vt:i4>
      </vt:variant>
      <vt:variant>
        <vt:lpwstr/>
      </vt:variant>
      <vt:variant>
        <vt:lpwstr>_Toc142669701</vt:lpwstr>
      </vt:variant>
      <vt:variant>
        <vt:i4>1835058</vt:i4>
      </vt:variant>
      <vt:variant>
        <vt:i4>20</vt:i4>
      </vt:variant>
      <vt:variant>
        <vt:i4>0</vt:i4>
      </vt:variant>
      <vt:variant>
        <vt:i4>5</vt:i4>
      </vt:variant>
      <vt:variant>
        <vt:lpwstr/>
      </vt:variant>
      <vt:variant>
        <vt:lpwstr>_Toc142669700</vt:lpwstr>
      </vt:variant>
      <vt:variant>
        <vt:i4>1376307</vt:i4>
      </vt:variant>
      <vt:variant>
        <vt:i4>17</vt:i4>
      </vt:variant>
      <vt:variant>
        <vt:i4>0</vt:i4>
      </vt:variant>
      <vt:variant>
        <vt:i4>5</vt:i4>
      </vt:variant>
      <vt:variant>
        <vt:lpwstr/>
      </vt:variant>
      <vt:variant>
        <vt:lpwstr>_Toc142669699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2023-09-27T17:37:00Z</dcterms:created>
  <dcterms:modified xsi:type="dcterms:W3CDTF">2023-09-27T17:37:00Z</dcterms:modified>
</cp:coreProperties>
</file>