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E283" w14:textId="48647678" w:rsidR="005319C4" w:rsidRPr="008C39F7"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CA2BE8" w:rsidRPr="00CA2BE8">
        <w:rPr>
          <w:rFonts w:ascii="Arial" w:eastAsia="SimSun" w:hAnsi="Arial" w:cs="Times New Roman"/>
          <w:b/>
          <w:bCs/>
          <w:sz w:val="24"/>
          <w:szCs w:val="20"/>
          <w:lang w:eastAsia="ja-JP"/>
        </w:rPr>
        <w:t>R4-2316255</w:t>
      </w:r>
    </w:p>
    <w:p w14:paraId="3878B2F4" w14:textId="77777777" w:rsidR="005319C4" w:rsidRPr="002B69F3"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7C9C03FF"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8F4559">
        <w:rPr>
          <w:rFonts w:ascii="Arial" w:eastAsia="Calibri" w:hAnsi="Arial" w:cs="Arial"/>
          <w:b/>
          <w:bCs/>
          <w:sz w:val="24"/>
          <w:lang w:val="en-GB"/>
        </w:rPr>
        <w:t xml:space="preserve">General requirements for </w:t>
      </w:r>
      <w:r w:rsidR="002D4DB3">
        <w:rPr>
          <w:rFonts w:ascii="Arial" w:eastAsia="Calibri" w:hAnsi="Arial" w:cs="Arial"/>
          <w:b/>
          <w:bCs/>
          <w:sz w:val="24"/>
          <w:lang w:val="en-GB"/>
        </w:rPr>
        <w:t>Electronically</w:t>
      </w:r>
      <w:r w:rsidR="008F4559">
        <w:rPr>
          <w:rFonts w:ascii="Arial" w:eastAsia="Calibri" w:hAnsi="Arial" w:cs="Arial"/>
          <w:b/>
          <w:bCs/>
          <w:sz w:val="24"/>
          <w:lang w:val="en-GB"/>
        </w:rPr>
        <w:t xml:space="preserve"> steered beams in NTN</w:t>
      </w:r>
    </w:p>
    <w:p w14:paraId="0E7583EC" w14:textId="5CCE96D0"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8F4559">
        <w:rPr>
          <w:rFonts w:ascii="Arial" w:eastAsia="MS Mincho" w:hAnsi="Arial" w:cs="Arial"/>
          <w:b/>
          <w:bCs/>
          <w:sz w:val="24"/>
          <w:szCs w:val="20"/>
          <w:lang w:val="pt-BR"/>
        </w:rPr>
        <w:t>5.26.6.1.</w:t>
      </w:r>
      <w:r w:rsidR="002D4DB3">
        <w:rPr>
          <w:rFonts w:ascii="Arial" w:eastAsia="MS Mincho" w:hAnsi="Arial" w:cs="Arial"/>
          <w:b/>
          <w:bCs/>
          <w:sz w:val="24"/>
          <w:szCs w:val="20"/>
          <w:lang w:val="pt-BR"/>
        </w:rPr>
        <w:t>1</w:t>
      </w:r>
    </w:p>
    <w:p w14:paraId="4D52A9EF" w14:textId="77777777" w:rsidR="00D66188" w:rsidRPr="00ED1787" w:rsidRDefault="00841BCD" w:rsidP="00841BCD">
      <w:pPr>
        <w:tabs>
          <w:tab w:val="left" w:pos="1985"/>
        </w:tabs>
        <w:rPr>
          <w:rFonts w:ascii="Arial" w:eastAsia="Calibri" w:hAnsi="Arial" w:cs="Arial"/>
          <w:b/>
          <w:bCs/>
          <w:sz w:val="24"/>
          <w:lang w:val="pt-BR"/>
        </w:rPr>
      </w:pPr>
      <w:proofErr w:type="spellStart"/>
      <w:r w:rsidRPr="00ED1787">
        <w:rPr>
          <w:rFonts w:ascii="Arial" w:eastAsia="Calibri" w:hAnsi="Arial" w:cs="Arial"/>
          <w:b/>
          <w:bCs/>
          <w:sz w:val="24"/>
          <w:lang w:val="pt-BR"/>
        </w:rPr>
        <w:t>Document</w:t>
      </w:r>
      <w:proofErr w:type="spellEnd"/>
      <w:r w:rsidRPr="00ED1787">
        <w:rPr>
          <w:rFonts w:ascii="Arial" w:eastAsia="Calibri" w:hAnsi="Arial" w:cs="Arial"/>
          <w:b/>
          <w:bCs/>
          <w:sz w:val="24"/>
          <w:lang w:val="pt-BR"/>
        </w:rPr>
        <w:t xml:space="preserve"> for:</w:t>
      </w:r>
      <w:r w:rsidRPr="00ED1787">
        <w:rPr>
          <w:rFonts w:ascii="Arial" w:eastAsia="Calibri" w:hAnsi="Arial" w:cs="Arial"/>
          <w:b/>
          <w:bCs/>
          <w:sz w:val="24"/>
          <w:lang w:val="pt-BR"/>
        </w:rPr>
        <w:tab/>
      </w:r>
      <w:proofErr w:type="spellStart"/>
      <w:r w:rsidR="00AE6D09" w:rsidRPr="00ED1787">
        <w:rPr>
          <w:rFonts w:ascii="Arial" w:eastAsia="Calibri" w:hAnsi="Arial" w:cs="Arial"/>
          <w:b/>
          <w:bCs/>
          <w:sz w:val="24"/>
          <w:lang w:val="pt-BR"/>
        </w:rPr>
        <w:t>Discussion</w:t>
      </w:r>
      <w:proofErr w:type="spellEnd"/>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Targeted UE types: fixed and mobile VSAT. VSAT UE characteristics from TR38.821 to be considered in priority but additional NTN UE classes may be considered if </w:t>
            </w:r>
            <w:proofErr w:type="gramStart"/>
            <w:r w:rsidRPr="00134B7D">
              <w:rPr>
                <w:bCs/>
              </w:rPr>
              <w:t>justified</w:t>
            </w:r>
            <w:proofErr w:type="gramEnd"/>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FDD mode is assumed for satellite operation above 10 GHz, while TDD mode is assumed for terrestrial operation in </w:t>
            </w:r>
            <w:proofErr w:type="gramStart"/>
            <w:r w:rsidRPr="00134B7D">
              <w:rPr>
                <w:bCs/>
              </w:rPr>
              <w:t>FR2</w:t>
            </w:r>
            <w:proofErr w:type="gramEnd"/>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 xml:space="preserve">will serve as </w:t>
            </w:r>
            <w:proofErr w:type="gramStart"/>
            <w:r w:rsidRPr="00134B7D">
              <w:rPr>
                <w:bCs/>
              </w:rPr>
              <w:t>reference</w:t>
            </w:r>
            <w:proofErr w:type="gramEnd"/>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w:t>
            </w:r>
            <w:proofErr w:type="gramStart"/>
            <w:r w:rsidRPr="00134B7D">
              <w:rPr>
                <w:bCs/>
              </w:rPr>
              <w:t>channels</w:t>
            </w:r>
            <w:proofErr w:type="gramEnd"/>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08E28A22" w14:textId="795AD070" w:rsidR="0060543D" w:rsidRPr="008C39F7" w:rsidRDefault="008F4559" w:rsidP="005C23A4">
      <w:r w:rsidRPr="008F4559">
        <w:t>Recently, RAN plenary had reviewed the scope of the RRM work, and has tasked RAN4 to create separate set of requirements for fully mechanical and fully electronic beam steering type of UEs .</w:t>
      </w:r>
      <w:r>
        <w:t xml:space="preserve"> The present contribution aims at </w:t>
      </w:r>
      <w:proofErr w:type="gramStart"/>
      <w:r>
        <w:t>discuss</w:t>
      </w:r>
      <w:proofErr w:type="gramEnd"/>
      <w:r>
        <w:t xml:space="preserve"> the requirements for </w:t>
      </w:r>
      <w:r w:rsidR="004C7290">
        <w:t>electronically</w:t>
      </w:r>
      <w:r>
        <w:t xml:space="preserve"> steered beams in NTN</w:t>
      </w:r>
      <w:r>
        <w:fldChar w:fldCharType="begin"/>
      </w:r>
      <w:r>
        <w:instrText xml:space="preserve"> REF _Ref146543281 \r \h </w:instrText>
      </w:r>
      <w:r>
        <w:fldChar w:fldCharType="separate"/>
      </w:r>
      <w:r>
        <w:t>[4]</w:t>
      </w:r>
      <w:r>
        <w:fldChar w:fldCharType="end"/>
      </w:r>
      <w:r>
        <w:t xml:space="preserve">. </w:t>
      </w:r>
    </w:p>
    <w:p w14:paraId="75D9EA74" w14:textId="77777777" w:rsidR="003B659E" w:rsidRDefault="003B659E" w:rsidP="00AE56B1">
      <w:pPr>
        <w:pStyle w:val="RAN4H1"/>
      </w:pPr>
      <w:bookmarkStart w:id="6" w:name="_Toc116995842"/>
      <w:r w:rsidRPr="008C39F7">
        <w:t>Discussion</w:t>
      </w:r>
      <w:bookmarkEnd w:id="6"/>
    </w:p>
    <w:p w14:paraId="407B24A4" w14:textId="66B56412" w:rsidR="00280B89" w:rsidRDefault="008F4559" w:rsidP="009C6E9D">
      <w:pPr>
        <w:jc w:val="both"/>
      </w:pPr>
      <w:r>
        <w:t xml:space="preserve">RAN plenary has recently tasked RAN1 to create the requirements for UEs type </w:t>
      </w:r>
      <w:r w:rsidR="004C7290">
        <w:t>1</w:t>
      </w:r>
      <w:r>
        <w:t xml:space="preserve"> in NTN (for the operation above 10 GHz) </w:t>
      </w:r>
      <w:r>
        <w:fldChar w:fldCharType="begin"/>
      </w:r>
      <w:r>
        <w:instrText xml:space="preserve"> REF _Ref146543281 \r \h </w:instrText>
      </w:r>
      <w:r>
        <w:fldChar w:fldCharType="separate"/>
      </w:r>
      <w:r>
        <w:t>[4]</w:t>
      </w:r>
      <w:r>
        <w:fldChar w:fldCharType="end"/>
      </w:r>
      <w:r>
        <w:t xml:space="preserve">. For </w:t>
      </w:r>
      <w:r w:rsidR="004C7290">
        <w:t>electronically</w:t>
      </w:r>
      <w:r>
        <w:t xml:space="preserve"> steered beams, the following list of  requirements were defined as being part of the scope of Rel-18. The list is provided below:</w:t>
      </w:r>
    </w:p>
    <w:p w14:paraId="1449A344" w14:textId="77777777" w:rsidR="008F4559" w:rsidRDefault="008F4559" w:rsidP="009C6E9D">
      <w:pPr>
        <w:jc w:val="both"/>
      </w:pPr>
    </w:p>
    <w:p w14:paraId="78E5E519" w14:textId="6D43D2D1" w:rsidR="008F4559" w:rsidRDefault="008F4559" w:rsidP="008F4559">
      <w:pPr>
        <w:pStyle w:val="Caption"/>
        <w:keepNext/>
      </w:pPr>
      <w:r>
        <w:t xml:space="preserve">Table </w:t>
      </w:r>
      <w:fldSimple w:instr=" SEQ Table \* ARABIC ">
        <w:r>
          <w:rPr>
            <w:noProof/>
          </w:rPr>
          <w:t>1</w:t>
        </w:r>
      </w:fldSimple>
      <w:r>
        <w:t xml:space="preserve">. List of Requirements in the Scope of this WI for UEs type </w:t>
      </w:r>
      <w:r w:rsidR="004C7290">
        <w:t>1</w:t>
      </w:r>
      <w:r>
        <w:t xml:space="preserve"> (fully mechanically steered beams)</w:t>
      </w:r>
    </w:p>
    <w:tbl>
      <w:tblPr>
        <w:tblStyle w:val="TableGrid"/>
        <w:tblW w:w="0" w:type="auto"/>
        <w:jc w:val="center"/>
        <w:tblLook w:val="04A0" w:firstRow="1" w:lastRow="0" w:firstColumn="1" w:lastColumn="0" w:noHBand="0" w:noVBand="1"/>
      </w:tblPr>
      <w:tblGrid>
        <w:gridCol w:w="3205"/>
        <w:gridCol w:w="3206"/>
      </w:tblGrid>
      <w:tr w:rsidR="00833D12" w14:paraId="45B1A916" w14:textId="77777777" w:rsidTr="00CA2BE8">
        <w:trPr>
          <w:jc w:val="center"/>
        </w:trPr>
        <w:tc>
          <w:tcPr>
            <w:tcW w:w="3205" w:type="dxa"/>
            <w:vAlign w:val="center"/>
          </w:tcPr>
          <w:p w14:paraId="73880B66" w14:textId="5206D6A5" w:rsidR="00833D12" w:rsidRDefault="00833D12" w:rsidP="008F4559">
            <w:pPr>
              <w:spacing w:after="160" w:line="259" w:lineRule="auto"/>
              <w:jc w:val="both"/>
            </w:pPr>
            <w:r>
              <w:t>Requirement</w:t>
            </w:r>
          </w:p>
        </w:tc>
        <w:tc>
          <w:tcPr>
            <w:tcW w:w="3206" w:type="dxa"/>
          </w:tcPr>
          <w:p w14:paraId="452A4ABB" w14:textId="40D3965B" w:rsidR="00833D12" w:rsidRDefault="00833D12" w:rsidP="008F4559">
            <w:pPr>
              <w:spacing w:after="160" w:line="259" w:lineRule="auto"/>
              <w:jc w:val="both"/>
            </w:pPr>
          </w:p>
        </w:tc>
      </w:tr>
      <w:tr w:rsidR="00833D12" w14:paraId="0611783A" w14:textId="77777777" w:rsidTr="00CA2BE8">
        <w:trPr>
          <w:jc w:val="center"/>
        </w:trPr>
        <w:tc>
          <w:tcPr>
            <w:tcW w:w="3205" w:type="dxa"/>
            <w:vAlign w:val="center"/>
          </w:tcPr>
          <w:p w14:paraId="4BB08B95" w14:textId="618B21BB" w:rsidR="00833D12" w:rsidRDefault="00833D12" w:rsidP="002D4DB3">
            <w:pPr>
              <w:spacing w:after="160" w:line="259" w:lineRule="auto"/>
              <w:jc w:val="both"/>
            </w:pPr>
            <w:r w:rsidRPr="008F4559">
              <w:t>UE uplink timing accuracy</w:t>
            </w:r>
          </w:p>
        </w:tc>
        <w:tc>
          <w:tcPr>
            <w:tcW w:w="3206" w:type="dxa"/>
            <w:vAlign w:val="center"/>
          </w:tcPr>
          <w:p w14:paraId="4EE7B4C3" w14:textId="51ECA304" w:rsidR="00833D12" w:rsidRDefault="00833D12" w:rsidP="002D4DB3">
            <w:pPr>
              <w:spacing w:after="160" w:line="259" w:lineRule="auto"/>
              <w:jc w:val="both"/>
            </w:pPr>
            <w:r>
              <w:t>Yes</w:t>
            </w:r>
          </w:p>
        </w:tc>
      </w:tr>
      <w:tr w:rsidR="00833D12" w14:paraId="1A427C88" w14:textId="77777777" w:rsidTr="00CA2BE8">
        <w:trPr>
          <w:jc w:val="center"/>
        </w:trPr>
        <w:tc>
          <w:tcPr>
            <w:tcW w:w="3205" w:type="dxa"/>
            <w:vAlign w:val="center"/>
          </w:tcPr>
          <w:p w14:paraId="673DF188" w14:textId="7A7D3E25" w:rsidR="00833D12" w:rsidRDefault="00833D12" w:rsidP="002D4DB3">
            <w:pPr>
              <w:spacing w:after="160" w:line="259" w:lineRule="auto"/>
              <w:jc w:val="both"/>
            </w:pPr>
            <w:r w:rsidRPr="008F4559">
              <w:t xml:space="preserve">RRC IDLE and INACTIVE mobility </w:t>
            </w:r>
          </w:p>
        </w:tc>
        <w:tc>
          <w:tcPr>
            <w:tcW w:w="3206" w:type="dxa"/>
            <w:vAlign w:val="center"/>
          </w:tcPr>
          <w:p w14:paraId="4E67CB8B" w14:textId="006B5DA6" w:rsidR="00833D12" w:rsidRDefault="00833D12" w:rsidP="002D4DB3">
            <w:pPr>
              <w:spacing w:after="160" w:line="259" w:lineRule="auto"/>
              <w:jc w:val="both"/>
            </w:pPr>
            <w:r>
              <w:t>Low Priority</w:t>
            </w:r>
          </w:p>
        </w:tc>
      </w:tr>
      <w:tr w:rsidR="00833D12" w14:paraId="0E411D66" w14:textId="77777777" w:rsidTr="00CA2BE8">
        <w:trPr>
          <w:jc w:val="center"/>
        </w:trPr>
        <w:tc>
          <w:tcPr>
            <w:tcW w:w="3205" w:type="dxa"/>
            <w:vAlign w:val="center"/>
          </w:tcPr>
          <w:p w14:paraId="03B025D5" w14:textId="16047FAD" w:rsidR="00833D12" w:rsidRDefault="00833D12" w:rsidP="002D4DB3">
            <w:pPr>
              <w:spacing w:after="160" w:line="259" w:lineRule="auto"/>
              <w:jc w:val="both"/>
            </w:pPr>
            <w:r w:rsidRPr="008F4559">
              <w:t xml:space="preserve">(Conditional/blind) Handover </w:t>
            </w:r>
          </w:p>
        </w:tc>
        <w:tc>
          <w:tcPr>
            <w:tcW w:w="3206" w:type="dxa"/>
            <w:vAlign w:val="center"/>
          </w:tcPr>
          <w:p w14:paraId="17A8073E" w14:textId="56627430" w:rsidR="00833D12" w:rsidRDefault="00833D12" w:rsidP="002D4DB3">
            <w:pPr>
              <w:spacing w:after="160" w:line="259" w:lineRule="auto"/>
              <w:jc w:val="both"/>
            </w:pPr>
            <w:r>
              <w:t>Yes</w:t>
            </w:r>
          </w:p>
        </w:tc>
      </w:tr>
      <w:tr w:rsidR="00833D12" w14:paraId="7E9332DE" w14:textId="77777777" w:rsidTr="00CA2BE8">
        <w:trPr>
          <w:jc w:val="center"/>
        </w:trPr>
        <w:tc>
          <w:tcPr>
            <w:tcW w:w="3205" w:type="dxa"/>
            <w:vAlign w:val="center"/>
          </w:tcPr>
          <w:p w14:paraId="73119B8E" w14:textId="1000FAC4" w:rsidR="00833D12" w:rsidRDefault="00833D12" w:rsidP="002D4DB3">
            <w:pPr>
              <w:spacing w:after="160" w:line="259" w:lineRule="auto"/>
              <w:jc w:val="both"/>
            </w:pPr>
            <w:r w:rsidRPr="008F4559">
              <w:t xml:space="preserve">RRC Re-establishment </w:t>
            </w:r>
          </w:p>
        </w:tc>
        <w:tc>
          <w:tcPr>
            <w:tcW w:w="3206" w:type="dxa"/>
            <w:vAlign w:val="center"/>
          </w:tcPr>
          <w:p w14:paraId="05899E0F" w14:textId="7FACC220" w:rsidR="00833D12" w:rsidRDefault="00833D12" w:rsidP="002D4DB3">
            <w:pPr>
              <w:spacing w:after="160" w:line="259" w:lineRule="auto"/>
              <w:jc w:val="both"/>
            </w:pPr>
            <w:r>
              <w:t>Low Priority</w:t>
            </w:r>
          </w:p>
        </w:tc>
      </w:tr>
      <w:tr w:rsidR="00833D12" w14:paraId="60DEFAB7" w14:textId="77777777" w:rsidTr="00CA2BE8">
        <w:trPr>
          <w:jc w:val="center"/>
        </w:trPr>
        <w:tc>
          <w:tcPr>
            <w:tcW w:w="3205" w:type="dxa"/>
            <w:vAlign w:val="center"/>
          </w:tcPr>
          <w:p w14:paraId="70136136" w14:textId="0AE4312F" w:rsidR="00833D12" w:rsidRDefault="00833D12" w:rsidP="002D4DB3">
            <w:pPr>
              <w:spacing w:after="160" w:line="259" w:lineRule="auto"/>
              <w:jc w:val="both"/>
            </w:pPr>
            <w:r w:rsidRPr="008F4559">
              <w:t xml:space="preserve">RRC Connection Release with Redirection </w:t>
            </w:r>
          </w:p>
        </w:tc>
        <w:tc>
          <w:tcPr>
            <w:tcW w:w="3206" w:type="dxa"/>
            <w:vAlign w:val="center"/>
          </w:tcPr>
          <w:p w14:paraId="32854A7B" w14:textId="692322EC" w:rsidR="00833D12" w:rsidRDefault="00833D12" w:rsidP="002D4DB3">
            <w:pPr>
              <w:spacing w:after="160" w:line="259" w:lineRule="auto"/>
              <w:jc w:val="both"/>
            </w:pPr>
            <w:r>
              <w:t>No</w:t>
            </w:r>
          </w:p>
        </w:tc>
      </w:tr>
      <w:tr w:rsidR="00833D12" w14:paraId="48139E58" w14:textId="77777777" w:rsidTr="00CA2BE8">
        <w:trPr>
          <w:jc w:val="center"/>
        </w:trPr>
        <w:tc>
          <w:tcPr>
            <w:tcW w:w="3205" w:type="dxa"/>
            <w:vAlign w:val="center"/>
          </w:tcPr>
          <w:p w14:paraId="6545219C" w14:textId="73E7D13F" w:rsidR="00833D12" w:rsidRDefault="00833D12" w:rsidP="002D4DB3">
            <w:pPr>
              <w:spacing w:after="160" w:line="259" w:lineRule="auto"/>
              <w:jc w:val="both"/>
            </w:pPr>
            <w:r w:rsidRPr="008F4559">
              <w:t xml:space="preserve">Radio Link Monitoring </w:t>
            </w:r>
          </w:p>
        </w:tc>
        <w:tc>
          <w:tcPr>
            <w:tcW w:w="3206" w:type="dxa"/>
            <w:vAlign w:val="center"/>
          </w:tcPr>
          <w:p w14:paraId="2827436D" w14:textId="0395D342" w:rsidR="00833D12" w:rsidRDefault="00833D12" w:rsidP="002D4DB3">
            <w:pPr>
              <w:spacing w:after="160" w:line="259" w:lineRule="auto"/>
              <w:jc w:val="both"/>
            </w:pPr>
            <w:r>
              <w:t>Yes</w:t>
            </w:r>
          </w:p>
        </w:tc>
      </w:tr>
      <w:tr w:rsidR="00833D12" w14:paraId="21B43C99" w14:textId="77777777" w:rsidTr="00CA2BE8">
        <w:trPr>
          <w:jc w:val="center"/>
        </w:trPr>
        <w:tc>
          <w:tcPr>
            <w:tcW w:w="3205" w:type="dxa"/>
            <w:vAlign w:val="center"/>
          </w:tcPr>
          <w:p w14:paraId="33AE7966" w14:textId="59288E50" w:rsidR="00833D12" w:rsidRDefault="00833D12" w:rsidP="002D4DB3">
            <w:pPr>
              <w:spacing w:after="160" w:line="259" w:lineRule="auto"/>
              <w:jc w:val="both"/>
            </w:pPr>
            <w:r w:rsidRPr="008F4559">
              <w:t>Link Recovery procedure (BFD/CBD)</w:t>
            </w:r>
          </w:p>
        </w:tc>
        <w:tc>
          <w:tcPr>
            <w:tcW w:w="3206" w:type="dxa"/>
            <w:vAlign w:val="center"/>
          </w:tcPr>
          <w:p w14:paraId="47741951" w14:textId="6C9162B6" w:rsidR="00833D12" w:rsidRDefault="00833D12" w:rsidP="002D4DB3">
            <w:pPr>
              <w:spacing w:after="160" w:line="259" w:lineRule="auto"/>
              <w:jc w:val="both"/>
            </w:pPr>
            <w:r>
              <w:t>No</w:t>
            </w:r>
          </w:p>
        </w:tc>
      </w:tr>
      <w:tr w:rsidR="00833D12" w14:paraId="39203CE0" w14:textId="77777777" w:rsidTr="00CA2BE8">
        <w:trPr>
          <w:jc w:val="center"/>
        </w:trPr>
        <w:tc>
          <w:tcPr>
            <w:tcW w:w="3205" w:type="dxa"/>
            <w:vAlign w:val="center"/>
          </w:tcPr>
          <w:p w14:paraId="1194EEAC" w14:textId="0813BB2B" w:rsidR="00833D12" w:rsidRPr="008F4559" w:rsidRDefault="00833D12" w:rsidP="002D4DB3">
            <w:pPr>
              <w:spacing w:after="160" w:line="259" w:lineRule="auto"/>
              <w:jc w:val="both"/>
            </w:pPr>
            <w:r w:rsidRPr="008F4559">
              <w:t>Active TCI switching</w:t>
            </w:r>
          </w:p>
        </w:tc>
        <w:tc>
          <w:tcPr>
            <w:tcW w:w="3206" w:type="dxa"/>
            <w:vAlign w:val="center"/>
          </w:tcPr>
          <w:p w14:paraId="1994FC67" w14:textId="737E8DE5" w:rsidR="00833D12" w:rsidRDefault="00833D12" w:rsidP="002D4DB3">
            <w:pPr>
              <w:spacing w:after="160" w:line="259" w:lineRule="auto"/>
              <w:jc w:val="both"/>
            </w:pPr>
            <w:r>
              <w:t>No</w:t>
            </w:r>
          </w:p>
        </w:tc>
      </w:tr>
      <w:tr w:rsidR="00833D12" w14:paraId="7D2DFFB2" w14:textId="77777777" w:rsidTr="00CA2BE8">
        <w:trPr>
          <w:jc w:val="center"/>
        </w:trPr>
        <w:tc>
          <w:tcPr>
            <w:tcW w:w="3205" w:type="dxa"/>
            <w:vAlign w:val="center"/>
          </w:tcPr>
          <w:p w14:paraId="765EE7E5" w14:textId="380C9DDD" w:rsidR="00833D12" w:rsidRPr="008F4559" w:rsidRDefault="00833D12" w:rsidP="002D4DB3">
            <w:pPr>
              <w:spacing w:after="160" w:line="259" w:lineRule="auto"/>
              <w:jc w:val="both"/>
            </w:pPr>
            <w:r w:rsidRPr="008F4559">
              <w:t>Measurement Procedure</w:t>
            </w:r>
          </w:p>
        </w:tc>
        <w:tc>
          <w:tcPr>
            <w:tcW w:w="3206" w:type="dxa"/>
            <w:vAlign w:val="center"/>
          </w:tcPr>
          <w:p w14:paraId="31F32072" w14:textId="13356F6D" w:rsidR="00833D12" w:rsidRDefault="00833D12" w:rsidP="002D4DB3">
            <w:pPr>
              <w:spacing w:after="160" w:line="259" w:lineRule="auto"/>
              <w:jc w:val="both"/>
            </w:pPr>
            <w:r>
              <w:t>Yes</w:t>
            </w:r>
          </w:p>
        </w:tc>
      </w:tr>
      <w:tr w:rsidR="00833D12" w14:paraId="7300A905" w14:textId="77777777" w:rsidTr="00CA2BE8">
        <w:trPr>
          <w:jc w:val="center"/>
        </w:trPr>
        <w:tc>
          <w:tcPr>
            <w:tcW w:w="3205" w:type="dxa"/>
            <w:vAlign w:val="center"/>
          </w:tcPr>
          <w:p w14:paraId="7DA628F5" w14:textId="42427BD9" w:rsidR="00833D12" w:rsidRPr="008F4559" w:rsidRDefault="00833D12" w:rsidP="002D4DB3">
            <w:pPr>
              <w:spacing w:after="160" w:line="259" w:lineRule="auto"/>
              <w:jc w:val="both"/>
            </w:pPr>
            <w:r w:rsidRPr="008F4559">
              <w:t xml:space="preserve">(L1/L3 measurement delay and measurement gap, scheduling restriction due to mixed numerologies) </w:t>
            </w:r>
          </w:p>
        </w:tc>
        <w:tc>
          <w:tcPr>
            <w:tcW w:w="3206" w:type="dxa"/>
            <w:vAlign w:val="center"/>
          </w:tcPr>
          <w:p w14:paraId="6A7E3670" w14:textId="4FFC047D" w:rsidR="00833D12" w:rsidRDefault="00833D12" w:rsidP="002D4DB3">
            <w:pPr>
              <w:spacing w:after="160" w:line="259" w:lineRule="auto"/>
              <w:jc w:val="both"/>
            </w:pPr>
            <w:r>
              <w:t>Yes</w:t>
            </w:r>
          </w:p>
        </w:tc>
      </w:tr>
      <w:tr w:rsidR="00833D12" w14:paraId="59E3DEC2" w14:textId="77777777" w:rsidTr="00CA2BE8">
        <w:trPr>
          <w:jc w:val="center"/>
        </w:trPr>
        <w:tc>
          <w:tcPr>
            <w:tcW w:w="3205" w:type="dxa"/>
            <w:vAlign w:val="center"/>
          </w:tcPr>
          <w:p w14:paraId="3CDEEA27" w14:textId="182F7ECB" w:rsidR="00833D12" w:rsidRPr="008F4559" w:rsidRDefault="00833D12" w:rsidP="002D4DB3">
            <w:pPr>
              <w:spacing w:after="160" w:line="259" w:lineRule="auto"/>
              <w:jc w:val="both"/>
            </w:pPr>
            <w:r w:rsidRPr="008F4559">
              <w:t>Measurement Performance</w:t>
            </w:r>
          </w:p>
        </w:tc>
        <w:tc>
          <w:tcPr>
            <w:tcW w:w="3206" w:type="dxa"/>
            <w:vAlign w:val="center"/>
          </w:tcPr>
          <w:p w14:paraId="4EC9B7E7" w14:textId="358C3203" w:rsidR="00833D12" w:rsidRDefault="00833D12" w:rsidP="002D4DB3">
            <w:pPr>
              <w:spacing w:after="160" w:line="259" w:lineRule="auto"/>
              <w:jc w:val="both"/>
            </w:pPr>
            <w:r>
              <w:t>No</w:t>
            </w:r>
          </w:p>
        </w:tc>
      </w:tr>
      <w:tr w:rsidR="00833D12" w14:paraId="122B8730" w14:textId="77777777" w:rsidTr="00CA2BE8">
        <w:trPr>
          <w:jc w:val="center"/>
        </w:trPr>
        <w:tc>
          <w:tcPr>
            <w:tcW w:w="3205" w:type="dxa"/>
            <w:vAlign w:val="center"/>
          </w:tcPr>
          <w:p w14:paraId="2001172D" w14:textId="11C83264" w:rsidR="00833D12" w:rsidRPr="008F4559" w:rsidRDefault="00833D12" w:rsidP="002D4DB3">
            <w:pPr>
              <w:spacing w:after="160" w:line="259" w:lineRule="auto"/>
              <w:jc w:val="both"/>
            </w:pPr>
            <w:r w:rsidRPr="008F4559">
              <w:t>UL spatial relation switching</w:t>
            </w:r>
          </w:p>
        </w:tc>
        <w:tc>
          <w:tcPr>
            <w:tcW w:w="3206" w:type="dxa"/>
            <w:vAlign w:val="center"/>
          </w:tcPr>
          <w:p w14:paraId="64E2EC97" w14:textId="1FFC6046" w:rsidR="00833D12" w:rsidRDefault="00833D12" w:rsidP="002D4DB3">
            <w:pPr>
              <w:spacing w:after="160" w:line="259" w:lineRule="auto"/>
              <w:jc w:val="both"/>
            </w:pPr>
            <w:r>
              <w:t>No</w:t>
            </w:r>
          </w:p>
        </w:tc>
      </w:tr>
    </w:tbl>
    <w:p w14:paraId="2D6B0C74" w14:textId="77777777" w:rsidR="008F4559" w:rsidRDefault="008F4559" w:rsidP="009C6E9D">
      <w:pPr>
        <w:jc w:val="both"/>
      </w:pPr>
    </w:p>
    <w:p w14:paraId="78C57EC4" w14:textId="04414D2B" w:rsidR="0032500C" w:rsidRDefault="0032500C" w:rsidP="009C6E9D">
      <w:pPr>
        <w:jc w:val="both"/>
      </w:pPr>
      <w:r>
        <w:t xml:space="preserve">Therefore, the following list of requirements are </w:t>
      </w:r>
      <w:proofErr w:type="gramStart"/>
      <w:r>
        <w:t>down-selected</w:t>
      </w:r>
      <w:proofErr w:type="gramEnd"/>
      <w:r>
        <w:t xml:space="preserve"> to be discussed in this WI:</w:t>
      </w:r>
    </w:p>
    <w:p w14:paraId="46DE2B0F" w14:textId="7AA5D060" w:rsidR="0032500C" w:rsidRDefault="0032500C" w:rsidP="0032500C">
      <w:pPr>
        <w:pStyle w:val="ListParagraph"/>
        <w:numPr>
          <w:ilvl w:val="0"/>
          <w:numId w:val="35"/>
        </w:numPr>
        <w:jc w:val="both"/>
      </w:pPr>
      <w:r>
        <w:t>(Conditional/Blind) HO</w:t>
      </w:r>
    </w:p>
    <w:p w14:paraId="73648A38" w14:textId="1219B8AD" w:rsidR="002D4DB3" w:rsidRDefault="002D4DB3" w:rsidP="0032500C">
      <w:pPr>
        <w:pStyle w:val="ListParagraph"/>
        <w:numPr>
          <w:ilvl w:val="0"/>
          <w:numId w:val="35"/>
        </w:numPr>
        <w:jc w:val="both"/>
      </w:pPr>
      <w:r>
        <w:t>Idle and Inactive mode mobility (low priority)</w:t>
      </w:r>
    </w:p>
    <w:p w14:paraId="34AB9063" w14:textId="4ABBB94A" w:rsidR="0032500C" w:rsidRDefault="0032500C" w:rsidP="0032500C">
      <w:pPr>
        <w:pStyle w:val="ListParagraph"/>
        <w:numPr>
          <w:ilvl w:val="0"/>
          <w:numId w:val="35"/>
        </w:numPr>
        <w:jc w:val="both"/>
      </w:pPr>
      <w:r>
        <w:t>RLM</w:t>
      </w:r>
    </w:p>
    <w:p w14:paraId="4AE18DFC" w14:textId="4392088C" w:rsidR="0032500C" w:rsidRDefault="0032500C" w:rsidP="0032500C">
      <w:pPr>
        <w:pStyle w:val="ListParagraph"/>
        <w:numPr>
          <w:ilvl w:val="0"/>
          <w:numId w:val="35"/>
        </w:numPr>
        <w:jc w:val="both"/>
      </w:pPr>
      <w:r>
        <w:t>RRC Re-establishment (low priority)</w:t>
      </w:r>
    </w:p>
    <w:p w14:paraId="32C1ED99" w14:textId="5AF4A084" w:rsidR="002D4DB3" w:rsidRDefault="002D4DB3" w:rsidP="0032500C">
      <w:pPr>
        <w:pStyle w:val="ListParagraph"/>
        <w:numPr>
          <w:ilvl w:val="0"/>
          <w:numId w:val="35"/>
        </w:numPr>
        <w:jc w:val="both"/>
      </w:pPr>
      <w:r>
        <w:lastRenderedPageBreak/>
        <w:t>Measurement Procedure</w:t>
      </w:r>
    </w:p>
    <w:p w14:paraId="34005028" w14:textId="3D8051E1" w:rsidR="002D4DB3" w:rsidRDefault="002D4DB3" w:rsidP="0032500C">
      <w:pPr>
        <w:pStyle w:val="ListParagraph"/>
        <w:numPr>
          <w:ilvl w:val="0"/>
          <w:numId w:val="35"/>
        </w:numPr>
        <w:jc w:val="both"/>
      </w:pPr>
      <w:r>
        <w:t>L/L3 measurement delay and measurement gap, scheduling restriction due to mixed numerologies</w:t>
      </w:r>
    </w:p>
    <w:p w14:paraId="53291D4D" w14:textId="373AF70F" w:rsidR="0032500C" w:rsidRDefault="0032500C" w:rsidP="0032500C">
      <w:pPr>
        <w:pStyle w:val="ListParagraph"/>
        <w:numPr>
          <w:ilvl w:val="0"/>
          <w:numId w:val="35"/>
        </w:numPr>
        <w:jc w:val="both"/>
      </w:pPr>
      <w:r>
        <w:t>UE uplink timing accuracy</w:t>
      </w:r>
    </w:p>
    <w:p w14:paraId="59C62583" w14:textId="77777777" w:rsidR="0032500C" w:rsidRDefault="0032500C" w:rsidP="0032500C">
      <w:pPr>
        <w:jc w:val="both"/>
      </w:pPr>
    </w:p>
    <w:p w14:paraId="6A550982" w14:textId="428DE79E" w:rsidR="0032500C" w:rsidRDefault="0032500C" w:rsidP="0032500C">
      <w:pPr>
        <w:jc w:val="both"/>
      </w:pPr>
      <w:r>
        <w:t>The UE UL transmit timing accuracy requirement does not depend on the UE type and should be discussed separately as a general requirement and the RRC Re-establishment requirement was deemed low priority</w:t>
      </w:r>
      <w:r w:rsidR="002D4DB3">
        <w:t xml:space="preserve"> as well as the idle and inactive mode mobility</w:t>
      </w:r>
      <w:r>
        <w:t xml:space="preserve">. </w:t>
      </w:r>
    </w:p>
    <w:p w14:paraId="65183823" w14:textId="19D98C29" w:rsidR="0032500C" w:rsidRDefault="0032500C" w:rsidP="0032500C">
      <w:pPr>
        <w:pStyle w:val="RAN4observation0"/>
      </w:pPr>
      <w:bookmarkStart w:id="7" w:name="_Toc146732989"/>
      <w:r>
        <w:t>The UE UL timing accuracy does not depend on the UE type and should be discussed separately as a general requirement.</w:t>
      </w:r>
      <w:bookmarkEnd w:id="7"/>
      <w:r>
        <w:t xml:space="preserve"> </w:t>
      </w:r>
    </w:p>
    <w:p w14:paraId="185F7B7F" w14:textId="77777777" w:rsidR="0032500C" w:rsidRDefault="0032500C" w:rsidP="0032500C"/>
    <w:p w14:paraId="385C1B04" w14:textId="53F7B613" w:rsidR="006B7908" w:rsidRDefault="006B7908" w:rsidP="0059067D">
      <w:pPr>
        <w:pStyle w:val="RAN4H2"/>
      </w:pPr>
      <w:r>
        <w:t>RLM requirements</w:t>
      </w:r>
    </w:p>
    <w:p w14:paraId="168E8D9A" w14:textId="66253B7C" w:rsidR="006F5D79" w:rsidRDefault="006F5D79" w:rsidP="00E53894">
      <w:pPr>
        <w:jc w:val="both"/>
      </w:pPr>
      <w:r>
        <w:t xml:space="preserve">The first aspect to be considered, is whether the RLM </w:t>
      </w:r>
      <w:proofErr w:type="gramStart"/>
      <w:r>
        <w:t>has to</w:t>
      </w:r>
      <w:proofErr w:type="gramEnd"/>
      <w:r>
        <w:t xml:space="preserve"> be scaled for the operation above 10 GHz. Previously, in terrestrial networks, this aspect was considered to account for the beam sweeping that could be performed at UE side:</w:t>
      </w:r>
    </w:p>
    <w:tbl>
      <w:tblPr>
        <w:tblStyle w:val="TableGrid"/>
        <w:tblW w:w="0" w:type="auto"/>
        <w:tblLook w:val="04A0" w:firstRow="1" w:lastRow="0" w:firstColumn="1" w:lastColumn="0" w:noHBand="0" w:noVBand="1"/>
      </w:tblPr>
      <w:tblGrid>
        <w:gridCol w:w="9617"/>
      </w:tblGrid>
      <w:tr w:rsidR="006F5D79" w14:paraId="2B116210" w14:textId="77777777" w:rsidTr="006F5D79">
        <w:tc>
          <w:tcPr>
            <w:tcW w:w="9617" w:type="dxa"/>
          </w:tcPr>
          <w:p w14:paraId="1E828253" w14:textId="77777777" w:rsidR="006F5D79" w:rsidRPr="006F5D79" w:rsidRDefault="006F5D79" w:rsidP="00E53894">
            <w:pPr>
              <w:jc w:val="both"/>
              <w:rPr>
                <w:b/>
                <w:bCs/>
                <w:u w:val="single"/>
              </w:rPr>
            </w:pPr>
            <w:r w:rsidRPr="006F5D79">
              <w:rPr>
                <w:b/>
                <w:bCs/>
                <w:u w:val="single"/>
              </w:rPr>
              <w:t xml:space="preserve">TS 38.133 </w:t>
            </w:r>
          </w:p>
          <w:p w14:paraId="500B0377" w14:textId="77777777" w:rsidR="006F5D79" w:rsidRPr="006F5D79" w:rsidRDefault="006F5D79" w:rsidP="00E53894">
            <w:pPr>
              <w:jc w:val="both"/>
              <w:rPr>
                <w:b/>
                <w:bCs/>
                <w:u w:val="single"/>
              </w:rPr>
            </w:pPr>
            <w:r w:rsidRPr="006F5D79">
              <w:rPr>
                <w:b/>
                <w:bCs/>
                <w:u w:val="single"/>
              </w:rPr>
              <w:t>Clause 8.1.1 (Legacy – Terrestrial Networks):</w:t>
            </w:r>
          </w:p>
          <w:p w14:paraId="3D69CB6A" w14:textId="77777777" w:rsidR="006F5D79" w:rsidRDefault="006F5D79" w:rsidP="00E53894">
            <w:pPr>
              <w:jc w:val="both"/>
            </w:pPr>
          </w:p>
          <w:p w14:paraId="079509B5" w14:textId="77777777" w:rsidR="006F5D79" w:rsidRDefault="006F5D79" w:rsidP="006F5D79">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14:paraId="4221F06D" w14:textId="3E57AE84" w:rsidR="006F5D79" w:rsidRDefault="006F5D79" w:rsidP="00E53894">
            <w:pPr>
              <w:jc w:val="both"/>
            </w:pPr>
          </w:p>
        </w:tc>
      </w:tr>
    </w:tbl>
    <w:p w14:paraId="598F0765" w14:textId="77777777" w:rsidR="006F5D79" w:rsidRDefault="006F5D79" w:rsidP="00E53894">
      <w:pPr>
        <w:jc w:val="both"/>
      </w:pPr>
    </w:p>
    <w:p w14:paraId="638AA566" w14:textId="020AA9D7" w:rsidR="00DA4162" w:rsidRDefault="002D4DB3" w:rsidP="00E53894">
      <w:pPr>
        <w:jc w:val="both"/>
      </w:pPr>
      <w:r>
        <w:t xml:space="preserve">While it is expected that a type 1 UE can perform beam sweeping, it is also important to remember that in NTN, the measurement times can already </w:t>
      </w:r>
      <w:proofErr w:type="gramStart"/>
      <w:r>
        <w:t>extended</w:t>
      </w:r>
      <w:proofErr w:type="gramEnd"/>
      <w:r>
        <w:t xml:space="preserve"> in NGSO due to the reduced measurement opportunities for a given cell, as the measurement opportunities are shared with neighbor satellites. </w:t>
      </w:r>
    </w:p>
    <w:p w14:paraId="326C58FB" w14:textId="21CD3550" w:rsidR="002D4DB3" w:rsidRDefault="002D4DB3" w:rsidP="00E53894">
      <w:pPr>
        <w:jc w:val="both"/>
      </w:pPr>
      <w:r>
        <w:t xml:space="preserve">Moreover, NTN UEs have an advantage that is not available for terrestrial UEs: they are informed of the ephemeris of the target </w:t>
      </w:r>
      <w:proofErr w:type="gramStart"/>
      <w:r>
        <w:t>satellite, and</w:t>
      </w:r>
      <w:proofErr w:type="gramEnd"/>
      <w:r>
        <w:t xml:space="preserve"> might adjust the beam sweeping according to this information. Therefore, we propose to adopt in NTN with a sweeping factor smaller than the legacy values used in TN. </w:t>
      </w:r>
    </w:p>
    <w:p w14:paraId="7338941E" w14:textId="7AF7D196" w:rsidR="00DA4162" w:rsidRDefault="00DA4162" w:rsidP="00DA4162">
      <w:pPr>
        <w:pStyle w:val="RAN4proposal"/>
      </w:pPr>
      <w:bookmarkStart w:id="8" w:name="_Toc146732990"/>
      <w:r>
        <w:t xml:space="preserve">For </w:t>
      </w:r>
      <w:r w:rsidR="002D4DB3">
        <w:t xml:space="preserve">type 1 UEs, </w:t>
      </w:r>
      <w:r>
        <w:t xml:space="preserve">the scaling factor for </w:t>
      </w: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vertAlign w:val="subscript"/>
        </w:rPr>
        <w:t xml:space="preserve"> </w:t>
      </w:r>
      <w:r w:rsidRPr="00DA4162">
        <w:t xml:space="preserve">shall be set to </w:t>
      </w:r>
      <w:r w:rsidR="002D4DB3">
        <w:t>4.</w:t>
      </w:r>
      <w:bookmarkEnd w:id="8"/>
    </w:p>
    <w:p w14:paraId="4BDD6FCC" w14:textId="1B15FE74" w:rsidR="006B0DAF" w:rsidRPr="006B0DAF" w:rsidRDefault="006B0DAF" w:rsidP="006B0DAF">
      <w:pPr>
        <w:pStyle w:val="RAN4H3"/>
      </w:pPr>
      <w:r>
        <w:t>Handover Requirements</w:t>
      </w:r>
    </w:p>
    <w:p w14:paraId="155B6ADC" w14:textId="504927C4" w:rsidR="0032500C" w:rsidRDefault="006B0DAF" w:rsidP="0032500C">
      <w:r>
        <w:t xml:space="preserve">When a UE with a mechanical </w:t>
      </w:r>
      <w:proofErr w:type="gramStart"/>
      <w:r>
        <w:t>steered-beam</w:t>
      </w:r>
      <w:proofErr w:type="gramEnd"/>
      <w:r>
        <w:t xml:space="preserve"> is deployed in a NTN, the handover requirements are only affected if the UE is required to retune its mechanical beam towards the target cell during the HO procedure. In other words, for intra-satellite HO, there are no impact on the HO requirements, as it is expected that the UE do not need to retune its mechanical beam. However, when the target cell is in a different satellite, most likely in situations of blind HO, the UE will be required to retune its beam before the HO is completed. </w:t>
      </w:r>
    </w:p>
    <w:p w14:paraId="63785CD2" w14:textId="71DE6386" w:rsidR="00527472" w:rsidRDefault="00114941" w:rsidP="00527472">
      <w:pPr>
        <w:pStyle w:val="RAN4proposal"/>
      </w:pPr>
      <w:bookmarkStart w:id="9" w:name="_Toc146732991"/>
      <w:r>
        <w:t>HO requirements for Type 1 UE in FR2-NTN are the same as the HO requirements used for Rel-17 in NTN (FR1).</w:t>
      </w:r>
      <w:bookmarkEnd w:id="9"/>
      <w:r>
        <w:t xml:space="preserve"> </w:t>
      </w:r>
    </w:p>
    <w:p w14:paraId="52133DFE" w14:textId="77777777" w:rsidR="00527472" w:rsidRDefault="00527472" w:rsidP="00527472"/>
    <w:p w14:paraId="2507E3C8" w14:textId="4A5D6B71" w:rsidR="00527472" w:rsidRDefault="00E241B5" w:rsidP="0059067D">
      <w:pPr>
        <w:pStyle w:val="RAN4H2"/>
      </w:pPr>
      <w:r>
        <w:t>Measurement Procedures</w:t>
      </w:r>
    </w:p>
    <w:p w14:paraId="10B54B41" w14:textId="3A2183C9" w:rsidR="00E241B5" w:rsidRDefault="00E241B5" w:rsidP="00E241B5">
      <w:r>
        <w:t xml:space="preserve">One of the key aspects for designing the measurement procedures, regards the scope of the measurements in terms of frequency layers and frequency ranges. For the scope of Release 18, intra and inter frequency measurement procedures are to be considered, but it is not part of the scope to consider measurement procedures across different frequency ranges (from FR2-NTN to FR1 and vice versa). </w:t>
      </w:r>
    </w:p>
    <w:p w14:paraId="79D47A43" w14:textId="54365D1E" w:rsidR="00E241B5" w:rsidRDefault="0059067D" w:rsidP="0059067D">
      <w:pPr>
        <w:pStyle w:val="RAN4proposal"/>
      </w:pPr>
      <w:bookmarkStart w:id="10" w:name="_Toc146732992"/>
      <w:r>
        <w:t>Limit the scope of the requirements for Release 18 for measurement procedures performed only in FR2-NTN range.</w:t>
      </w:r>
      <w:bookmarkEnd w:id="10"/>
      <w:r>
        <w:t xml:space="preserve"> </w:t>
      </w:r>
    </w:p>
    <w:p w14:paraId="462054AB" w14:textId="248E732D" w:rsidR="0059067D" w:rsidRDefault="004409B6" w:rsidP="0059067D">
      <w:pPr>
        <w:pStyle w:val="RAN4H3"/>
      </w:pPr>
      <w:r>
        <w:t>Number of cell and number of SSB</w:t>
      </w:r>
    </w:p>
    <w:p w14:paraId="04763224" w14:textId="626D64ED" w:rsidR="004409B6" w:rsidRDefault="004409B6" w:rsidP="004409B6">
      <w:r>
        <w:t xml:space="preserve">It is expected that for the operation above 10 GHz (FR2-NTN), the PHY layer parameters will be defined based on FR2 parameters. This means that the total number of SS beams available in a single cell might be as high as 64, </w:t>
      </w:r>
      <w:proofErr w:type="gramStart"/>
      <w:r>
        <w:t>and also</w:t>
      </w:r>
      <w:proofErr w:type="gramEnd"/>
      <w:r>
        <w:t xml:space="preserve"> that the NTN UE operating in such frequency range is capable of measuring across multiple beams (for a type 1 UE). Therefore, in the same manner as previously done for TN, it is necessary to update the requirements for the UE operating in this frequency range, compared to a FR1 NTN UE. </w:t>
      </w:r>
    </w:p>
    <w:p w14:paraId="50E62EBF" w14:textId="35276517" w:rsidR="004409B6" w:rsidRDefault="004409B6" w:rsidP="004409B6">
      <w:r>
        <w:t>Based on this we propose that:</w:t>
      </w:r>
    </w:p>
    <w:p w14:paraId="048E3DF5" w14:textId="0E8ECA0F" w:rsidR="004409B6" w:rsidRDefault="004409B6" w:rsidP="004409B6">
      <w:pPr>
        <w:pStyle w:val="RAN4proposal"/>
      </w:pPr>
      <w:bookmarkStart w:id="11" w:name="_Toc146732993"/>
      <w:r>
        <w:t>For intra-frequency measurements</w:t>
      </w:r>
      <w:r w:rsidR="00373827">
        <w:t xml:space="preserve"> (in FR2-NTN)</w:t>
      </w:r>
      <w:r>
        <w:t>, a UE shall be capable of performing SS-RSRP, SS-RSRQ, SS-SINR measurements for at least:</w:t>
      </w:r>
      <w:bookmarkEnd w:id="11"/>
    </w:p>
    <w:p w14:paraId="47628469" w14:textId="40AE01BA" w:rsidR="004409B6" w:rsidRDefault="004409B6" w:rsidP="004409B6">
      <w:pPr>
        <w:pStyle w:val="RAN4proposal"/>
        <w:numPr>
          <w:ilvl w:val="1"/>
          <w:numId w:val="7"/>
        </w:numPr>
      </w:pPr>
      <w:bookmarkStart w:id="12" w:name="_Toc146732994"/>
      <w:r>
        <w:t>8 identified cells, and</w:t>
      </w:r>
      <w:bookmarkEnd w:id="12"/>
    </w:p>
    <w:p w14:paraId="01FEB43A" w14:textId="5CBF8D0A" w:rsidR="004409B6" w:rsidRDefault="004409B6" w:rsidP="004409B6">
      <w:pPr>
        <w:pStyle w:val="RAN4proposal"/>
        <w:numPr>
          <w:ilvl w:val="1"/>
          <w:numId w:val="7"/>
        </w:numPr>
      </w:pPr>
      <w:bookmarkStart w:id="13" w:name="_Toc146732995"/>
      <w:r>
        <w:t>24 SSBs with different SSB index and/or PCI on the intra-frequency layer</w:t>
      </w:r>
      <w:bookmarkEnd w:id="13"/>
    </w:p>
    <w:p w14:paraId="673EF7B0" w14:textId="22657AED" w:rsidR="004409B6" w:rsidRDefault="004409B6" w:rsidP="004409B6">
      <w:pPr>
        <w:pStyle w:val="RAN4proposal"/>
        <w:numPr>
          <w:ilvl w:val="1"/>
          <w:numId w:val="7"/>
        </w:numPr>
      </w:pPr>
      <w:bookmarkStart w:id="14" w:name="_Toc146732996"/>
      <w:r>
        <w:t xml:space="preserve">Cells from 2 satellites (including the satellite providing the </w:t>
      </w:r>
      <w:proofErr w:type="spellStart"/>
      <w:r>
        <w:t>PCell</w:t>
      </w:r>
      <w:proofErr w:type="spellEnd"/>
      <w:r>
        <w:t xml:space="preserve">) if UE does not support the capability </w:t>
      </w:r>
      <w:r>
        <w:rPr>
          <w:i/>
          <w:iCs w:val="0"/>
        </w:rPr>
        <w:t>parallelSMT</w:t>
      </w:r>
      <w:r w:rsidR="00773A58">
        <w:rPr>
          <w:i/>
          <w:iCs w:val="0"/>
        </w:rPr>
        <w:t>C</w:t>
      </w:r>
      <w:r>
        <w:rPr>
          <w:i/>
          <w:iCs w:val="0"/>
        </w:rPr>
        <w:t>-r17</w:t>
      </w:r>
      <w:r>
        <w:t>; and 4 satellites if the UE supports this capability.</w:t>
      </w:r>
      <w:bookmarkEnd w:id="14"/>
      <w:r>
        <w:t xml:space="preserve"> </w:t>
      </w:r>
    </w:p>
    <w:p w14:paraId="1321D00F" w14:textId="77777777" w:rsidR="00373827" w:rsidRDefault="00373827" w:rsidP="00373827">
      <w:pPr>
        <w:pStyle w:val="RAN4proposal"/>
      </w:pPr>
      <w:bookmarkStart w:id="15" w:name="_Toc146732997"/>
      <w:r>
        <w:t>For inter-frequency measurements (in FR2-NTN) a UE shall be capable of performing SS-RSRP, SS-RSRQ, SS-SINR measurements for at least:</w:t>
      </w:r>
      <w:bookmarkEnd w:id="15"/>
    </w:p>
    <w:p w14:paraId="13377C69" w14:textId="60B91B82" w:rsidR="00373827" w:rsidRDefault="00373827" w:rsidP="00373827">
      <w:pPr>
        <w:pStyle w:val="RAN4proposal"/>
        <w:numPr>
          <w:ilvl w:val="1"/>
          <w:numId w:val="7"/>
        </w:numPr>
      </w:pPr>
      <w:bookmarkStart w:id="16" w:name="_Toc146732998"/>
      <w:r>
        <w:t>4 identified cells, and</w:t>
      </w:r>
      <w:bookmarkEnd w:id="16"/>
    </w:p>
    <w:p w14:paraId="6DB2F4ED" w14:textId="4A002AB0" w:rsidR="00373827" w:rsidRDefault="00373827" w:rsidP="00373827">
      <w:pPr>
        <w:pStyle w:val="RAN4proposal"/>
        <w:numPr>
          <w:ilvl w:val="1"/>
          <w:numId w:val="7"/>
        </w:numPr>
      </w:pPr>
      <w:bookmarkStart w:id="17" w:name="_Toc146732999"/>
      <w:r>
        <w:t>10 SSBs with different SSB index and/or PCI on the inter-frequency layer</w:t>
      </w:r>
      <w:bookmarkEnd w:id="17"/>
    </w:p>
    <w:p w14:paraId="59E97421" w14:textId="1AA2200E" w:rsidR="00373827" w:rsidRPr="00373827" w:rsidRDefault="00373827" w:rsidP="00373827">
      <w:pPr>
        <w:pStyle w:val="RAN4proposal"/>
        <w:numPr>
          <w:ilvl w:val="1"/>
          <w:numId w:val="7"/>
        </w:numPr>
      </w:pPr>
      <w:bookmarkStart w:id="18" w:name="_Toc146733000"/>
      <w:r>
        <w:t>1 SSB per identified Cell</w:t>
      </w:r>
      <w:bookmarkEnd w:id="18"/>
    </w:p>
    <w:p w14:paraId="3DF85578" w14:textId="7E3F91FD" w:rsidR="00373827" w:rsidRDefault="00373827" w:rsidP="00373827">
      <w:pPr>
        <w:pStyle w:val="RAN4proposal"/>
        <w:numPr>
          <w:ilvl w:val="1"/>
          <w:numId w:val="7"/>
        </w:numPr>
      </w:pPr>
      <w:bookmarkStart w:id="19" w:name="_Toc146733001"/>
      <w:r>
        <w:t xml:space="preserve">Cells from two different satellites (including the satellite providing the </w:t>
      </w:r>
      <w:proofErr w:type="spellStart"/>
      <w:r>
        <w:t>PCell</w:t>
      </w:r>
      <w:proofErr w:type="spellEnd"/>
      <w:r>
        <w:t>)</w:t>
      </w:r>
      <w:bookmarkEnd w:id="19"/>
    </w:p>
    <w:p w14:paraId="37E55815" w14:textId="77777777" w:rsidR="00E241D9" w:rsidRPr="00E241D9" w:rsidRDefault="00E241D9" w:rsidP="00E241D9"/>
    <w:p w14:paraId="495BB89C" w14:textId="105BE46D" w:rsidR="00373827" w:rsidRDefault="00E241D9" w:rsidP="00E241D9">
      <w:pPr>
        <w:pStyle w:val="RAN4H3"/>
      </w:pPr>
      <w:r>
        <w:t xml:space="preserve">Intra-frequency measurements </w:t>
      </w:r>
    </w:p>
    <w:p w14:paraId="0F2ABC5D" w14:textId="77777777" w:rsidR="00E241D9" w:rsidRDefault="00E241D9" w:rsidP="00E241D9">
      <w:r>
        <w:t>In Release 17, intra-frequency measurement requirements were specified for FR1 operation with and without measurement gaps. For the operation without measurement gaps, we support the following:</w:t>
      </w:r>
    </w:p>
    <w:p w14:paraId="11236BFE" w14:textId="77777777" w:rsidR="00E241D9" w:rsidRDefault="00E241D9" w:rsidP="00E241D9">
      <w:pPr>
        <w:pStyle w:val="ListParagraph"/>
        <w:numPr>
          <w:ilvl w:val="0"/>
          <w:numId w:val="38"/>
        </w:numPr>
      </w:pPr>
      <w:r>
        <w:t xml:space="preserve">Introduce the factor </w:t>
      </w:r>
      <w:proofErr w:type="spellStart"/>
      <w:r>
        <w:t>K</w:t>
      </w:r>
      <w:r w:rsidRPr="00E241D9">
        <w:rPr>
          <w:vertAlign w:val="subscript"/>
        </w:rPr>
        <w:t>multi_SMTC</w:t>
      </w:r>
      <w:proofErr w:type="spellEnd"/>
      <w:r w:rsidRPr="00E241D9">
        <w:rPr>
          <w:vertAlign w:val="subscript"/>
        </w:rPr>
        <w:t xml:space="preserve"> </w:t>
      </w:r>
      <w:r>
        <w:t>was introduced to account for measurements across multiple satellites or multiple SMTCs, in the same manner as previously done in Rel-17</w:t>
      </w:r>
    </w:p>
    <w:p w14:paraId="592DF3B0" w14:textId="7B7961A0" w:rsidR="00E241D9" w:rsidRDefault="00E241D9" w:rsidP="00E241D9">
      <w:pPr>
        <w:pStyle w:val="ListParagraph"/>
        <w:numPr>
          <w:ilvl w:val="0"/>
          <w:numId w:val="38"/>
        </w:numPr>
      </w:pPr>
      <w:r>
        <w:t xml:space="preserve">The derivation of the factor </w:t>
      </w:r>
      <w:proofErr w:type="spellStart"/>
      <w:r>
        <w:t>K</w:t>
      </w:r>
      <w:r w:rsidRPr="00E241D9">
        <w:rPr>
          <w:vertAlign w:val="subscript"/>
        </w:rPr>
        <w:t>p</w:t>
      </w:r>
      <w:proofErr w:type="spellEnd"/>
      <w:r>
        <w:t xml:space="preserve">, which accounts for collisions between SMTCs and between SMTC and MGs should also be reused. </w:t>
      </w:r>
    </w:p>
    <w:p w14:paraId="633ADB80" w14:textId="1F59CA1B" w:rsidR="00E241D9" w:rsidRDefault="00E241D9" w:rsidP="00E241D9">
      <w:pPr>
        <w:pStyle w:val="ListParagraph"/>
        <w:numPr>
          <w:ilvl w:val="0"/>
          <w:numId w:val="38"/>
        </w:numPr>
      </w:pPr>
      <w:r>
        <w:t>Use the FR2 approach to account for the sweeping factor of the UE beams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sidRPr="00E241D9">
        <w:t>)</w:t>
      </w:r>
      <w:r>
        <w:t>.</w:t>
      </w:r>
    </w:p>
    <w:p w14:paraId="0B5F313A" w14:textId="77777777" w:rsidR="00E241D9" w:rsidRDefault="00E241D9" w:rsidP="00E241D9"/>
    <w:p w14:paraId="00523D81" w14:textId="01556346" w:rsidR="00E241D9" w:rsidRDefault="00E241D9" w:rsidP="00E241D9">
      <w:r>
        <w:t>Therefore, we propose:</w:t>
      </w:r>
    </w:p>
    <w:p w14:paraId="56DDC0F4" w14:textId="727BBA0B" w:rsidR="00E241D9" w:rsidRDefault="00CA6339" w:rsidP="00E241D9">
      <w:pPr>
        <w:pStyle w:val="RAN4proposal"/>
      </w:pPr>
      <w:bookmarkStart w:id="20" w:name="_Toc146733002"/>
      <w:r>
        <w:t>For intra-frequency measurement without measurement gaps, a</w:t>
      </w:r>
      <w:r w:rsidR="00E241D9">
        <w:t xml:space="preserve">dopt the following table for the estimation of </w:t>
      </w:r>
      <w:proofErr w:type="spellStart"/>
      <w:r w:rsidR="00E241D9">
        <w:t>T</w:t>
      </w:r>
      <w:r w:rsidR="00E241D9" w:rsidRPr="00E241D9">
        <w:rPr>
          <w:vertAlign w:val="subscript"/>
        </w:rPr>
        <w:t>PSS_SSS_sync_intra</w:t>
      </w:r>
      <w:proofErr w:type="spellEnd"/>
      <w:r w:rsidR="00E241D9">
        <w:rPr>
          <w:vertAlign w:val="subscript"/>
        </w:rPr>
        <w:t>:</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41D9" w14:paraId="045DC7AA" w14:textId="77777777" w:rsidTr="00E241D9">
        <w:tc>
          <w:tcPr>
            <w:tcW w:w="4620" w:type="dxa"/>
            <w:tcBorders>
              <w:top w:val="single" w:sz="4" w:space="0" w:color="auto"/>
              <w:left w:val="single" w:sz="4" w:space="0" w:color="auto"/>
              <w:bottom w:val="single" w:sz="4" w:space="0" w:color="auto"/>
              <w:right w:val="single" w:sz="4" w:space="0" w:color="auto"/>
            </w:tcBorders>
            <w:hideMark/>
          </w:tcPr>
          <w:p w14:paraId="103E4742" w14:textId="77777777" w:rsidR="00E241D9" w:rsidRDefault="00E241D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040788E" w14:textId="77777777" w:rsidR="00E241D9" w:rsidRDefault="00E241D9">
            <w:pPr>
              <w:pStyle w:val="TAH"/>
            </w:pPr>
            <w:r>
              <w:t>T</w:t>
            </w:r>
            <w:r>
              <w:rPr>
                <w:vertAlign w:val="subscript"/>
              </w:rPr>
              <w:t>PSS/</w:t>
            </w:r>
            <w:proofErr w:type="spellStart"/>
            <w:r>
              <w:rPr>
                <w:vertAlign w:val="subscript"/>
              </w:rPr>
              <w:t>SSS_sync_intra</w:t>
            </w:r>
            <w:proofErr w:type="spellEnd"/>
          </w:p>
        </w:tc>
      </w:tr>
      <w:tr w:rsidR="00E241D9" w14:paraId="08598942" w14:textId="77777777" w:rsidTr="00E241D9">
        <w:tc>
          <w:tcPr>
            <w:tcW w:w="4620" w:type="dxa"/>
            <w:tcBorders>
              <w:top w:val="single" w:sz="4" w:space="0" w:color="auto"/>
              <w:left w:val="single" w:sz="4" w:space="0" w:color="auto"/>
              <w:bottom w:val="single" w:sz="4" w:space="0" w:color="auto"/>
              <w:right w:val="single" w:sz="4" w:space="0" w:color="auto"/>
            </w:tcBorders>
            <w:hideMark/>
          </w:tcPr>
          <w:p w14:paraId="1CC183B3" w14:textId="77777777" w:rsidR="00E241D9" w:rsidRDefault="00E241D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6E633AF" w14:textId="5A75AC30" w:rsidR="00E241D9" w:rsidRDefault="00E241D9">
            <w:pPr>
              <w:pStyle w:val="TAC"/>
            </w:pPr>
            <w:r>
              <w:t>max(600ms,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sidR="00CA6339">
              <w:t xml:space="preserve"> x </w:t>
            </w:r>
            <w:proofErr w:type="spellStart"/>
            <w:r w:rsidR="00CA6339">
              <w:rPr>
                <w:rFonts w:cs="v4.2.0"/>
              </w:rPr>
              <w:t>K</w:t>
            </w:r>
            <w:r w:rsidR="00CA6339">
              <w:rPr>
                <w:rFonts w:cs="v4.2.0"/>
                <w:vertAlign w:val="subscript"/>
              </w:rPr>
              <w:t>multi_SMTC</w:t>
            </w:r>
            <w:proofErr w:type="spellEnd"/>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E241D9" w14:paraId="4AAA513D" w14:textId="77777777" w:rsidTr="00E241D9">
        <w:trPr>
          <w:trHeight w:val="245"/>
        </w:trPr>
        <w:tc>
          <w:tcPr>
            <w:tcW w:w="4620" w:type="dxa"/>
            <w:tcBorders>
              <w:top w:val="single" w:sz="4" w:space="0" w:color="auto"/>
              <w:left w:val="single" w:sz="4" w:space="0" w:color="auto"/>
              <w:bottom w:val="single" w:sz="4" w:space="0" w:color="auto"/>
              <w:right w:val="single" w:sz="4" w:space="0" w:color="auto"/>
            </w:tcBorders>
            <w:hideMark/>
          </w:tcPr>
          <w:p w14:paraId="6DF363CB" w14:textId="77777777" w:rsidR="00E241D9" w:rsidRDefault="00E241D9">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485324" w14:textId="273940BF" w:rsidR="00E241D9" w:rsidRDefault="00E241D9">
            <w:pPr>
              <w:pStyle w:val="TAC"/>
              <w:rPr>
                <w:b/>
              </w:rPr>
            </w:pPr>
            <w:r>
              <w:t xml:space="preserve">max(600ms,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rsidR="00CA6339">
              <w:rPr>
                <w:vertAlign w:val="subscript"/>
              </w:rPr>
              <w:t xml:space="preserve"> </w:t>
            </w:r>
            <w:r w:rsidR="00CA6339">
              <w:t xml:space="preserve">x </w:t>
            </w:r>
            <w:proofErr w:type="spellStart"/>
            <w:r w:rsidR="00CA6339">
              <w:rPr>
                <w:rFonts w:cs="v4.2.0"/>
              </w:rPr>
              <w:t>K</w:t>
            </w:r>
            <w:r w:rsidR="00CA6339">
              <w:rPr>
                <w:rFonts w:cs="v4.2.0"/>
                <w:vertAlign w:val="subscript"/>
              </w:rPr>
              <w:t>multi_SMTC</w:t>
            </w:r>
            <w:proofErr w:type="spellEnd"/>
            <w:r w:rsidR="00CA6339">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E241D9" w14:paraId="618B593A" w14:textId="77777777" w:rsidTr="00E241D9">
        <w:tc>
          <w:tcPr>
            <w:tcW w:w="4620" w:type="dxa"/>
            <w:tcBorders>
              <w:top w:val="single" w:sz="4" w:space="0" w:color="auto"/>
              <w:left w:val="single" w:sz="4" w:space="0" w:color="auto"/>
              <w:bottom w:val="single" w:sz="4" w:space="0" w:color="auto"/>
              <w:right w:val="single" w:sz="4" w:space="0" w:color="auto"/>
            </w:tcBorders>
            <w:hideMark/>
          </w:tcPr>
          <w:p w14:paraId="02FB5DBE" w14:textId="77777777" w:rsidR="00E241D9" w:rsidRDefault="00E241D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47E791" w14:textId="3796975B" w:rsidR="00E241D9" w:rsidRDefault="00E241D9">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sidR="00CA6339">
              <w:t xml:space="preserve">x </w:t>
            </w:r>
            <w:proofErr w:type="spellStart"/>
            <w:r w:rsidR="00CA6339">
              <w:rPr>
                <w:rFonts w:cs="v4.2.0"/>
              </w:rPr>
              <w:t>K</w:t>
            </w:r>
            <w:r w:rsidR="00CA6339">
              <w:rPr>
                <w:rFonts w:cs="v4.2.0"/>
                <w:vertAlign w:val="subscript"/>
              </w:rPr>
              <w:t>multi_SMTC</w:t>
            </w:r>
            <w:proofErr w:type="spellEnd"/>
            <w:r w:rsidR="00CA6339">
              <w:rPr>
                <w:vertAlign w:val="subscript"/>
              </w:rPr>
              <w:t xml:space="preserve">  </w:t>
            </w:r>
            <w:r>
              <w:t xml:space="preserve">x DRX cycle x </w:t>
            </w:r>
            <w:proofErr w:type="spellStart"/>
            <w:r>
              <w:t>CSSF</w:t>
            </w:r>
            <w:r>
              <w:rPr>
                <w:vertAlign w:val="subscript"/>
              </w:rPr>
              <w:t>intra</w:t>
            </w:r>
            <w:proofErr w:type="spellEnd"/>
          </w:p>
        </w:tc>
      </w:tr>
    </w:tbl>
    <w:p w14:paraId="72013E94" w14:textId="44243527" w:rsidR="00E241D9" w:rsidRDefault="00CA6339" w:rsidP="00E241D9">
      <w:pPr>
        <w:pStyle w:val="RAN4proposal"/>
        <w:numPr>
          <w:ilvl w:val="0"/>
          <w:numId w:val="0"/>
        </w:numPr>
      </w:pPr>
      <w:bookmarkStart w:id="21" w:name="_Toc146733003"/>
      <w:r>
        <w:t xml:space="preserve">Where </w:t>
      </w:r>
      <w:proofErr w:type="spellStart"/>
      <w:r>
        <w:t>K</w:t>
      </w:r>
      <w:r w:rsidRPr="00CA6339">
        <w:rPr>
          <w:vertAlign w:val="subscript"/>
        </w:rPr>
        <w:t>multi_SMTC</w:t>
      </w:r>
      <w:proofErr w:type="spellEnd"/>
      <w:r>
        <w:rPr>
          <w:vertAlign w:val="subscript"/>
        </w:rPr>
        <w:t xml:space="preserve"> </w:t>
      </w:r>
      <w:r>
        <w:t xml:space="preserve">is similarly derived as in Rel-17 and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w:t>
      </w:r>
      <w:r>
        <w:t>= 12.</w:t>
      </w:r>
      <w:bookmarkEnd w:id="21"/>
    </w:p>
    <w:p w14:paraId="1BBA90E2" w14:textId="77777777" w:rsidR="00CA6339" w:rsidRDefault="00CA6339" w:rsidP="00CA6339"/>
    <w:p w14:paraId="587E03FE" w14:textId="3E6C4943" w:rsidR="00CA6339" w:rsidRDefault="00CA6339" w:rsidP="00CA6339">
      <w:r>
        <w:t xml:space="preserve">For the intra-frequency measurement with measurement gaps configured, we propose to use a similar approach as the one described in Proposal 6, where the Rel-17 requirements are adapted to account for UE beam sweeping. </w:t>
      </w:r>
    </w:p>
    <w:p w14:paraId="6B331979" w14:textId="2B394337" w:rsidR="00CA6339" w:rsidRDefault="00CA6339" w:rsidP="00CA6339">
      <w:pPr>
        <w:pStyle w:val="RAN4proposal"/>
      </w:pPr>
      <w:bookmarkStart w:id="22" w:name="_Toc146733004"/>
      <w:r>
        <w:t xml:space="preserve">For intra-frequency measurement with measurement gaps, adopt the following table for the estimation of </w:t>
      </w:r>
      <w:proofErr w:type="spellStart"/>
      <w:r>
        <w:t>T</w:t>
      </w:r>
      <w:r w:rsidRPr="00E241D9">
        <w:rPr>
          <w:vertAlign w:val="subscript"/>
        </w:rPr>
        <w:t>PSS_SSS_sync_intra</w:t>
      </w:r>
      <w:proofErr w:type="spellEnd"/>
      <w:r w:rsidRPr="00CA6339">
        <w:t>:</w:t>
      </w:r>
      <w:bookmarkEnd w:id="22"/>
      <w:r w:rsidRPr="00CA633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6339" w14:paraId="2D9B06BD" w14:textId="77777777" w:rsidTr="00CA6339">
        <w:tc>
          <w:tcPr>
            <w:tcW w:w="4620" w:type="dxa"/>
            <w:tcBorders>
              <w:top w:val="single" w:sz="4" w:space="0" w:color="auto"/>
              <w:left w:val="single" w:sz="4" w:space="0" w:color="auto"/>
              <w:bottom w:val="single" w:sz="4" w:space="0" w:color="auto"/>
              <w:right w:val="single" w:sz="4" w:space="0" w:color="auto"/>
            </w:tcBorders>
            <w:hideMark/>
          </w:tcPr>
          <w:p w14:paraId="15A716F9" w14:textId="77777777" w:rsidR="00CA6339" w:rsidRDefault="00CA633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628FDBD" w14:textId="77777777" w:rsidR="00CA6339" w:rsidRDefault="00CA6339">
            <w:pPr>
              <w:pStyle w:val="TAH"/>
            </w:pPr>
            <w:r>
              <w:t>T</w:t>
            </w:r>
            <w:r>
              <w:rPr>
                <w:vertAlign w:val="subscript"/>
              </w:rPr>
              <w:t>PSS/</w:t>
            </w:r>
            <w:proofErr w:type="spellStart"/>
            <w:r>
              <w:rPr>
                <w:vertAlign w:val="subscript"/>
              </w:rPr>
              <w:t>SSS_sync_intra</w:t>
            </w:r>
            <w:proofErr w:type="spellEnd"/>
          </w:p>
        </w:tc>
      </w:tr>
      <w:tr w:rsidR="00CA6339" w14:paraId="11C6EF29" w14:textId="77777777" w:rsidTr="00CA6339">
        <w:tc>
          <w:tcPr>
            <w:tcW w:w="4620" w:type="dxa"/>
            <w:tcBorders>
              <w:top w:val="single" w:sz="4" w:space="0" w:color="auto"/>
              <w:left w:val="single" w:sz="4" w:space="0" w:color="auto"/>
              <w:bottom w:val="single" w:sz="4" w:space="0" w:color="auto"/>
              <w:right w:val="single" w:sz="4" w:space="0" w:color="auto"/>
            </w:tcBorders>
            <w:hideMark/>
          </w:tcPr>
          <w:p w14:paraId="2F5E5AA6" w14:textId="77777777" w:rsidR="00CA6339" w:rsidRDefault="00CA633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1C871EA" w14:textId="63DC6928" w:rsidR="00CA6339" w:rsidRDefault="00CA6339">
            <w:pPr>
              <w:pStyle w:val="TAC"/>
            </w:pPr>
            <w:r>
              <w:rPr>
                <w:rFonts w:eastAsia="SimSun"/>
              </w:rPr>
              <w:t xml:space="preserve">max(600ms,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eastAsia="SimSun"/>
              </w:rPr>
              <w:t xml:space="preserve"> x </w:t>
            </w:r>
            <w:proofErr w:type="spellStart"/>
            <w:r>
              <w:rPr>
                <w:rFonts w:eastAsia="SimSun"/>
                <w:lang w:eastAsia="zh-CN"/>
              </w:rPr>
              <w:t>K</w:t>
            </w:r>
            <w:r>
              <w:rPr>
                <w:rFonts w:eastAsia="SimSun"/>
                <w:vertAlign w:val="subscript"/>
                <w:lang w:eastAsia="zh-CN"/>
              </w:rPr>
              <w:t>gap</w:t>
            </w:r>
            <w:proofErr w:type="spellEnd"/>
            <w:r>
              <w:rPr>
                <w:rFonts w:eastAsia="SimSun"/>
              </w:rPr>
              <w:t xml:space="preserve"> x max(MGRP, SMTC period)) x </w:t>
            </w:r>
            <w:proofErr w:type="spellStart"/>
            <w:r>
              <w:rPr>
                <w:rFonts w:eastAsia="SimSun"/>
              </w:rPr>
              <w:t>CSSF</w:t>
            </w:r>
            <w:r>
              <w:rPr>
                <w:rFonts w:eastAsia="SimSun"/>
                <w:vertAlign w:val="subscript"/>
              </w:rPr>
              <w:t>intra</w:t>
            </w:r>
            <w:proofErr w:type="spellEnd"/>
          </w:p>
        </w:tc>
      </w:tr>
      <w:tr w:rsidR="00CA6339" w14:paraId="15F84352" w14:textId="77777777" w:rsidTr="00CA6339">
        <w:tc>
          <w:tcPr>
            <w:tcW w:w="4620" w:type="dxa"/>
            <w:tcBorders>
              <w:top w:val="single" w:sz="4" w:space="0" w:color="auto"/>
              <w:left w:val="single" w:sz="4" w:space="0" w:color="auto"/>
              <w:bottom w:val="single" w:sz="4" w:space="0" w:color="auto"/>
              <w:right w:val="single" w:sz="4" w:space="0" w:color="auto"/>
            </w:tcBorders>
            <w:hideMark/>
          </w:tcPr>
          <w:p w14:paraId="17D1A082" w14:textId="77777777" w:rsidR="00CA6339" w:rsidRDefault="00CA6339">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075FEF" w14:textId="4B393A20" w:rsidR="00CA6339" w:rsidRDefault="00CA6339">
            <w:pPr>
              <w:pStyle w:val="TAC"/>
              <w:rPr>
                <w:b/>
              </w:rPr>
            </w:pPr>
            <w:r>
              <w:t xml:space="preserve">max(600ms, ceil(M2x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CA6339" w14:paraId="7BF77AAB" w14:textId="77777777" w:rsidTr="00CA6339">
        <w:tc>
          <w:tcPr>
            <w:tcW w:w="4620" w:type="dxa"/>
            <w:tcBorders>
              <w:top w:val="single" w:sz="4" w:space="0" w:color="auto"/>
              <w:left w:val="single" w:sz="4" w:space="0" w:color="auto"/>
              <w:bottom w:val="single" w:sz="4" w:space="0" w:color="auto"/>
              <w:right w:val="single" w:sz="4" w:space="0" w:color="auto"/>
            </w:tcBorders>
            <w:hideMark/>
          </w:tcPr>
          <w:p w14:paraId="703B5F0D" w14:textId="77777777" w:rsidR="00CA6339" w:rsidRDefault="00CA633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BA73C1" w14:textId="25DFD53B" w:rsidR="00CA6339" w:rsidRDefault="00CA6339">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bl>
    <w:p w14:paraId="0F6A0559" w14:textId="213B73B6" w:rsidR="00CA6339" w:rsidRDefault="00CA6339" w:rsidP="00CA6339">
      <w:pPr>
        <w:pStyle w:val="RAN4proposal"/>
        <w:numPr>
          <w:ilvl w:val="0"/>
          <w:numId w:val="0"/>
        </w:numPr>
      </w:pPr>
      <w:bookmarkStart w:id="23" w:name="_Toc146733005"/>
      <w:r>
        <w:t xml:space="preserve">Where </w:t>
      </w:r>
      <w:proofErr w:type="spellStart"/>
      <w:r>
        <w:t>K</w:t>
      </w:r>
      <w:r w:rsidRPr="00CA6339">
        <w:rPr>
          <w:vertAlign w:val="subscript"/>
        </w:rPr>
        <w:t>multi_SMTC</w:t>
      </w:r>
      <w:proofErr w:type="spellEnd"/>
      <w:r>
        <w:rPr>
          <w:vertAlign w:val="subscript"/>
        </w:rPr>
        <w:t xml:space="preserve"> </w:t>
      </w:r>
      <w:r>
        <w:t xml:space="preserve">is similarly derived as in Rel-17 and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t>=  12.</w:t>
      </w:r>
      <w:bookmarkEnd w:id="23"/>
    </w:p>
    <w:p w14:paraId="697E85B0" w14:textId="77777777" w:rsidR="00CA6339" w:rsidRDefault="00CA6339" w:rsidP="00CA6339"/>
    <w:p w14:paraId="4783AB1F" w14:textId="1A3866AD" w:rsidR="00CA6339" w:rsidRDefault="00CA6339" w:rsidP="00CA6339">
      <w:r>
        <w:t xml:space="preserve">It is also important to have in mind that the operation of beam sweeping does not come without a cost. For terrestrial networks, it the FR2 operation, scheduling restrictions were introduced when the UE is performing the measurements in the SMTC window. We need to discuss whether a similar approach will be adopted in NTN. </w:t>
      </w:r>
    </w:p>
    <w:p w14:paraId="08912B27" w14:textId="6EEED7EF" w:rsidR="00CA6339" w:rsidRPr="00CA6339" w:rsidRDefault="00CA6339" w:rsidP="00CA6339">
      <w:pPr>
        <w:pStyle w:val="RAN4proposal"/>
      </w:pPr>
      <w:bookmarkStart w:id="24" w:name="_Toc146733006"/>
      <w:r>
        <w:t xml:space="preserve">RAN4 to discuss whether scheduling restriction </w:t>
      </w:r>
      <w:proofErr w:type="gramStart"/>
      <w:r>
        <w:t>has to</w:t>
      </w:r>
      <w:proofErr w:type="gramEnd"/>
      <w:r>
        <w:t xml:space="preserve"> be introduced for intra-frequency measurements in FR2- NTN, due to the beam sweeping, similarly to terrestrial networks.</w:t>
      </w:r>
      <w:bookmarkEnd w:id="24"/>
      <w:r>
        <w:t xml:space="preserve"> </w:t>
      </w:r>
    </w:p>
    <w:p w14:paraId="3738C5A0" w14:textId="77777777" w:rsidR="00527472" w:rsidRPr="00527472" w:rsidRDefault="00527472" w:rsidP="00527472"/>
    <w:p w14:paraId="18DD7C6B" w14:textId="77777777" w:rsidR="00CA2BE8" w:rsidRPr="008C39F7" w:rsidRDefault="00CA2BE8" w:rsidP="00CA2BE8">
      <w:pPr>
        <w:pStyle w:val="RAN4H1"/>
      </w:pPr>
      <w:bookmarkStart w:id="25" w:name="_Toc116995848"/>
      <w:bookmarkStart w:id="26" w:name="_Hlk146733207"/>
      <w:bookmarkStart w:id="27" w:name="_Toc116995849"/>
      <w:r w:rsidRPr="008C39F7">
        <w:t>Conclusion</w:t>
      </w:r>
      <w:bookmarkEnd w:id="25"/>
    </w:p>
    <w:p w14:paraId="03FAD58A" w14:textId="6CE85AA6" w:rsidR="00CA2BE8" w:rsidRDefault="00CA2BE8" w:rsidP="00CA2BE8">
      <w:r>
        <w:t>In this paper we discussed the operation in NTN for frequencies above 10 GHz for UE Type 1 (</w:t>
      </w:r>
      <w:proofErr w:type="gramStart"/>
      <w:r>
        <w:t>electronically-steered</w:t>
      </w:r>
      <w:proofErr w:type="gramEnd"/>
      <w:r>
        <w:t xml:space="preserve"> beams). Based on our discussion, the following set of observations and proposals was made:</w:t>
      </w:r>
    </w:p>
    <w:p w14:paraId="48DEB93E" w14:textId="77777777" w:rsidR="00CA2BE8" w:rsidRPr="008C39F7" w:rsidRDefault="00CA2BE8" w:rsidP="00CA2BE8">
      <w:pPr>
        <w:rPr>
          <w:highlight w:val="yellow"/>
        </w:rPr>
      </w:pPr>
    </w:p>
    <w:p w14:paraId="6B68A193" w14:textId="26916099" w:rsidR="00CA2BE8" w:rsidRPr="00CA2BE8" w:rsidRDefault="00CA2BE8">
      <w:pPr>
        <w:pStyle w:val="TOC1"/>
        <w:rPr>
          <w:rFonts w:asciiTheme="minorHAnsi" w:eastAsiaTheme="minorEastAsia" w:hAnsiTheme="minorHAnsi"/>
          <w:b w:val="0"/>
          <w:iCs w:val="0"/>
          <w:kern w:val="2"/>
          <w:sz w:val="22"/>
          <w:u w:val="none"/>
          <w:lang w:val="en-GB" w:eastAsia="en-GB"/>
          <w14:ligatures w14:val="standardContextual"/>
        </w:rPr>
      </w:pPr>
      <w:r w:rsidRPr="00CA2BE8">
        <w:rPr>
          <w:b w:val="0"/>
          <w:i/>
          <w:u w:val="none"/>
        </w:rPr>
        <w:fldChar w:fldCharType="begin"/>
      </w:r>
      <w:r w:rsidRPr="00CA2BE8">
        <w:rPr>
          <w:b w:val="0"/>
          <w:i/>
          <w:u w:val="none"/>
        </w:rPr>
        <w:instrText xml:space="preserve"> TOC \n \h \z \t "RAN4 proposal;1;RAN4 observation;1" </w:instrText>
      </w:r>
      <w:r w:rsidRPr="00CA2BE8">
        <w:rPr>
          <w:b w:val="0"/>
          <w:i/>
          <w:u w:val="none"/>
        </w:rPr>
        <w:fldChar w:fldCharType="separate"/>
      </w:r>
      <w:hyperlink w:anchor="_Toc146732989" w:history="1">
        <w:r w:rsidRPr="00CA2BE8">
          <w:rPr>
            <w:rStyle w:val="Hyperlink"/>
            <w:u w:val="none"/>
          </w:rPr>
          <w:t>Observation 1: The UE UL timing accuracy does not depend on the UE type and should be discussed separately as a general requirement.</w:t>
        </w:r>
      </w:hyperlink>
    </w:p>
    <w:p w14:paraId="280B66DC" w14:textId="7F7A50A2"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2990" w:history="1">
        <w:r w:rsidR="00CA2BE8" w:rsidRPr="00CA2BE8">
          <w:rPr>
            <w:rStyle w:val="Hyperlink"/>
            <w:u w:val="none"/>
          </w:rPr>
          <w:t>Proposal 1: For type 1 UEs, the scaling factor for T</w:t>
        </w:r>
        <w:r w:rsidR="00CA2BE8" w:rsidRPr="00CA2BE8">
          <w:rPr>
            <w:rStyle w:val="Hyperlink"/>
            <w:u w:val="none"/>
            <w:vertAlign w:val="subscript"/>
          </w:rPr>
          <w:t>Evaluate_out_SSB</w:t>
        </w:r>
        <w:r w:rsidR="00CA2BE8" w:rsidRPr="00CA2BE8">
          <w:rPr>
            <w:rStyle w:val="Hyperlink"/>
            <w:rFonts w:eastAsia="?? ??"/>
            <w:u w:val="none"/>
          </w:rPr>
          <w:t xml:space="preserve"> and </w:t>
        </w:r>
        <w:r w:rsidR="00CA2BE8" w:rsidRPr="00CA2BE8">
          <w:rPr>
            <w:rStyle w:val="Hyperlink"/>
            <w:u w:val="none"/>
          </w:rPr>
          <w:t>T</w:t>
        </w:r>
        <w:r w:rsidR="00CA2BE8" w:rsidRPr="00CA2BE8">
          <w:rPr>
            <w:rStyle w:val="Hyperlink"/>
            <w:u w:val="none"/>
            <w:vertAlign w:val="subscript"/>
          </w:rPr>
          <w:t xml:space="preserve">Evaluate_in_SSB </w:t>
        </w:r>
        <w:r w:rsidR="00CA2BE8" w:rsidRPr="00CA2BE8">
          <w:rPr>
            <w:rStyle w:val="Hyperlink"/>
            <w:u w:val="none"/>
          </w:rPr>
          <w:t>shall be set to 4.</w:t>
        </w:r>
      </w:hyperlink>
    </w:p>
    <w:p w14:paraId="5875D379" w14:textId="1156E734"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2991" w:history="1">
        <w:r w:rsidR="00CA2BE8" w:rsidRPr="00CA2BE8">
          <w:rPr>
            <w:rStyle w:val="Hyperlink"/>
            <w:u w:val="none"/>
          </w:rPr>
          <w:t>Proposal 2: HO requirements for Type 1 UE in FR2-NTN are the same as the HO requirements used for Rel-17 in NTN (FR1).</w:t>
        </w:r>
      </w:hyperlink>
    </w:p>
    <w:p w14:paraId="3B3EA2B9" w14:textId="1A5D7474"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2992" w:history="1">
        <w:r w:rsidR="00CA2BE8" w:rsidRPr="00CA2BE8">
          <w:rPr>
            <w:rStyle w:val="Hyperlink"/>
            <w:u w:val="none"/>
          </w:rPr>
          <w:t>Proposal 3: Limit the scope of the requirements for Release 18 for measurement procedures performed only in FR2-NTN range.</w:t>
        </w:r>
      </w:hyperlink>
    </w:p>
    <w:p w14:paraId="6CF55DE8" w14:textId="2C143E79"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2993" w:history="1">
        <w:r w:rsidR="00CA2BE8" w:rsidRPr="00CA2BE8">
          <w:rPr>
            <w:rStyle w:val="Hyperlink"/>
            <w:u w:val="none"/>
          </w:rPr>
          <w:t>Proposal 4: For intra-frequency measurements (in FR2-NTN), a UE shall be capable of performing SS-RSRP, SS-RSRQ, SS-SINR measurements for at least:</w:t>
        </w:r>
      </w:hyperlink>
    </w:p>
    <w:p w14:paraId="1C209128" w14:textId="5EA11D8C"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2994" w:history="1">
        <w:r w:rsidR="00CA2BE8" w:rsidRPr="00CA2BE8">
          <w:rPr>
            <w:rStyle w:val="Hyperlink"/>
            <w:u w:val="none"/>
          </w:rPr>
          <w:t>a.</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8 identified cells, and</w:t>
        </w:r>
      </w:hyperlink>
    </w:p>
    <w:p w14:paraId="286D7962" w14:textId="5F8FF9A7"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2995" w:history="1">
        <w:r w:rsidR="00CA2BE8" w:rsidRPr="00CA2BE8">
          <w:rPr>
            <w:rStyle w:val="Hyperlink"/>
            <w:u w:val="none"/>
          </w:rPr>
          <w:t>b.</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24 SSBs with different SSB index and/or PCI on the intra-frequency layer</w:t>
        </w:r>
      </w:hyperlink>
    </w:p>
    <w:p w14:paraId="0AD673E1" w14:textId="32F37787"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2996" w:history="1">
        <w:r w:rsidR="00CA2BE8" w:rsidRPr="00CA2BE8">
          <w:rPr>
            <w:rStyle w:val="Hyperlink"/>
            <w:u w:val="none"/>
          </w:rPr>
          <w:t>c.</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 xml:space="preserve">Cells from 2 satellites (including the satellite providing the PCell) if UE does not support the capability </w:t>
        </w:r>
        <w:r w:rsidR="00CA2BE8" w:rsidRPr="00CA2BE8">
          <w:rPr>
            <w:rStyle w:val="Hyperlink"/>
            <w:i/>
            <w:u w:val="none"/>
          </w:rPr>
          <w:t>parallelSMTC-r17</w:t>
        </w:r>
        <w:r w:rsidR="00CA2BE8" w:rsidRPr="00CA2BE8">
          <w:rPr>
            <w:rStyle w:val="Hyperlink"/>
            <w:u w:val="none"/>
          </w:rPr>
          <w:t>; and 4 satellites if the UE supports this capability.</w:t>
        </w:r>
      </w:hyperlink>
    </w:p>
    <w:p w14:paraId="602838F5" w14:textId="64C1AA37"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2997" w:history="1">
        <w:r w:rsidR="00CA2BE8" w:rsidRPr="00CA2BE8">
          <w:rPr>
            <w:rStyle w:val="Hyperlink"/>
            <w:u w:val="none"/>
          </w:rPr>
          <w:t>Proposal 5: For inter-frequency measurements (in FR2-NTN) a UE shall be capable of performing SS-RSRP, SS-RSRQ, SS-SINR measurements for at least:</w:t>
        </w:r>
      </w:hyperlink>
    </w:p>
    <w:p w14:paraId="021DEE04" w14:textId="0422CD2D"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2998" w:history="1">
        <w:r w:rsidR="00CA2BE8" w:rsidRPr="00CA2BE8">
          <w:rPr>
            <w:rStyle w:val="Hyperlink"/>
            <w:u w:val="none"/>
          </w:rPr>
          <w:t>a.</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4 identified cells, and</w:t>
        </w:r>
      </w:hyperlink>
    </w:p>
    <w:p w14:paraId="5140CF37" w14:textId="35920AA3"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2999" w:history="1">
        <w:r w:rsidR="00CA2BE8" w:rsidRPr="00CA2BE8">
          <w:rPr>
            <w:rStyle w:val="Hyperlink"/>
            <w:u w:val="none"/>
          </w:rPr>
          <w:t>b.</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10 SSBs with different SSB index and/or PCI on the inter-frequency layer</w:t>
        </w:r>
      </w:hyperlink>
    </w:p>
    <w:p w14:paraId="3E5A60ED" w14:textId="583DC39A"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3000" w:history="1">
        <w:r w:rsidR="00CA2BE8" w:rsidRPr="00CA2BE8">
          <w:rPr>
            <w:rStyle w:val="Hyperlink"/>
            <w:u w:val="none"/>
          </w:rPr>
          <w:t>c.</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1 SSB per identified Cell</w:t>
        </w:r>
      </w:hyperlink>
    </w:p>
    <w:p w14:paraId="2C453CD0" w14:textId="2A3A2BEF" w:rsidR="00CA2BE8" w:rsidRPr="00CA2BE8" w:rsidRDefault="003D63E4">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3001" w:history="1">
        <w:r w:rsidR="00CA2BE8" w:rsidRPr="00CA2BE8">
          <w:rPr>
            <w:rStyle w:val="Hyperlink"/>
            <w:u w:val="none"/>
          </w:rPr>
          <w:t>d.</w:t>
        </w:r>
        <w:r w:rsidR="00CA2BE8" w:rsidRPr="00CA2BE8">
          <w:rPr>
            <w:rFonts w:asciiTheme="minorHAnsi" w:eastAsiaTheme="minorEastAsia" w:hAnsiTheme="minorHAnsi"/>
            <w:b w:val="0"/>
            <w:iCs w:val="0"/>
            <w:kern w:val="2"/>
            <w:sz w:val="22"/>
            <w:u w:val="none"/>
            <w:lang w:val="en-GB" w:eastAsia="en-GB"/>
            <w14:ligatures w14:val="standardContextual"/>
          </w:rPr>
          <w:tab/>
        </w:r>
        <w:r w:rsidR="00CA2BE8" w:rsidRPr="00CA2BE8">
          <w:rPr>
            <w:rStyle w:val="Hyperlink"/>
            <w:u w:val="none"/>
          </w:rPr>
          <w:t>Cells from two different satellites (including the satellite providing the PCell)</w:t>
        </w:r>
      </w:hyperlink>
    </w:p>
    <w:p w14:paraId="773AD3CC" w14:textId="6380902B"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3002" w:history="1">
        <w:r w:rsidR="00CA2BE8" w:rsidRPr="00CA2BE8">
          <w:rPr>
            <w:rStyle w:val="Hyperlink"/>
            <w:u w:val="none"/>
          </w:rPr>
          <w:t>Proposal 6: For intra-frequency measurement without measurement gaps, adopt the following table for the estimation of T</w:t>
        </w:r>
        <w:r w:rsidR="00CA2BE8" w:rsidRPr="00CA2BE8">
          <w:rPr>
            <w:rStyle w:val="Hyperlink"/>
            <w:u w:val="none"/>
            <w:vertAlign w:val="subscript"/>
          </w:rPr>
          <w:t>PSS_SSS_sync_intra:</w:t>
        </w:r>
      </w:hyperlink>
    </w:p>
    <w:p w14:paraId="26DC29F4" w14:textId="4CF61C53"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3003" w:history="1">
        <w:r w:rsidR="00CA2BE8" w:rsidRPr="00CA2BE8">
          <w:rPr>
            <w:rStyle w:val="Hyperlink"/>
            <w:u w:val="none"/>
          </w:rPr>
          <w:t>Where K</w:t>
        </w:r>
        <w:r w:rsidR="00CA2BE8" w:rsidRPr="00CA2BE8">
          <w:rPr>
            <w:rStyle w:val="Hyperlink"/>
            <w:u w:val="none"/>
            <w:vertAlign w:val="subscript"/>
          </w:rPr>
          <w:t xml:space="preserve">multi_SMTC </w:t>
        </w:r>
        <w:r w:rsidR="00CA2BE8" w:rsidRPr="00CA2BE8">
          <w:rPr>
            <w:rStyle w:val="Hyperlink"/>
            <w:u w:val="none"/>
          </w:rPr>
          <w:t>is similarly derived as in Rel-17 and M</w:t>
        </w:r>
        <w:r w:rsidR="00CA2BE8" w:rsidRPr="00CA2BE8">
          <w:rPr>
            <w:rStyle w:val="Hyperlink"/>
            <w:u w:val="none"/>
            <w:vertAlign w:val="subscript"/>
          </w:rPr>
          <w:t xml:space="preserve">pss/sss_sync_w/o_gaps </w:t>
        </w:r>
        <w:r w:rsidR="00CA2BE8" w:rsidRPr="00CA2BE8">
          <w:rPr>
            <w:rStyle w:val="Hyperlink"/>
            <w:u w:val="none"/>
          </w:rPr>
          <w:t>= 12.</w:t>
        </w:r>
      </w:hyperlink>
    </w:p>
    <w:p w14:paraId="67423E65" w14:textId="3AB58533"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3004" w:history="1">
        <w:r w:rsidR="00CA2BE8" w:rsidRPr="00CA2BE8">
          <w:rPr>
            <w:rStyle w:val="Hyperlink"/>
            <w:u w:val="none"/>
          </w:rPr>
          <w:t>Proposal 7: For intra-frequency measurement with measurement gaps, adopt the following table for the estimation of T</w:t>
        </w:r>
        <w:r w:rsidR="00CA2BE8" w:rsidRPr="00CA2BE8">
          <w:rPr>
            <w:rStyle w:val="Hyperlink"/>
            <w:u w:val="none"/>
            <w:vertAlign w:val="subscript"/>
          </w:rPr>
          <w:t>PSS_SSS_sync_intra</w:t>
        </w:r>
        <w:r w:rsidR="00CA2BE8" w:rsidRPr="00CA2BE8">
          <w:rPr>
            <w:rStyle w:val="Hyperlink"/>
            <w:u w:val="none"/>
          </w:rPr>
          <w:t>:</w:t>
        </w:r>
      </w:hyperlink>
    </w:p>
    <w:p w14:paraId="736090D7" w14:textId="54950832"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3005" w:history="1">
        <w:r w:rsidR="00CA2BE8" w:rsidRPr="00CA2BE8">
          <w:rPr>
            <w:rStyle w:val="Hyperlink"/>
            <w:u w:val="none"/>
          </w:rPr>
          <w:t>Where K</w:t>
        </w:r>
        <w:r w:rsidR="00CA2BE8" w:rsidRPr="00CA2BE8">
          <w:rPr>
            <w:rStyle w:val="Hyperlink"/>
            <w:u w:val="none"/>
            <w:vertAlign w:val="subscript"/>
          </w:rPr>
          <w:t xml:space="preserve">multi_SMTC </w:t>
        </w:r>
        <w:r w:rsidR="00CA2BE8" w:rsidRPr="00CA2BE8">
          <w:rPr>
            <w:rStyle w:val="Hyperlink"/>
            <w:u w:val="none"/>
          </w:rPr>
          <w:t>is similarly derived as in Rel-17 and M</w:t>
        </w:r>
        <w:r w:rsidR="00CA2BE8" w:rsidRPr="00CA2BE8">
          <w:rPr>
            <w:rStyle w:val="Hyperlink"/>
            <w:u w:val="none"/>
            <w:vertAlign w:val="subscript"/>
          </w:rPr>
          <w:t xml:space="preserve">pss/sss_sync_with_gaps </w:t>
        </w:r>
        <w:r w:rsidR="00CA2BE8" w:rsidRPr="00CA2BE8">
          <w:rPr>
            <w:rStyle w:val="Hyperlink"/>
            <w:u w:val="none"/>
          </w:rPr>
          <w:t>=  12.</w:t>
        </w:r>
      </w:hyperlink>
    </w:p>
    <w:p w14:paraId="5AA17460" w14:textId="6168D5A2" w:rsidR="00CA2BE8" w:rsidRPr="00CA2BE8" w:rsidRDefault="003D63E4">
      <w:pPr>
        <w:pStyle w:val="TOC1"/>
        <w:rPr>
          <w:rFonts w:asciiTheme="minorHAnsi" w:eastAsiaTheme="minorEastAsia" w:hAnsiTheme="minorHAnsi"/>
          <w:b w:val="0"/>
          <w:iCs w:val="0"/>
          <w:kern w:val="2"/>
          <w:sz w:val="22"/>
          <w:u w:val="none"/>
          <w:lang w:val="en-GB" w:eastAsia="en-GB"/>
          <w14:ligatures w14:val="standardContextual"/>
        </w:rPr>
      </w:pPr>
      <w:hyperlink w:anchor="_Toc146733006" w:history="1">
        <w:r w:rsidR="00CA2BE8" w:rsidRPr="00CA2BE8">
          <w:rPr>
            <w:rStyle w:val="Hyperlink"/>
            <w:u w:val="none"/>
          </w:rPr>
          <w:t>Proposal 8: RAN4 to discuss whether scheduling restriction has to be introduced for intra-frequency measurements in FR2- NTN, due to the beam sweeping, similarly to terrestrial networks.</w:t>
        </w:r>
      </w:hyperlink>
    </w:p>
    <w:p w14:paraId="7BECF8AD" w14:textId="7EFA72D8" w:rsidR="00847264" w:rsidRPr="008C39F7" w:rsidRDefault="00CA2BE8" w:rsidP="00CA2BE8">
      <w:r w:rsidRPr="00CA2BE8">
        <w:rPr>
          <w:b/>
          <w:i/>
          <w:noProof/>
        </w:rPr>
        <w:fldChar w:fldCharType="end"/>
      </w:r>
      <w:bookmarkEnd w:id="26"/>
    </w:p>
    <w:p w14:paraId="4D0D074C" w14:textId="77777777" w:rsidR="003B659E" w:rsidRPr="008C39F7" w:rsidRDefault="003B659E" w:rsidP="0060543D">
      <w:pPr>
        <w:pStyle w:val="RAN4H1"/>
        <w:numPr>
          <w:ilvl w:val="0"/>
          <w:numId w:val="0"/>
        </w:numPr>
        <w:ind w:left="360" w:hanging="360"/>
      </w:pPr>
      <w:r w:rsidRPr="008C39F7">
        <w:t>References</w:t>
      </w:r>
      <w:bookmarkEnd w:id="27"/>
    </w:p>
    <w:p w14:paraId="1A066D8E"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28" w:name="_Ref114500673"/>
      <w:bookmarkStart w:id="29" w:name="_Ref54013899"/>
      <w:bookmarkEnd w:id="28"/>
      <w:r w:rsidRPr="00FD51CE">
        <w:t>RP-223534</w:t>
      </w:r>
      <w:r w:rsidRPr="00FF6B64">
        <w:t xml:space="preserve">, </w:t>
      </w:r>
      <w:bookmarkEnd w:id="29"/>
      <w:r w:rsidRPr="001D7FDE">
        <w:t>NR NTN (Non-Terrestrial Networks) enhancements</w:t>
      </w:r>
      <w:r>
        <w:t>, Thales</w:t>
      </w:r>
    </w:p>
    <w:p w14:paraId="7265A91C" w14:textId="36510943"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30" w:name="_Ref141279246"/>
      <w:r w:rsidRPr="00C07B05">
        <w:t>R4-2310168</w:t>
      </w:r>
      <w:r>
        <w:t xml:space="preserve">, </w:t>
      </w:r>
      <w:r w:rsidRPr="00C07B05">
        <w:rPr>
          <w:i/>
          <w:iCs/>
        </w:rPr>
        <w:t>WF on NR NTN enhancements RRM requirements</w:t>
      </w:r>
      <w:r>
        <w:t>, Qualcomm Incorporated, 3GPP WG RAN4 #107, Incheon</w:t>
      </w:r>
      <w:bookmarkEnd w:id="30"/>
      <w:r>
        <w:t xml:space="preserve"> </w:t>
      </w:r>
    </w:p>
    <w:p w14:paraId="03A58FDF"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31" w:name="_Ref134708583"/>
      <w:r w:rsidRPr="00D71116">
        <w:t>R4-2302998</w:t>
      </w:r>
      <w:r w:rsidRPr="00FF6B64">
        <w:t xml:space="preserve">, </w:t>
      </w:r>
      <w:r w:rsidRPr="00D71116">
        <w:rPr>
          <w:i/>
          <w:iCs/>
        </w:rPr>
        <w:t>WF for system parameters of above 10 GHz NTN band</w:t>
      </w:r>
      <w:r>
        <w:t>, Thales (Moderator)</w:t>
      </w:r>
      <w:bookmarkEnd w:id="31"/>
    </w:p>
    <w:p w14:paraId="0F3D3ED7" w14:textId="77777777" w:rsidR="008F4559" w:rsidRDefault="008F4559" w:rsidP="008F4559">
      <w:pPr>
        <w:numPr>
          <w:ilvl w:val="0"/>
          <w:numId w:val="21"/>
        </w:numPr>
        <w:overflowPunct w:val="0"/>
        <w:autoSpaceDE w:val="0"/>
        <w:autoSpaceDN w:val="0"/>
        <w:adjustRightInd w:val="0"/>
        <w:spacing w:after="0" w:line="240" w:lineRule="auto"/>
        <w:jc w:val="both"/>
        <w:textAlignment w:val="baseline"/>
      </w:pPr>
      <w:bookmarkStart w:id="32" w:name="_Ref146543281"/>
      <w:r w:rsidRPr="002E5AC7">
        <w:t>RP-232694</w:t>
      </w:r>
      <w:r>
        <w:t xml:space="preserve">, </w:t>
      </w:r>
      <w:r w:rsidRPr="002E5AC7">
        <w:rPr>
          <w:i/>
          <w:iCs/>
        </w:rPr>
        <w:t>“WF on potential RRM objectives for NR-NTN deployment in above 10 GHz</w:t>
      </w:r>
      <w:r w:rsidRPr="002E5AC7">
        <w:rPr>
          <w:i/>
          <w:iCs/>
        </w:rPr>
        <w:br/>
        <w:t xml:space="preserve"> (NR-NTN-</w:t>
      </w:r>
      <w:proofErr w:type="spellStart"/>
      <w:r w:rsidRPr="002E5AC7">
        <w:rPr>
          <w:i/>
          <w:iCs/>
        </w:rPr>
        <w:t>enh</w:t>
      </w:r>
      <w:proofErr w:type="spellEnd"/>
      <w:r w:rsidRPr="002E5AC7">
        <w:rPr>
          <w:i/>
          <w:iCs/>
        </w:rPr>
        <w:t xml:space="preserve"> WID)”</w:t>
      </w:r>
      <w:r>
        <w:rPr>
          <w:i/>
          <w:iCs/>
        </w:rPr>
        <w:t xml:space="preserve">, </w:t>
      </w:r>
      <w:r>
        <w:t xml:space="preserve">Thales, RAN #101, Bangalore, 11-15 </w:t>
      </w:r>
      <w:proofErr w:type="gramStart"/>
      <w:r>
        <w:t>September,</w:t>
      </w:r>
      <w:proofErr w:type="gramEnd"/>
      <w:r>
        <w:t xml:space="preserve"> 2023.</w:t>
      </w:r>
      <w:bookmarkEnd w:id="32"/>
      <w:r>
        <w:t xml:space="preserve"> </w:t>
      </w:r>
    </w:p>
    <w:p w14:paraId="67A3BAAC" w14:textId="77777777" w:rsidR="008F4559" w:rsidRDefault="008F4559" w:rsidP="008F4559">
      <w:pPr>
        <w:overflowPunct w:val="0"/>
        <w:autoSpaceDE w:val="0"/>
        <w:autoSpaceDN w:val="0"/>
        <w:adjustRightInd w:val="0"/>
        <w:spacing w:after="0" w:line="240" w:lineRule="auto"/>
        <w:jc w:val="both"/>
        <w:textAlignment w:val="baseline"/>
      </w:pPr>
    </w:p>
    <w:p w14:paraId="4B1E40AC" w14:textId="77777777" w:rsidR="008F4559" w:rsidRDefault="008F4559" w:rsidP="008F4559">
      <w:pPr>
        <w:overflowPunct w:val="0"/>
        <w:autoSpaceDE w:val="0"/>
        <w:autoSpaceDN w:val="0"/>
        <w:adjustRightInd w:val="0"/>
        <w:spacing w:after="0" w:line="240" w:lineRule="auto"/>
        <w:jc w:val="both"/>
        <w:textAlignment w:val="baseline"/>
      </w:pPr>
    </w:p>
    <w:p w14:paraId="41D3997E" w14:textId="77777777" w:rsidR="008F4559" w:rsidRDefault="008F4559" w:rsidP="008F4559">
      <w:pPr>
        <w:overflowPunct w:val="0"/>
        <w:autoSpaceDE w:val="0"/>
        <w:autoSpaceDN w:val="0"/>
        <w:adjustRightInd w:val="0"/>
        <w:spacing w:after="0" w:line="240" w:lineRule="auto"/>
        <w:jc w:val="both"/>
        <w:textAlignment w:val="baseline"/>
      </w:pPr>
    </w:p>
    <w:p w14:paraId="60B1C315" w14:textId="77777777" w:rsidR="001934BB" w:rsidRPr="00847264" w:rsidRDefault="001934BB" w:rsidP="001934BB">
      <w:pPr>
        <w:ind w:right="-22"/>
      </w:pPr>
    </w:p>
    <w:sectPr w:rsidR="001934BB"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14FF0" w14:textId="77777777" w:rsidR="00F658D0" w:rsidRDefault="00F658D0" w:rsidP="00001C9B">
      <w:pPr>
        <w:spacing w:after="0" w:line="240" w:lineRule="auto"/>
      </w:pPr>
      <w:r>
        <w:separator/>
      </w:r>
    </w:p>
  </w:endnote>
  <w:endnote w:type="continuationSeparator" w:id="0">
    <w:p w14:paraId="4CD7626C" w14:textId="77777777" w:rsidR="00F658D0" w:rsidRDefault="00F658D0" w:rsidP="00001C9B">
      <w:pPr>
        <w:spacing w:after="0" w:line="240" w:lineRule="auto"/>
      </w:pPr>
      <w:r>
        <w:continuationSeparator/>
      </w:r>
    </w:p>
  </w:endnote>
  <w:endnote w:type="continuationNotice" w:id="1">
    <w:p w14:paraId="38BB94D8" w14:textId="77777777" w:rsidR="00F658D0" w:rsidRDefault="00F65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42CE" w14:textId="77777777" w:rsidR="00F658D0" w:rsidRDefault="00F658D0" w:rsidP="00001C9B">
      <w:pPr>
        <w:spacing w:after="0" w:line="240" w:lineRule="auto"/>
      </w:pPr>
      <w:r>
        <w:separator/>
      </w:r>
    </w:p>
  </w:footnote>
  <w:footnote w:type="continuationSeparator" w:id="0">
    <w:p w14:paraId="7D64CAEB" w14:textId="77777777" w:rsidR="00F658D0" w:rsidRDefault="00F658D0" w:rsidP="00001C9B">
      <w:pPr>
        <w:spacing w:after="0" w:line="240" w:lineRule="auto"/>
      </w:pPr>
      <w:r>
        <w:continuationSeparator/>
      </w:r>
    </w:p>
  </w:footnote>
  <w:footnote w:type="continuationNotice" w:id="1">
    <w:p w14:paraId="34918B1E" w14:textId="77777777" w:rsidR="00F658D0" w:rsidRDefault="00F658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63A7D"/>
    <w:multiLevelType w:val="hybridMultilevel"/>
    <w:tmpl w:val="F844F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495E98"/>
    <w:multiLevelType w:val="hybridMultilevel"/>
    <w:tmpl w:val="7B42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230A7"/>
    <w:multiLevelType w:val="hybridMultilevel"/>
    <w:tmpl w:val="6CA20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67AA3"/>
    <w:multiLevelType w:val="hybridMultilevel"/>
    <w:tmpl w:val="3F7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51081EAC"/>
    <w:lvl w:ilvl="0">
      <w:start w:val="1"/>
      <w:numFmt w:val="decimal"/>
      <w:pStyle w:val="RAN4H1"/>
      <w:lvlText w:val="%1"/>
      <w:lvlJc w:val="left"/>
      <w:pPr>
        <w:ind w:left="674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A46E66"/>
    <w:multiLevelType w:val="hybridMultilevel"/>
    <w:tmpl w:val="2BD00FA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22"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63F2C"/>
    <w:multiLevelType w:val="hybridMultilevel"/>
    <w:tmpl w:val="53AEB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5"/>
  </w:num>
  <w:num w:numId="4" w16cid:durableId="517735681">
    <w:abstractNumId w:val="5"/>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61154510">
    <w:abstractNumId w:val="3"/>
  </w:num>
  <w:num w:numId="28" w16cid:durableId="2124037807">
    <w:abstractNumId w:val="25"/>
  </w:num>
  <w:num w:numId="29" w16cid:durableId="2052608810">
    <w:abstractNumId w:val="22"/>
  </w:num>
  <w:num w:numId="30" w16cid:durableId="304354281">
    <w:abstractNumId w:val="19"/>
  </w:num>
  <w:num w:numId="31" w16cid:durableId="136840271">
    <w:abstractNumId w:val="7"/>
  </w:num>
  <w:num w:numId="32" w16cid:durableId="1583295858">
    <w:abstractNumId w:val="10"/>
  </w:num>
  <w:num w:numId="33" w16cid:durableId="45836843">
    <w:abstractNumId w:val="12"/>
  </w:num>
  <w:num w:numId="34" w16cid:durableId="1002047310">
    <w:abstractNumId w:val="17"/>
  </w:num>
  <w:num w:numId="35" w16cid:durableId="1094546394">
    <w:abstractNumId w:val="9"/>
  </w:num>
  <w:num w:numId="36" w16cid:durableId="2031370275">
    <w:abstractNumId w:val="8"/>
  </w:num>
  <w:num w:numId="37" w16cid:durableId="803541535">
    <w:abstractNumId w:val="21"/>
  </w:num>
  <w:num w:numId="38" w16cid:durableId="12383969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2CE7"/>
    <w:rsid w:val="000151EF"/>
    <w:rsid w:val="000239F5"/>
    <w:rsid w:val="00025C10"/>
    <w:rsid w:val="00025D3F"/>
    <w:rsid w:val="00036ACD"/>
    <w:rsid w:val="00041B56"/>
    <w:rsid w:val="00050C56"/>
    <w:rsid w:val="000611B5"/>
    <w:rsid w:val="00080D2C"/>
    <w:rsid w:val="0008612A"/>
    <w:rsid w:val="00090E18"/>
    <w:rsid w:val="00094903"/>
    <w:rsid w:val="000A10BC"/>
    <w:rsid w:val="000A57C1"/>
    <w:rsid w:val="000B0056"/>
    <w:rsid w:val="000C3C7B"/>
    <w:rsid w:val="000C511F"/>
    <w:rsid w:val="000D0F93"/>
    <w:rsid w:val="00106416"/>
    <w:rsid w:val="00110481"/>
    <w:rsid w:val="001127C9"/>
    <w:rsid w:val="00114498"/>
    <w:rsid w:val="00114941"/>
    <w:rsid w:val="00115B88"/>
    <w:rsid w:val="0012611D"/>
    <w:rsid w:val="00132F6A"/>
    <w:rsid w:val="00133913"/>
    <w:rsid w:val="00140221"/>
    <w:rsid w:val="00141817"/>
    <w:rsid w:val="001642FC"/>
    <w:rsid w:val="0016496B"/>
    <w:rsid w:val="0017276F"/>
    <w:rsid w:val="001743E2"/>
    <w:rsid w:val="001745F8"/>
    <w:rsid w:val="001838CF"/>
    <w:rsid w:val="0018428F"/>
    <w:rsid w:val="001868EE"/>
    <w:rsid w:val="001934BB"/>
    <w:rsid w:val="001A3BA4"/>
    <w:rsid w:val="001A6D1F"/>
    <w:rsid w:val="001C0296"/>
    <w:rsid w:val="001D2282"/>
    <w:rsid w:val="001E30F6"/>
    <w:rsid w:val="00204021"/>
    <w:rsid w:val="00217EE5"/>
    <w:rsid w:val="002264D7"/>
    <w:rsid w:val="00227031"/>
    <w:rsid w:val="00235F5C"/>
    <w:rsid w:val="00244745"/>
    <w:rsid w:val="00257FA3"/>
    <w:rsid w:val="00277B56"/>
    <w:rsid w:val="00280B89"/>
    <w:rsid w:val="002864C5"/>
    <w:rsid w:val="002A19F5"/>
    <w:rsid w:val="002B4922"/>
    <w:rsid w:val="002C0EEC"/>
    <w:rsid w:val="002C22C3"/>
    <w:rsid w:val="002C2D19"/>
    <w:rsid w:val="002D10FA"/>
    <w:rsid w:val="002D2024"/>
    <w:rsid w:val="002D4C55"/>
    <w:rsid w:val="002D4DB3"/>
    <w:rsid w:val="002E6DED"/>
    <w:rsid w:val="00300956"/>
    <w:rsid w:val="0030455F"/>
    <w:rsid w:val="00305820"/>
    <w:rsid w:val="00317187"/>
    <w:rsid w:val="00320144"/>
    <w:rsid w:val="003230DC"/>
    <w:rsid w:val="0032499A"/>
    <w:rsid w:val="0032500C"/>
    <w:rsid w:val="003341F7"/>
    <w:rsid w:val="00347FEC"/>
    <w:rsid w:val="003509DF"/>
    <w:rsid w:val="00356F45"/>
    <w:rsid w:val="00357005"/>
    <w:rsid w:val="00363F7D"/>
    <w:rsid w:val="00366B74"/>
    <w:rsid w:val="00373827"/>
    <w:rsid w:val="00386A83"/>
    <w:rsid w:val="0039406B"/>
    <w:rsid w:val="00394E9E"/>
    <w:rsid w:val="00395F6A"/>
    <w:rsid w:val="003A111C"/>
    <w:rsid w:val="003A710A"/>
    <w:rsid w:val="003B659E"/>
    <w:rsid w:val="003C275E"/>
    <w:rsid w:val="003C37D6"/>
    <w:rsid w:val="003C4FDE"/>
    <w:rsid w:val="003D2041"/>
    <w:rsid w:val="003D63E4"/>
    <w:rsid w:val="003E58DF"/>
    <w:rsid w:val="003F2161"/>
    <w:rsid w:val="00404C4C"/>
    <w:rsid w:val="0041423F"/>
    <w:rsid w:val="00414F81"/>
    <w:rsid w:val="0043680A"/>
    <w:rsid w:val="00436A0F"/>
    <w:rsid w:val="00437150"/>
    <w:rsid w:val="0043750A"/>
    <w:rsid w:val="004409B6"/>
    <w:rsid w:val="00441EA9"/>
    <w:rsid w:val="00447577"/>
    <w:rsid w:val="00460BED"/>
    <w:rsid w:val="00464DFA"/>
    <w:rsid w:val="004732E9"/>
    <w:rsid w:val="0048211A"/>
    <w:rsid w:val="004854BB"/>
    <w:rsid w:val="00494493"/>
    <w:rsid w:val="00496606"/>
    <w:rsid w:val="004C3486"/>
    <w:rsid w:val="004C7290"/>
    <w:rsid w:val="004D24FB"/>
    <w:rsid w:val="004E5E66"/>
    <w:rsid w:val="004E7ADB"/>
    <w:rsid w:val="00503B4D"/>
    <w:rsid w:val="00504EE9"/>
    <w:rsid w:val="0051476D"/>
    <w:rsid w:val="00521576"/>
    <w:rsid w:val="00522897"/>
    <w:rsid w:val="005250E6"/>
    <w:rsid w:val="00525A8B"/>
    <w:rsid w:val="00527472"/>
    <w:rsid w:val="005319C4"/>
    <w:rsid w:val="00531FC6"/>
    <w:rsid w:val="00542357"/>
    <w:rsid w:val="00542D23"/>
    <w:rsid w:val="0054442C"/>
    <w:rsid w:val="00550285"/>
    <w:rsid w:val="00551E90"/>
    <w:rsid w:val="00562492"/>
    <w:rsid w:val="0056617A"/>
    <w:rsid w:val="005705A0"/>
    <w:rsid w:val="00572A20"/>
    <w:rsid w:val="005836F8"/>
    <w:rsid w:val="0059067D"/>
    <w:rsid w:val="005918FA"/>
    <w:rsid w:val="00592A86"/>
    <w:rsid w:val="00593318"/>
    <w:rsid w:val="005B3D49"/>
    <w:rsid w:val="005B4801"/>
    <w:rsid w:val="005C23A4"/>
    <w:rsid w:val="005D1CDF"/>
    <w:rsid w:val="005D2BB7"/>
    <w:rsid w:val="005E61A8"/>
    <w:rsid w:val="005F6419"/>
    <w:rsid w:val="0060543D"/>
    <w:rsid w:val="006104DD"/>
    <w:rsid w:val="006130B5"/>
    <w:rsid w:val="00614F27"/>
    <w:rsid w:val="00617400"/>
    <w:rsid w:val="00632D29"/>
    <w:rsid w:val="00657BA2"/>
    <w:rsid w:val="00664950"/>
    <w:rsid w:val="0067119A"/>
    <w:rsid w:val="00677A4B"/>
    <w:rsid w:val="006811E4"/>
    <w:rsid w:val="00681596"/>
    <w:rsid w:val="00683220"/>
    <w:rsid w:val="006837A8"/>
    <w:rsid w:val="00687FA0"/>
    <w:rsid w:val="00690D0C"/>
    <w:rsid w:val="00696E96"/>
    <w:rsid w:val="006A07D7"/>
    <w:rsid w:val="006A3C11"/>
    <w:rsid w:val="006B0DAF"/>
    <w:rsid w:val="006B7010"/>
    <w:rsid w:val="006B7908"/>
    <w:rsid w:val="006C0328"/>
    <w:rsid w:val="006C3095"/>
    <w:rsid w:val="006D069D"/>
    <w:rsid w:val="006D728A"/>
    <w:rsid w:val="006E1151"/>
    <w:rsid w:val="006E6311"/>
    <w:rsid w:val="006E6B39"/>
    <w:rsid w:val="006F5D79"/>
    <w:rsid w:val="007108A0"/>
    <w:rsid w:val="00710BE6"/>
    <w:rsid w:val="007145FF"/>
    <w:rsid w:val="00715B2A"/>
    <w:rsid w:val="007450F1"/>
    <w:rsid w:val="00751515"/>
    <w:rsid w:val="00753B1D"/>
    <w:rsid w:val="007606F1"/>
    <w:rsid w:val="007626B7"/>
    <w:rsid w:val="007725CB"/>
    <w:rsid w:val="00773A58"/>
    <w:rsid w:val="00775489"/>
    <w:rsid w:val="00780E81"/>
    <w:rsid w:val="0078212B"/>
    <w:rsid w:val="00782724"/>
    <w:rsid w:val="00784DF6"/>
    <w:rsid w:val="00785232"/>
    <w:rsid w:val="00792B58"/>
    <w:rsid w:val="00792B6D"/>
    <w:rsid w:val="007B186C"/>
    <w:rsid w:val="007B5AF7"/>
    <w:rsid w:val="007C1696"/>
    <w:rsid w:val="007C3ED0"/>
    <w:rsid w:val="007C5971"/>
    <w:rsid w:val="007D1B67"/>
    <w:rsid w:val="007E5785"/>
    <w:rsid w:val="007F54B9"/>
    <w:rsid w:val="0080081C"/>
    <w:rsid w:val="008061A6"/>
    <w:rsid w:val="00806A76"/>
    <w:rsid w:val="008074AB"/>
    <w:rsid w:val="00811C9D"/>
    <w:rsid w:val="00816C80"/>
    <w:rsid w:val="00820C7C"/>
    <w:rsid w:val="008310FA"/>
    <w:rsid w:val="00833D12"/>
    <w:rsid w:val="00841BCD"/>
    <w:rsid w:val="00847264"/>
    <w:rsid w:val="00851A8E"/>
    <w:rsid w:val="00852F88"/>
    <w:rsid w:val="0085365B"/>
    <w:rsid w:val="008826C1"/>
    <w:rsid w:val="00883DFD"/>
    <w:rsid w:val="008979C8"/>
    <w:rsid w:val="008A1BF7"/>
    <w:rsid w:val="008A5B0E"/>
    <w:rsid w:val="008B0961"/>
    <w:rsid w:val="008B0BEC"/>
    <w:rsid w:val="008C178D"/>
    <w:rsid w:val="008C39F7"/>
    <w:rsid w:val="008C536B"/>
    <w:rsid w:val="008D7ABE"/>
    <w:rsid w:val="008E071E"/>
    <w:rsid w:val="008E372A"/>
    <w:rsid w:val="008E7E55"/>
    <w:rsid w:val="008F4559"/>
    <w:rsid w:val="0090091A"/>
    <w:rsid w:val="009042BD"/>
    <w:rsid w:val="00904FE4"/>
    <w:rsid w:val="00911E45"/>
    <w:rsid w:val="00926253"/>
    <w:rsid w:val="00936159"/>
    <w:rsid w:val="00977E1D"/>
    <w:rsid w:val="00983A6B"/>
    <w:rsid w:val="009A2477"/>
    <w:rsid w:val="009B0573"/>
    <w:rsid w:val="009B7B4B"/>
    <w:rsid w:val="009B7C21"/>
    <w:rsid w:val="009C2E67"/>
    <w:rsid w:val="009C2EEA"/>
    <w:rsid w:val="009C6E9D"/>
    <w:rsid w:val="009C7A94"/>
    <w:rsid w:val="00A04992"/>
    <w:rsid w:val="00A07553"/>
    <w:rsid w:val="00A147AA"/>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2070"/>
    <w:rsid w:val="00B129FD"/>
    <w:rsid w:val="00B2039E"/>
    <w:rsid w:val="00B31208"/>
    <w:rsid w:val="00B3156B"/>
    <w:rsid w:val="00B408B6"/>
    <w:rsid w:val="00B54013"/>
    <w:rsid w:val="00B542DA"/>
    <w:rsid w:val="00B57F9B"/>
    <w:rsid w:val="00B73862"/>
    <w:rsid w:val="00B73F43"/>
    <w:rsid w:val="00B75BBF"/>
    <w:rsid w:val="00BA6B66"/>
    <w:rsid w:val="00BA6E48"/>
    <w:rsid w:val="00BB2FD3"/>
    <w:rsid w:val="00BB3939"/>
    <w:rsid w:val="00BC2BEB"/>
    <w:rsid w:val="00BD4D12"/>
    <w:rsid w:val="00BE0AF6"/>
    <w:rsid w:val="00BE1F03"/>
    <w:rsid w:val="00BE58A7"/>
    <w:rsid w:val="00BF0EDD"/>
    <w:rsid w:val="00BF2218"/>
    <w:rsid w:val="00BF5CE9"/>
    <w:rsid w:val="00C0426B"/>
    <w:rsid w:val="00C045DF"/>
    <w:rsid w:val="00C07B05"/>
    <w:rsid w:val="00C20473"/>
    <w:rsid w:val="00C26D43"/>
    <w:rsid w:val="00C4466E"/>
    <w:rsid w:val="00C46548"/>
    <w:rsid w:val="00C574D5"/>
    <w:rsid w:val="00C72DAB"/>
    <w:rsid w:val="00C73F32"/>
    <w:rsid w:val="00C751B9"/>
    <w:rsid w:val="00C77803"/>
    <w:rsid w:val="00C85643"/>
    <w:rsid w:val="00C87462"/>
    <w:rsid w:val="00CA180C"/>
    <w:rsid w:val="00CA2BE8"/>
    <w:rsid w:val="00CA6339"/>
    <w:rsid w:val="00CB22B2"/>
    <w:rsid w:val="00CC3EE2"/>
    <w:rsid w:val="00CD7492"/>
    <w:rsid w:val="00CD7EDB"/>
    <w:rsid w:val="00CE2703"/>
    <w:rsid w:val="00CE3A6B"/>
    <w:rsid w:val="00CE5D1F"/>
    <w:rsid w:val="00CF0BE2"/>
    <w:rsid w:val="00CF7E20"/>
    <w:rsid w:val="00D00211"/>
    <w:rsid w:val="00D03BD3"/>
    <w:rsid w:val="00D06309"/>
    <w:rsid w:val="00D24E42"/>
    <w:rsid w:val="00D351EA"/>
    <w:rsid w:val="00D3597A"/>
    <w:rsid w:val="00D40288"/>
    <w:rsid w:val="00D43403"/>
    <w:rsid w:val="00D50ED3"/>
    <w:rsid w:val="00D5270B"/>
    <w:rsid w:val="00D62E71"/>
    <w:rsid w:val="00D64192"/>
    <w:rsid w:val="00D6430D"/>
    <w:rsid w:val="00D66188"/>
    <w:rsid w:val="00D7027C"/>
    <w:rsid w:val="00D731F6"/>
    <w:rsid w:val="00D740CA"/>
    <w:rsid w:val="00D85728"/>
    <w:rsid w:val="00D8631A"/>
    <w:rsid w:val="00D863D0"/>
    <w:rsid w:val="00D95481"/>
    <w:rsid w:val="00D96F39"/>
    <w:rsid w:val="00D97975"/>
    <w:rsid w:val="00D97D04"/>
    <w:rsid w:val="00DA4162"/>
    <w:rsid w:val="00DC7A13"/>
    <w:rsid w:val="00DF2997"/>
    <w:rsid w:val="00E10BC4"/>
    <w:rsid w:val="00E1415D"/>
    <w:rsid w:val="00E20FA2"/>
    <w:rsid w:val="00E23321"/>
    <w:rsid w:val="00E241B5"/>
    <w:rsid w:val="00E241D9"/>
    <w:rsid w:val="00E323E9"/>
    <w:rsid w:val="00E3323E"/>
    <w:rsid w:val="00E34018"/>
    <w:rsid w:val="00E3417B"/>
    <w:rsid w:val="00E43799"/>
    <w:rsid w:val="00E437D2"/>
    <w:rsid w:val="00E44901"/>
    <w:rsid w:val="00E53894"/>
    <w:rsid w:val="00E55751"/>
    <w:rsid w:val="00E66BC2"/>
    <w:rsid w:val="00E679AC"/>
    <w:rsid w:val="00E87EA0"/>
    <w:rsid w:val="00EA2311"/>
    <w:rsid w:val="00EC1F58"/>
    <w:rsid w:val="00EC3698"/>
    <w:rsid w:val="00EC3E77"/>
    <w:rsid w:val="00EC7BC3"/>
    <w:rsid w:val="00ED1787"/>
    <w:rsid w:val="00ED1D3C"/>
    <w:rsid w:val="00ED7600"/>
    <w:rsid w:val="00EF6073"/>
    <w:rsid w:val="00EF698B"/>
    <w:rsid w:val="00EF76B6"/>
    <w:rsid w:val="00F1362C"/>
    <w:rsid w:val="00F35C29"/>
    <w:rsid w:val="00F414F1"/>
    <w:rsid w:val="00F47795"/>
    <w:rsid w:val="00F508B8"/>
    <w:rsid w:val="00F5307C"/>
    <w:rsid w:val="00F658D0"/>
    <w:rsid w:val="00F72CB1"/>
    <w:rsid w:val="00F74B5B"/>
    <w:rsid w:val="00F8141A"/>
    <w:rsid w:val="00F8215E"/>
    <w:rsid w:val="00F824F5"/>
    <w:rsid w:val="00F84C4F"/>
    <w:rsid w:val="00F90FAB"/>
    <w:rsid w:val="00F9374D"/>
    <w:rsid w:val="00FA513E"/>
    <w:rsid w:val="00FC29B9"/>
    <w:rsid w:val="00FC6FD3"/>
    <w:rsid w:val="00FE2AA4"/>
    <w:rsid w:val="00FE305C"/>
    <w:rsid w:val="00FF0301"/>
    <w:rsid w:val="00FF0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3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8631A"/>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07553"/>
    <w:rPr>
      <w:b/>
    </w:rPr>
  </w:style>
  <w:style w:type="paragraph" w:customStyle="1" w:styleId="TAC">
    <w:name w:val="TAC"/>
    <w:basedOn w:val="Normal"/>
    <w:link w:val="TACChar"/>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 w:type="character" w:customStyle="1" w:styleId="B1Char">
    <w:name w:val="B1 Char"/>
    <w:link w:val="B1"/>
    <w:qFormat/>
    <w:locked/>
    <w:rsid w:val="004409B6"/>
    <w:rPr>
      <w:kern w:val="2"/>
      <w14:ligatures w14:val="standardContextual"/>
    </w:rPr>
  </w:style>
  <w:style w:type="paragraph" w:customStyle="1" w:styleId="B1">
    <w:name w:val="B1"/>
    <w:basedOn w:val="List"/>
    <w:link w:val="B1Char"/>
    <w:rsid w:val="004409B6"/>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4409B6"/>
    <w:pPr>
      <w:ind w:left="283" w:hanging="283"/>
      <w:contextualSpacing/>
    </w:pPr>
  </w:style>
  <w:style w:type="paragraph" w:customStyle="1" w:styleId="TAL">
    <w:name w:val="TAL"/>
    <w:basedOn w:val="Normal"/>
    <w:link w:val="TALCar"/>
    <w:qFormat/>
    <w:rsid w:val="004409B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409B6"/>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60788">
      <w:bodyDiv w:val="1"/>
      <w:marLeft w:val="0"/>
      <w:marRight w:val="0"/>
      <w:marTop w:val="0"/>
      <w:marBottom w:val="0"/>
      <w:divBdr>
        <w:top w:val="none" w:sz="0" w:space="0" w:color="auto"/>
        <w:left w:val="none" w:sz="0" w:space="0" w:color="auto"/>
        <w:bottom w:val="none" w:sz="0" w:space="0" w:color="auto"/>
        <w:right w:val="none" w:sz="0" w:space="0" w:color="auto"/>
      </w:divBdr>
    </w:div>
    <w:div w:id="281309039">
      <w:bodyDiv w:val="1"/>
      <w:marLeft w:val="0"/>
      <w:marRight w:val="0"/>
      <w:marTop w:val="0"/>
      <w:marBottom w:val="0"/>
      <w:divBdr>
        <w:top w:val="none" w:sz="0" w:space="0" w:color="auto"/>
        <w:left w:val="none" w:sz="0" w:space="0" w:color="auto"/>
        <w:bottom w:val="none" w:sz="0" w:space="0" w:color="auto"/>
        <w:right w:val="none" w:sz="0" w:space="0" w:color="auto"/>
      </w:divBdr>
    </w:div>
    <w:div w:id="337122276">
      <w:bodyDiv w:val="1"/>
      <w:marLeft w:val="0"/>
      <w:marRight w:val="0"/>
      <w:marTop w:val="0"/>
      <w:marBottom w:val="0"/>
      <w:divBdr>
        <w:top w:val="none" w:sz="0" w:space="0" w:color="auto"/>
        <w:left w:val="none" w:sz="0" w:space="0" w:color="auto"/>
        <w:bottom w:val="none" w:sz="0" w:space="0" w:color="auto"/>
        <w:right w:val="none" w:sz="0" w:space="0" w:color="auto"/>
      </w:divBdr>
    </w:div>
    <w:div w:id="433356021">
      <w:bodyDiv w:val="1"/>
      <w:marLeft w:val="0"/>
      <w:marRight w:val="0"/>
      <w:marTop w:val="0"/>
      <w:marBottom w:val="0"/>
      <w:divBdr>
        <w:top w:val="none" w:sz="0" w:space="0" w:color="auto"/>
        <w:left w:val="none" w:sz="0" w:space="0" w:color="auto"/>
        <w:bottom w:val="none" w:sz="0" w:space="0" w:color="auto"/>
        <w:right w:val="none" w:sz="0" w:space="0" w:color="auto"/>
      </w:divBdr>
    </w:div>
    <w:div w:id="486676500">
      <w:bodyDiv w:val="1"/>
      <w:marLeft w:val="0"/>
      <w:marRight w:val="0"/>
      <w:marTop w:val="0"/>
      <w:marBottom w:val="0"/>
      <w:divBdr>
        <w:top w:val="none" w:sz="0" w:space="0" w:color="auto"/>
        <w:left w:val="none" w:sz="0" w:space="0" w:color="auto"/>
        <w:bottom w:val="none" w:sz="0" w:space="0" w:color="auto"/>
        <w:right w:val="none" w:sz="0" w:space="0" w:color="auto"/>
      </w:divBdr>
    </w:div>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635722530">
      <w:bodyDiv w:val="1"/>
      <w:marLeft w:val="0"/>
      <w:marRight w:val="0"/>
      <w:marTop w:val="0"/>
      <w:marBottom w:val="0"/>
      <w:divBdr>
        <w:top w:val="none" w:sz="0" w:space="0" w:color="auto"/>
        <w:left w:val="none" w:sz="0" w:space="0" w:color="auto"/>
        <w:bottom w:val="none" w:sz="0" w:space="0" w:color="auto"/>
        <w:right w:val="none" w:sz="0" w:space="0" w:color="auto"/>
      </w:divBdr>
    </w:div>
    <w:div w:id="921910251">
      <w:bodyDiv w:val="1"/>
      <w:marLeft w:val="0"/>
      <w:marRight w:val="0"/>
      <w:marTop w:val="0"/>
      <w:marBottom w:val="0"/>
      <w:divBdr>
        <w:top w:val="none" w:sz="0" w:space="0" w:color="auto"/>
        <w:left w:val="none" w:sz="0" w:space="0" w:color="auto"/>
        <w:bottom w:val="none" w:sz="0" w:space="0" w:color="auto"/>
        <w:right w:val="none" w:sz="0" w:space="0" w:color="auto"/>
      </w:divBdr>
    </w:div>
    <w:div w:id="1157916101">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1295256834">
      <w:bodyDiv w:val="1"/>
      <w:marLeft w:val="0"/>
      <w:marRight w:val="0"/>
      <w:marTop w:val="0"/>
      <w:marBottom w:val="0"/>
      <w:divBdr>
        <w:top w:val="none" w:sz="0" w:space="0" w:color="auto"/>
        <w:left w:val="none" w:sz="0" w:space="0" w:color="auto"/>
        <w:bottom w:val="none" w:sz="0" w:space="0" w:color="auto"/>
        <w:right w:val="none" w:sz="0" w:space="0" w:color="auto"/>
      </w:divBdr>
    </w:div>
    <w:div w:id="1325160990">
      <w:bodyDiv w:val="1"/>
      <w:marLeft w:val="0"/>
      <w:marRight w:val="0"/>
      <w:marTop w:val="0"/>
      <w:marBottom w:val="0"/>
      <w:divBdr>
        <w:top w:val="none" w:sz="0" w:space="0" w:color="auto"/>
        <w:left w:val="none" w:sz="0" w:space="0" w:color="auto"/>
        <w:bottom w:val="none" w:sz="0" w:space="0" w:color="auto"/>
        <w:right w:val="none" w:sz="0" w:space="0" w:color="auto"/>
      </w:divBdr>
    </w:div>
    <w:div w:id="1456172114">
      <w:bodyDiv w:val="1"/>
      <w:marLeft w:val="0"/>
      <w:marRight w:val="0"/>
      <w:marTop w:val="0"/>
      <w:marBottom w:val="0"/>
      <w:divBdr>
        <w:top w:val="none" w:sz="0" w:space="0" w:color="auto"/>
        <w:left w:val="none" w:sz="0" w:space="0" w:color="auto"/>
        <w:bottom w:val="none" w:sz="0" w:space="0" w:color="auto"/>
        <w:right w:val="none" w:sz="0" w:space="0" w:color="auto"/>
      </w:divBdr>
    </w:div>
    <w:div w:id="1500345787">
      <w:bodyDiv w:val="1"/>
      <w:marLeft w:val="0"/>
      <w:marRight w:val="0"/>
      <w:marTop w:val="0"/>
      <w:marBottom w:val="0"/>
      <w:divBdr>
        <w:top w:val="none" w:sz="0" w:space="0" w:color="auto"/>
        <w:left w:val="none" w:sz="0" w:space="0" w:color="auto"/>
        <w:bottom w:val="none" w:sz="0" w:space="0" w:color="auto"/>
        <w:right w:val="none" w:sz="0" w:space="0" w:color="auto"/>
      </w:divBdr>
    </w:div>
    <w:div w:id="1597204498">
      <w:bodyDiv w:val="1"/>
      <w:marLeft w:val="0"/>
      <w:marRight w:val="0"/>
      <w:marTop w:val="0"/>
      <w:marBottom w:val="0"/>
      <w:divBdr>
        <w:top w:val="none" w:sz="0" w:space="0" w:color="auto"/>
        <w:left w:val="none" w:sz="0" w:space="0" w:color="auto"/>
        <w:bottom w:val="none" w:sz="0" w:space="0" w:color="auto"/>
        <w:right w:val="none" w:sz="0" w:space="0" w:color="auto"/>
      </w:divBdr>
    </w:div>
    <w:div w:id="1738019060">
      <w:bodyDiv w:val="1"/>
      <w:marLeft w:val="0"/>
      <w:marRight w:val="0"/>
      <w:marTop w:val="0"/>
      <w:marBottom w:val="0"/>
      <w:divBdr>
        <w:top w:val="none" w:sz="0" w:space="0" w:color="auto"/>
        <w:left w:val="none" w:sz="0" w:space="0" w:color="auto"/>
        <w:bottom w:val="none" w:sz="0" w:space="0" w:color="auto"/>
        <w:right w:val="none" w:sz="0" w:space="0" w:color="auto"/>
      </w:divBdr>
    </w:div>
    <w:div w:id="1744527837">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BF9-93EE-43FF-BCDF-498E020C82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2297</Words>
  <Characters>13098</Characters>
  <Application>Microsoft Office Word</Application>
  <DocSecurity>0</DocSecurity>
  <Lines>109</Lines>
  <Paragraphs>30</Paragraphs>
  <ScaleCrop>false</ScaleCrop>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2023-09-27T17:34:00Z</dcterms:created>
  <dcterms:modified xsi:type="dcterms:W3CDTF">2023-09-27T17:34:00Z</dcterms:modified>
</cp:coreProperties>
</file>