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701BE" w14:textId="0A0E4F07" w:rsidR="00143A62" w:rsidRPr="00143A62" w:rsidRDefault="00143A62" w:rsidP="00143A6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rPr>
      </w:pPr>
      <w:bookmarkStart w:id="0" w:name="_Hlk146126207"/>
      <w:bookmarkStart w:id="1" w:name="OLE_LINK5"/>
      <w:bookmarkStart w:id="2" w:name="OLE_LINK6"/>
      <w:bookmarkEnd w:id="0"/>
      <w:r w:rsidRPr="00143A62">
        <w:rPr>
          <w:rFonts w:ascii="Arial" w:eastAsia="SimSun" w:hAnsi="Arial" w:cs="Times New Roman"/>
          <w:b/>
          <w:sz w:val="24"/>
          <w:szCs w:val="24"/>
        </w:rPr>
        <w:t>3GPP TSG-RAN WG4 Meeting # 108bis</w:t>
      </w:r>
      <w:r w:rsidRPr="00143A62">
        <w:rPr>
          <w:rFonts w:ascii="Arial" w:eastAsia="SimSun" w:hAnsi="Arial" w:cs="Times New Roman"/>
          <w:b/>
          <w:sz w:val="24"/>
          <w:szCs w:val="24"/>
        </w:rPr>
        <w:tab/>
        <w:t>R4-231</w:t>
      </w:r>
      <w:r w:rsidR="00FC55A1">
        <w:rPr>
          <w:rFonts w:ascii="Arial" w:eastAsia="SimSun" w:hAnsi="Arial" w:cs="Times New Roman"/>
          <w:b/>
          <w:sz w:val="24"/>
          <w:szCs w:val="24"/>
        </w:rPr>
        <w:t>5799</w:t>
      </w:r>
    </w:p>
    <w:p w14:paraId="5C8D8AE5" w14:textId="11A874C5" w:rsidR="00841BCD" w:rsidRPr="008C39F7" w:rsidRDefault="00143A62"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r w:rsidRPr="00143A62">
        <w:rPr>
          <w:rFonts w:ascii="Arial" w:eastAsia="SimSun" w:hAnsi="Arial" w:cs="Times New Roman"/>
          <w:b/>
          <w:sz w:val="24"/>
          <w:szCs w:val="24"/>
        </w:rPr>
        <w:t>Xiamen, China, October 09 – October 13, 2023</w:t>
      </w:r>
      <w:bookmarkEnd w:id="1"/>
      <w:bookmarkEnd w:id="2"/>
    </w:p>
    <w:p w14:paraId="69B47891" w14:textId="77777777" w:rsidR="004A7EC8" w:rsidRDefault="004A7EC8" w:rsidP="00841BCD">
      <w:pPr>
        <w:tabs>
          <w:tab w:val="left" w:pos="1985"/>
        </w:tabs>
        <w:ind w:left="1985" w:hanging="1985"/>
        <w:rPr>
          <w:rFonts w:ascii="Arial" w:eastAsia="Calibri" w:hAnsi="Arial" w:cs="Arial"/>
          <w:b/>
          <w:bCs/>
          <w:sz w:val="24"/>
        </w:rPr>
      </w:pPr>
    </w:p>
    <w:p w14:paraId="3D1649F5" w14:textId="2D59D105"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B2022E2" w14:textId="6E120F9B"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4A7EC8">
        <w:rPr>
          <w:rFonts w:ascii="Arial" w:eastAsia="Calibri" w:hAnsi="Arial" w:cs="Arial"/>
          <w:b/>
          <w:bCs/>
          <w:sz w:val="24"/>
        </w:rPr>
        <w:t>On BS RF requirements for NES</w:t>
      </w:r>
    </w:p>
    <w:p w14:paraId="3AE6FAA3" w14:textId="45B11FC1" w:rsidR="00841BCD" w:rsidRPr="00FC55A1" w:rsidRDefault="00841BCD" w:rsidP="00FC55A1">
      <w:pPr>
        <w:ind w:left="1985" w:hanging="1985"/>
        <w:rPr>
          <w:rFonts w:ascii="Arial" w:eastAsia="Calibri" w:hAnsi="Arial" w:cs="Arial"/>
          <w:b/>
          <w:bCs/>
          <w:sz w:val="24"/>
        </w:rPr>
      </w:pPr>
      <w:r w:rsidRPr="6299A84E">
        <w:rPr>
          <w:rFonts w:ascii="Arial" w:eastAsia="MS Mincho" w:hAnsi="Arial" w:cs="Arial"/>
          <w:b/>
          <w:sz w:val="24"/>
          <w:szCs w:val="24"/>
        </w:rPr>
        <w:t>Agenda item:</w:t>
      </w:r>
      <w:r>
        <w:tab/>
      </w:r>
      <w:r w:rsidR="004A7EC8" w:rsidRPr="00143A62">
        <w:rPr>
          <w:rFonts w:ascii="Arial" w:eastAsia="Calibri" w:hAnsi="Arial" w:cs="Arial"/>
          <w:b/>
          <w:bCs/>
          <w:sz w:val="24"/>
        </w:rPr>
        <w:t>5.34.1</w:t>
      </w:r>
      <w:r w:rsidR="004A7EC8" w:rsidRPr="00143A62">
        <w:rPr>
          <w:rFonts w:ascii="Arial" w:eastAsia="Calibri" w:hAnsi="Arial" w:cs="Arial"/>
          <w:b/>
          <w:bCs/>
          <w:sz w:val="24"/>
        </w:rPr>
        <w:tab/>
        <w:t>BS RF requirements</w:t>
      </w:r>
      <w:r w:rsidR="004A7EC8" w:rsidRPr="00143A62">
        <w:rPr>
          <w:rFonts w:ascii="Arial" w:eastAsia="Calibri" w:hAnsi="Arial" w:cs="Arial"/>
          <w:b/>
          <w:bCs/>
          <w:sz w:val="24"/>
        </w:rPr>
        <w:tab/>
        <w:t>[Netw_Energy_NR-Core]</w:t>
      </w:r>
    </w:p>
    <w:p w14:paraId="4A2A2471" w14:textId="2628E6E2" w:rsidR="00D66188" w:rsidRPr="008C39F7" w:rsidRDefault="00841BCD" w:rsidP="00841BCD">
      <w:pPr>
        <w:tabs>
          <w:tab w:val="left" w:pos="1985"/>
        </w:tabs>
        <w:rPr>
          <w:rFonts w:ascii="Arial" w:eastAsia="Calibri" w:hAnsi="Arial" w:cs="Arial"/>
          <w:b/>
          <w:sz w:val="24"/>
          <w:szCs w:val="24"/>
        </w:rPr>
      </w:pPr>
      <w:r w:rsidRPr="6299A84E">
        <w:rPr>
          <w:rFonts w:ascii="Arial" w:eastAsia="Calibri" w:hAnsi="Arial" w:cs="Arial"/>
          <w:b/>
          <w:sz w:val="24"/>
          <w:szCs w:val="24"/>
        </w:rPr>
        <w:t>Document for:</w:t>
      </w:r>
      <w:r>
        <w:tab/>
      </w:r>
      <w:r w:rsidR="5A9484F4" w:rsidRPr="6299A84E">
        <w:rPr>
          <w:rFonts w:ascii="Arial" w:eastAsia="Calibri" w:hAnsi="Arial" w:cs="Arial"/>
          <w:b/>
          <w:bCs/>
          <w:sz w:val="24"/>
          <w:szCs w:val="24"/>
        </w:rPr>
        <w:t>Approval</w:t>
      </w:r>
    </w:p>
    <w:p w14:paraId="4DC4EC1A" w14:textId="77777777" w:rsidR="00E323E9" w:rsidRPr="008C39F7" w:rsidRDefault="00E323E9" w:rsidP="00841BCD">
      <w:pPr>
        <w:tabs>
          <w:tab w:val="left" w:pos="1985"/>
        </w:tabs>
        <w:rPr>
          <w:rFonts w:ascii="Arial" w:eastAsia="Calibri" w:hAnsi="Arial" w:cs="Arial"/>
          <w:b/>
          <w:bCs/>
          <w:sz w:val="24"/>
        </w:rPr>
      </w:pPr>
    </w:p>
    <w:p w14:paraId="16A26E40" w14:textId="77777777" w:rsidR="00841BCD" w:rsidRPr="008C39F7" w:rsidRDefault="00841BCD" w:rsidP="00A37002">
      <w:pPr>
        <w:pStyle w:val="RAN4H1"/>
      </w:pPr>
      <w:bookmarkStart w:id="3" w:name="_Toc116995841"/>
      <w:r w:rsidRPr="008C39F7">
        <w:t>Intro</w:t>
      </w:r>
      <w:r w:rsidRPr="008C39F7">
        <w:rPr>
          <w:rStyle w:val="RAN4H1Char"/>
        </w:rPr>
        <w:t>ductio</w:t>
      </w:r>
      <w:r w:rsidRPr="008C39F7">
        <w:t>n</w:t>
      </w:r>
      <w:bookmarkEnd w:id="3"/>
    </w:p>
    <w:p w14:paraId="706C47B1" w14:textId="1D92C846" w:rsidR="00BD1219" w:rsidRPr="00887CDC" w:rsidRDefault="00BD1219" w:rsidP="00BD1219">
      <w:pPr>
        <w:rPr>
          <w:lang w:val="en-GB"/>
        </w:rPr>
      </w:pPr>
      <w:r w:rsidRPr="00887CDC">
        <w:rPr>
          <w:lang w:val="en-GB"/>
        </w:rPr>
        <w:t>In RAN4#10</w:t>
      </w:r>
      <w:r w:rsidR="00B42FBF">
        <w:rPr>
          <w:lang w:val="en-GB"/>
        </w:rPr>
        <w:t>8</w:t>
      </w:r>
      <w:r w:rsidRPr="00887CDC">
        <w:rPr>
          <w:lang w:val="en-GB"/>
        </w:rPr>
        <w:t xml:space="preserve">, the following agreements were made </w:t>
      </w:r>
      <w:r w:rsidR="00A37A03">
        <w:rPr>
          <w:lang w:val="en-GB"/>
        </w:rPr>
        <w:t xml:space="preserve">in the WF </w:t>
      </w:r>
      <w:r w:rsidRPr="00887CDC">
        <w:rPr>
          <w:lang w:val="en-GB"/>
        </w:rPr>
        <w:t>in RAN4</w:t>
      </w:r>
      <w:r w:rsidR="00F57323">
        <w:rPr>
          <w:lang w:val="en-GB"/>
        </w:rPr>
        <w:t xml:space="preserve"> RF</w:t>
      </w:r>
      <w:r w:rsidR="00A45F1A">
        <w:rPr>
          <w:lang w:val="en-GB"/>
        </w:rPr>
        <w:t xml:space="preserve"> </w:t>
      </w:r>
      <w:r w:rsidR="00A45F1A">
        <w:rPr>
          <w:lang w:val="en-GB"/>
        </w:rPr>
        <w:fldChar w:fldCharType="begin"/>
      </w:r>
      <w:r w:rsidR="00A45F1A">
        <w:rPr>
          <w:lang w:val="en-GB"/>
        </w:rPr>
        <w:instrText xml:space="preserve"> REF _Ref134529169 \n \h </w:instrText>
      </w:r>
      <w:r w:rsidR="00A45F1A">
        <w:rPr>
          <w:lang w:val="en-GB"/>
        </w:rPr>
      </w:r>
      <w:r w:rsidR="00A45F1A">
        <w:rPr>
          <w:lang w:val="en-GB"/>
        </w:rPr>
        <w:fldChar w:fldCharType="separate"/>
      </w:r>
      <w:r w:rsidR="00A45F1A">
        <w:rPr>
          <w:lang w:val="en-GB"/>
        </w:rPr>
        <w:t>[1]</w:t>
      </w:r>
      <w:r w:rsidR="00A45F1A">
        <w:rPr>
          <w:lang w:val="en-GB"/>
        </w:rPr>
        <w:fldChar w:fldCharType="end"/>
      </w:r>
      <w:r w:rsidRPr="00887CDC">
        <w:rPr>
          <w:lang w:val="en-GB"/>
        </w:rPr>
        <w:t xml:space="preserve">: </w:t>
      </w:r>
    </w:p>
    <w:tbl>
      <w:tblPr>
        <w:tblStyle w:val="TableGrid"/>
        <w:tblW w:w="0" w:type="auto"/>
        <w:tblLook w:val="04A0" w:firstRow="1" w:lastRow="0" w:firstColumn="1" w:lastColumn="0" w:noHBand="0" w:noVBand="1"/>
      </w:tblPr>
      <w:tblGrid>
        <w:gridCol w:w="9617"/>
      </w:tblGrid>
      <w:tr w:rsidR="00A45F1A" w14:paraId="4F3476A3" w14:textId="77777777" w:rsidTr="00A45F1A">
        <w:tc>
          <w:tcPr>
            <w:tcW w:w="9617" w:type="dxa"/>
          </w:tcPr>
          <w:p w14:paraId="51B7492F" w14:textId="77777777" w:rsidR="00B42FBF" w:rsidRPr="00B42FBF" w:rsidRDefault="00B42FBF" w:rsidP="00B42FBF">
            <w:pPr>
              <w:spacing w:after="180"/>
              <w:rPr>
                <w:rFonts w:eastAsia="Times New Roman" w:cs="Times New Roman"/>
                <w:b/>
                <w:bCs/>
                <w:szCs w:val="20"/>
                <w:u w:val="single"/>
                <w:lang w:val="en-GB"/>
              </w:rPr>
            </w:pPr>
            <w:r w:rsidRPr="00B42FBF">
              <w:rPr>
                <w:rFonts w:eastAsia="Times New Roman" w:cs="Times New Roman"/>
                <w:b/>
                <w:bCs/>
                <w:szCs w:val="20"/>
                <w:u w:val="single"/>
                <w:lang w:val="en-GB"/>
              </w:rPr>
              <w:t>Issue 1-1: TAE</w:t>
            </w:r>
          </w:p>
          <w:p w14:paraId="7F7F7C6B" w14:textId="77777777" w:rsidR="00B42FBF" w:rsidRPr="00B42FBF" w:rsidRDefault="00B42FBF" w:rsidP="00B42FBF">
            <w:pPr>
              <w:spacing w:after="120"/>
              <w:ind w:left="360"/>
              <w:textAlignment w:val="center"/>
              <w:rPr>
                <w:rFonts w:eastAsia="Times New Roman" w:cs="Times New Roman"/>
                <w:szCs w:val="20"/>
                <w:lang w:val="en-GB"/>
              </w:rPr>
            </w:pPr>
            <w:r w:rsidRPr="00B42FBF">
              <w:rPr>
                <w:rFonts w:eastAsia="Times New Roman" w:cs="Times New Roman"/>
                <w:szCs w:val="20"/>
                <w:lang w:val="en-GB"/>
              </w:rPr>
              <w:t xml:space="preserve">Agreement: </w:t>
            </w:r>
          </w:p>
          <w:p w14:paraId="58D507BC" w14:textId="77777777" w:rsidR="00B42FBF" w:rsidRPr="00B42FBF" w:rsidRDefault="00B42FBF" w:rsidP="007A0BCF">
            <w:pPr>
              <w:numPr>
                <w:ilvl w:val="0"/>
                <w:numId w:val="8"/>
              </w:numPr>
              <w:spacing w:after="120"/>
              <w:textAlignment w:val="center"/>
              <w:rPr>
                <w:rFonts w:eastAsia="Times New Roman" w:cs="Times New Roman"/>
                <w:szCs w:val="20"/>
                <w:lang w:val="en-GB"/>
              </w:rPr>
            </w:pPr>
            <w:r w:rsidRPr="00B42FBF">
              <w:rPr>
                <w:rFonts w:eastAsia="Times New Roman" w:cs="Times New Roman" w:hint="eastAsia"/>
                <w:szCs w:val="20"/>
                <w:lang w:val="en-GB"/>
              </w:rPr>
              <w:t>Alternative #1:</w:t>
            </w:r>
          </w:p>
          <w:p w14:paraId="7F96A2AA" w14:textId="77777777" w:rsidR="00B42FBF" w:rsidRPr="00B42FBF" w:rsidRDefault="00B42FBF" w:rsidP="007A0BCF">
            <w:pPr>
              <w:numPr>
                <w:ilvl w:val="1"/>
                <w:numId w:val="12"/>
              </w:numPr>
              <w:spacing w:after="120"/>
              <w:textAlignment w:val="center"/>
              <w:rPr>
                <w:rFonts w:eastAsia="Times New Roman" w:cs="Times New Roman"/>
                <w:szCs w:val="20"/>
                <w:lang w:val="en-GB"/>
              </w:rPr>
            </w:pPr>
            <w:r w:rsidRPr="00B42FBF">
              <w:rPr>
                <w:rFonts w:eastAsia="Times New Roman" w:cs="Times New Roman"/>
                <w:szCs w:val="20"/>
                <w:lang w:val="en-GB"/>
              </w:rPr>
              <w:t xml:space="preserve">Do not specify the BS TAE requirements of SSB-less operation for FR1 co-located inter-band </w:t>
            </w:r>
            <w:proofErr w:type="gramStart"/>
            <w:r w:rsidRPr="00B42FBF">
              <w:rPr>
                <w:rFonts w:eastAsia="Times New Roman" w:cs="Times New Roman"/>
                <w:szCs w:val="20"/>
                <w:lang w:val="en-GB"/>
              </w:rPr>
              <w:t>CA</w:t>
            </w:r>
            <w:proofErr w:type="gramEnd"/>
            <w:r w:rsidRPr="00B42FBF">
              <w:rPr>
                <w:rFonts w:eastAsia="Times New Roman" w:cs="Times New Roman"/>
                <w:szCs w:val="20"/>
                <w:lang w:val="en-GB"/>
              </w:rPr>
              <w:t xml:space="preserve"> </w:t>
            </w:r>
          </w:p>
          <w:p w14:paraId="50EB5F20" w14:textId="77777777" w:rsidR="00B42FBF" w:rsidRPr="00B42FBF" w:rsidRDefault="00B42FBF" w:rsidP="007A0BCF">
            <w:pPr>
              <w:numPr>
                <w:ilvl w:val="1"/>
                <w:numId w:val="12"/>
              </w:numPr>
              <w:spacing w:after="120"/>
              <w:textAlignment w:val="center"/>
              <w:rPr>
                <w:rFonts w:eastAsia="Times New Roman" w:cs="Times New Roman"/>
                <w:szCs w:val="20"/>
                <w:lang w:val="en-GB"/>
              </w:rPr>
            </w:pPr>
            <w:r w:rsidRPr="00B42FBF">
              <w:rPr>
                <w:rFonts w:eastAsia="Times New Roman" w:cs="Times New Roman"/>
                <w:szCs w:val="20"/>
                <w:lang w:val="en-GB"/>
              </w:rPr>
              <w:t xml:space="preserve">Define the side condition of RTD to ensure UE performance </w:t>
            </w:r>
            <w:r w:rsidRPr="00B42FBF">
              <w:rPr>
                <w:rFonts w:eastAsia="Times New Roman" w:cs="Times New Roman" w:hint="eastAsia"/>
                <w:szCs w:val="20"/>
                <w:lang w:val="en-GB"/>
              </w:rPr>
              <w:t>i</w:t>
            </w:r>
            <w:r w:rsidRPr="00B42FBF">
              <w:rPr>
                <w:rFonts w:eastAsia="Times New Roman" w:cs="Times New Roman"/>
                <w:szCs w:val="20"/>
                <w:lang w:val="en-GB"/>
              </w:rPr>
              <w:t>n RRM part.</w:t>
            </w:r>
          </w:p>
          <w:p w14:paraId="70AD22C4" w14:textId="77777777" w:rsidR="00B42FBF" w:rsidRPr="00B42FBF" w:rsidRDefault="00B42FBF" w:rsidP="007A0BCF">
            <w:pPr>
              <w:numPr>
                <w:ilvl w:val="0"/>
                <w:numId w:val="8"/>
              </w:numPr>
              <w:spacing w:after="120"/>
              <w:textAlignment w:val="center"/>
              <w:rPr>
                <w:rFonts w:eastAsia="Times New Roman" w:cs="Times New Roman"/>
                <w:szCs w:val="20"/>
                <w:lang w:val="en-GB"/>
              </w:rPr>
            </w:pPr>
            <w:r w:rsidRPr="00B42FBF">
              <w:rPr>
                <w:rFonts w:eastAsia="Times New Roman" w:cs="Times New Roman"/>
                <w:szCs w:val="20"/>
                <w:lang w:val="en-GB"/>
              </w:rPr>
              <w:t>Alternative #2:</w:t>
            </w:r>
          </w:p>
          <w:p w14:paraId="3D1BB8BB" w14:textId="77777777" w:rsidR="00B42FBF" w:rsidRPr="00B42FBF" w:rsidRDefault="00B42FBF" w:rsidP="007A0BCF">
            <w:pPr>
              <w:pStyle w:val="ListParagraph"/>
              <w:numPr>
                <w:ilvl w:val="1"/>
                <w:numId w:val="13"/>
              </w:numPr>
              <w:spacing w:after="120"/>
              <w:textAlignment w:val="center"/>
              <w:rPr>
                <w:rFonts w:eastAsia="Times New Roman" w:cs="Times New Roman"/>
                <w:szCs w:val="20"/>
                <w:lang w:val="en-GB"/>
              </w:rPr>
            </w:pPr>
            <w:r w:rsidRPr="00B42FBF">
              <w:rPr>
                <w:rFonts w:eastAsia="Times New Roman" w:cs="Times New Roman"/>
                <w:szCs w:val="20"/>
                <w:lang w:val="en-GB"/>
              </w:rPr>
              <w:t xml:space="preserve">Specify BS TAE </w:t>
            </w:r>
            <w:proofErr w:type="gramStart"/>
            <w:r w:rsidRPr="00B42FBF">
              <w:rPr>
                <w:rFonts w:eastAsia="Times New Roman" w:cs="Times New Roman"/>
                <w:szCs w:val="20"/>
                <w:lang w:val="en-GB"/>
              </w:rPr>
              <w:t>requirements</w:t>
            </w:r>
            <w:proofErr w:type="gramEnd"/>
          </w:p>
          <w:p w14:paraId="6B8ABDC4" w14:textId="77777777" w:rsidR="00B42FBF" w:rsidRPr="00B42FBF" w:rsidRDefault="00B42FBF" w:rsidP="007A0BCF">
            <w:pPr>
              <w:numPr>
                <w:ilvl w:val="2"/>
                <w:numId w:val="14"/>
              </w:numPr>
              <w:spacing w:after="120"/>
              <w:textAlignment w:val="center"/>
              <w:rPr>
                <w:rFonts w:eastAsia="Times New Roman" w:cs="Times New Roman"/>
                <w:szCs w:val="20"/>
                <w:lang w:val="en-GB"/>
              </w:rPr>
            </w:pPr>
            <w:r w:rsidRPr="00B42FBF">
              <w:rPr>
                <w:rFonts w:eastAsia="Times New Roman" w:cs="Times New Roman"/>
                <w:szCs w:val="20"/>
                <w:lang w:val="en-GB"/>
              </w:rPr>
              <w:t xml:space="preserve">FFS on </w:t>
            </w:r>
            <w:proofErr w:type="gramStart"/>
            <w:r w:rsidRPr="00B42FBF">
              <w:rPr>
                <w:rFonts w:eastAsia="Times New Roman" w:cs="Times New Roman"/>
                <w:szCs w:val="20"/>
                <w:lang w:val="en-GB"/>
              </w:rPr>
              <w:t>values</w:t>
            </w:r>
            <w:proofErr w:type="gramEnd"/>
            <w:r w:rsidRPr="00B42FBF">
              <w:rPr>
                <w:rFonts w:eastAsia="Times New Roman" w:cs="Times New Roman"/>
                <w:szCs w:val="20"/>
                <w:lang w:val="en-GB"/>
              </w:rPr>
              <w:t xml:space="preserve"> </w:t>
            </w:r>
          </w:p>
          <w:p w14:paraId="449EEE41" w14:textId="77777777" w:rsidR="00B42FBF" w:rsidRPr="00B42FBF" w:rsidRDefault="00B42FBF" w:rsidP="00B42FBF">
            <w:pPr>
              <w:spacing w:after="120"/>
              <w:ind w:left="360"/>
              <w:textAlignment w:val="center"/>
              <w:rPr>
                <w:rFonts w:eastAsia="Times New Roman" w:cs="Times New Roman"/>
                <w:szCs w:val="20"/>
                <w:lang w:val="en-GB"/>
              </w:rPr>
            </w:pPr>
          </w:p>
          <w:p w14:paraId="20271CBD" w14:textId="77777777" w:rsidR="00B42FBF" w:rsidRPr="00B42FBF" w:rsidRDefault="00B42FBF" w:rsidP="00B42FBF">
            <w:pPr>
              <w:spacing w:after="180"/>
              <w:rPr>
                <w:rFonts w:eastAsia="Times New Roman" w:cs="Times New Roman"/>
                <w:b/>
                <w:bCs/>
                <w:szCs w:val="20"/>
                <w:u w:val="single"/>
                <w:lang w:val="en-GB"/>
              </w:rPr>
            </w:pPr>
            <w:r w:rsidRPr="00B42FBF">
              <w:rPr>
                <w:rFonts w:eastAsia="Times New Roman" w:cs="Times New Roman"/>
                <w:b/>
                <w:bCs/>
                <w:szCs w:val="20"/>
                <w:u w:val="single"/>
                <w:lang w:val="en-GB"/>
              </w:rPr>
              <w:t>Issue 1-4: other UE related considerations</w:t>
            </w:r>
          </w:p>
          <w:p w14:paraId="1786526F" w14:textId="77777777" w:rsidR="00B42FBF" w:rsidRPr="00B42FBF" w:rsidRDefault="00B42FBF" w:rsidP="00B42FBF">
            <w:pPr>
              <w:spacing w:after="120"/>
              <w:ind w:left="360"/>
              <w:textAlignment w:val="center"/>
              <w:rPr>
                <w:rFonts w:eastAsia="Times New Roman" w:cs="Times New Roman"/>
                <w:szCs w:val="20"/>
                <w:lang w:val="en-GB"/>
              </w:rPr>
            </w:pPr>
            <w:r w:rsidRPr="00B42FBF">
              <w:rPr>
                <w:rFonts w:eastAsia="Times New Roman" w:cs="Times New Roman" w:hint="eastAsia"/>
                <w:szCs w:val="20"/>
                <w:lang w:val="en-GB"/>
              </w:rPr>
              <w:t>Agreement:</w:t>
            </w:r>
          </w:p>
          <w:p w14:paraId="26135870" w14:textId="320DE46C" w:rsidR="00A45F1A" w:rsidRPr="00944E2F" w:rsidRDefault="00B42FBF" w:rsidP="007A0BCF">
            <w:pPr>
              <w:numPr>
                <w:ilvl w:val="0"/>
                <w:numId w:val="8"/>
              </w:numPr>
              <w:spacing w:after="120"/>
              <w:textAlignment w:val="center"/>
              <w:rPr>
                <w:lang w:val="en-GB"/>
              </w:rPr>
            </w:pPr>
            <w:r w:rsidRPr="00B42FBF">
              <w:rPr>
                <w:rFonts w:eastAsia="Times New Roman" w:cs="Times New Roman"/>
                <w:szCs w:val="20"/>
                <w:lang w:val="en-GB"/>
              </w:rPr>
              <w:t>No new UE RF requirements are defined for R18 NES feature.</w:t>
            </w:r>
          </w:p>
        </w:tc>
      </w:tr>
    </w:tbl>
    <w:p w14:paraId="05074538" w14:textId="77777777" w:rsidR="00B542DA" w:rsidRPr="008C39F7" w:rsidRDefault="00B542DA" w:rsidP="005C23A4"/>
    <w:p w14:paraId="31B4A3C3" w14:textId="12F3FE8B" w:rsidR="0060543D" w:rsidRPr="008C39F7" w:rsidRDefault="00A45F1A" w:rsidP="005C23A4">
      <w:r>
        <w:t xml:space="preserve">In this </w:t>
      </w:r>
      <w:r w:rsidR="00E33745">
        <w:t>contribution</w:t>
      </w:r>
      <w:r>
        <w:t xml:space="preserve">, we </w:t>
      </w:r>
      <w:r w:rsidR="00DA326F">
        <w:t xml:space="preserve">continue </w:t>
      </w:r>
      <w:r>
        <w:t>discuss</w:t>
      </w:r>
      <w:r w:rsidR="00DA326F">
        <w:t>ion</w:t>
      </w:r>
      <w:r>
        <w:t xml:space="preserve"> </w:t>
      </w:r>
      <w:r w:rsidR="001F4C0D">
        <w:t xml:space="preserve">about </w:t>
      </w:r>
      <w:r w:rsidR="00143A62">
        <w:t xml:space="preserve">NES RF requirements including </w:t>
      </w:r>
      <w:r w:rsidR="001F4C0D">
        <w:t xml:space="preserve">the </w:t>
      </w:r>
      <w:r w:rsidR="00E33745">
        <w:t>Time alignment error (TAE) requirement</w:t>
      </w:r>
      <w:r w:rsidR="00691C47">
        <w:t>.</w:t>
      </w:r>
    </w:p>
    <w:p w14:paraId="79FB2EB4" w14:textId="77777777" w:rsidR="003B659E" w:rsidRPr="008C39F7" w:rsidRDefault="003B659E" w:rsidP="00AE56B1">
      <w:pPr>
        <w:pStyle w:val="RAN4H1"/>
      </w:pPr>
      <w:bookmarkStart w:id="4" w:name="_Toc116995842"/>
      <w:r w:rsidRPr="008C39F7">
        <w:t>Discussion</w:t>
      </w:r>
      <w:bookmarkEnd w:id="4"/>
    </w:p>
    <w:p w14:paraId="55CFEB54" w14:textId="79104B5A" w:rsidR="00A37A03" w:rsidRPr="005041FE" w:rsidRDefault="000E5EFC" w:rsidP="00A37A03">
      <w:pPr>
        <w:rPr>
          <w:b/>
          <w:sz w:val="24"/>
          <w:szCs w:val="28"/>
          <w:lang w:eastAsia="ko-KR"/>
        </w:rPr>
      </w:pPr>
      <w:r w:rsidRPr="005041FE">
        <w:rPr>
          <w:b/>
          <w:sz w:val="24"/>
          <w:szCs w:val="28"/>
          <w:lang w:eastAsia="ko-KR"/>
        </w:rPr>
        <w:t xml:space="preserve">2.1 </w:t>
      </w:r>
      <w:r w:rsidR="00DA326F" w:rsidRPr="005041FE">
        <w:rPr>
          <w:b/>
          <w:sz w:val="24"/>
          <w:szCs w:val="28"/>
          <w:lang w:eastAsia="ko-KR"/>
        </w:rPr>
        <w:t>Time alignment error</w:t>
      </w:r>
    </w:p>
    <w:p w14:paraId="43CD0848" w14:textId="4430BCF8" w:rsidR="0055085B" w:rsidRDefault="0055085B" w:rsidP="00A37A03">
      <w:pPr>
        <w:rPr>
          <w:rFonts w:eastAsia="Times New Roman" w:cs="Times New Roman"/>
          <w:szCs w:val="20"/>
          <w:lang w:val="en-GB"/>
        </w:rPr>
      </w:pPr>
      <w:r>
        <w:t xml:space="preserve">In RAN4 RF, two alternatives have been proposed regarding the TAE in the last meeting. Basically, </w:t>
      </w:r>
      <w:bookmarkStart w:id="5" w:name="_Hlk146012627"/>
      <w:r>
        <w:t>in Alternative #1</w:t>
      </w:r>
      <w:bookmarkEnd w:id="5"/>
      <w:r>
        <w:t xml:space="preserve">, RAN4 RF will not </w:t>
      </w:r>
      <w:r w:rsidRPr="00B42FBF">
        <w:rPr>
          <w:rFonts w:eastAsia="Times New Roman" w:cs="Times New Roman"/>
          <w:szCs w:val="20"/>
          <w:lang w:val="en-GB"/>
        </w:rPr>
        <w:t xml:space="preserve">specify the BS TAE requirements </w:t>
      </w:r>
      <w:bookmarkStart w:id="6" w:name="_Hlk146015097"/>
      <w:r w:rsidRPr="00B42FBF">
        <w:rPr>
          <w:rFonts w:eastAsia="Times New Roman" w:cs="Times New Roman"/>
          <w:szCs w:val="20"/>
          <w:lang w:val="en-GB"/>
        </w:rPr>
        <w:t>of SSB-less operation for FR1 co-located inter-band CA</w:t>
      </w:r>
      <w:bookmarkEnd w:id="6"/>
      <w:r>
        <w:rPr>
          <w:rFonts w:eastAsia="Times New Roman" w:cs="Times New Roman"/>
          <w:szCs w:val="20"/>
          <w:lang w:val="en-GB"/>
        </w:rPr>
        <w:t>. Instead, RAN4 RRM will specify the side conditions for RTD to ensure the UE performance.  I</w:t>
      </w:r>
      <w:r w:rsidRPr="0055085B">
        <w:rPr>
          <w:rFonts w:eastAsia="Times New Roman" w:cs="Times New Roman"/>
          <w:szCs w:val="20"/>
          <w:lang w:val="en-GB"/>
        </w:rPr>
        <w:t>n Alternative #</w:t>
      </w:r>
      <w:r>
        <w:rPr>
          <w:rFonts w:eastAsia="Times New Roman" w:cs="Times New Roman"/>
          <w:szCs w:val="20"/>
          <w:lang w:val="en-GB"/>
        </w:rPr>
        <w:t xml:space="preserve">2, the idea is to specify new BS TAE requirements to support </w:t>
      </w:r>
      <w:r w:rsidRPr="0055085B">
        <w:rPr>
          <w:rFonts w:eastAsia="Times New Roman" w:cs="Times New Roman"/>
          <w:szCs w:val="20"/>
          <w:lang w:val="en-GB"/>
        </w:rPr>
        <w:t>SSB-less operation for FR1 co-located inter-band CA</w:t>
      </w:r>
      <w:r>
        <w:rPr>
          <w:rFonts w:eastAsia="Times New Roman" w:cs="Times New Roman"/>
          <w:szCs w:val="20"/>
          <w:lang w:val="en-GB"/>
        </w:rPr>
        <w:t xml:space="preserve">. </w:t>
      </w:r>
    </w:p>
    <w:p w14:paraId="55244741" w14:textId="428CC25E" w:rsidR="00520A40" w:rsidRDefault="00520A40" w:rsidP="00A37A03">
      <w:pPr>
        <w:rPr>
          <w:rFonts w:eastAsia="Times New Roman" w:cs="Times New Roman"/>
          <w:szCs w:val="20"/>
          <w:lang w:val="en-GB"/>
        </w:rPr>
      </w:pPr>
      <w:r>
        <w:rPr>
          <w:rFonts w:eastAsia="Times New Roman" w:cs="Times New Roman"/>
          <w:szCs w:val="20"/>
          <w:lang w:val="en-GB"/>
        </w:rPr>
        <w:t xml:space="preserve">In the last meeting, </w:t>
      </w:r>
      <w:r w:rsidR="00143A62">
        <w:rPr>
          <w:rFonts w:eastAsia="Times New Roman" w:cs="Times New Roman"/>
          <w:szCs w:val="20"/>
          <w:lang w:val="en-GB"/>
        </w:rPr>
        <w:t xml:space="preserve">during </w:t>
      </w:r>
      <w:r>
        <w:rPr>
          <w:rFonts w:eastAsia="Times New Roman" w:cs="Times New Roman"/>
          <w:szCs w:val="20"/>
          <w:lang w:val="en-GB"/>
        </w:rPr>
        <w:t xml:space="preserve">RRM </w:t>
      </w:r>
      <w:r w:rsidR="00143A62">
        <w:rPr>
          <w:rFonts w:eastAsia="Times New Roman" w:cs="Times New Roman"/>
          <w:szCs w:val="20"/>
          <w:lang w:val="en-GB"/>
        </w:rPr>
        <w:t xml:space="preserve">part discussions the </w:t>
      </w:r>
      <w:r>
        <w:rPr>
          <w:rFonts w:eastAsia="Times New Roman" w:cs="Times New Roman"/>
          <w:szCs w:val="20"/>
          <w:lang w:val="en-GB"/>
        </w:rPr>
        <w:t xml:space="preserve">following </w:t>
      </w:r>
      <w:r w:rsidR="00823BA7">
        <w:rPr>
          <w:rFonts w:eastAsia="Times New Roman" w:cs="Times New Roman"/>
          <w:szCs w:val="20"/>
          <w:lang w:val="en-GB"/>
        </w:rPr>
        <w:t>agreements</w:t>
      </w:r>
      <w:r w:rsidR="00143A62">
        <w:rPr>
          <w:rFonts w:eastAsia="Times New Roman" w:cs="Times New Roman"/>
          <w:szCs w:val="20"/>
          <w:lang w:val="en-GB"/>
        </w:rPr>
        <w:t xml:space="preserve"> were made</w:t>
      </w:r>
      <w:r w:rsidR="00716B16">
        <w:rPr>
          <w:rFonts w:eastAsia="Times New Roman" w:cs="Times New Roman"/>
          <w:szCs w:val="20"/>
          <w:lang w:val="en-GB"/>
        </w:rPr>
        <w:t xml:space="preserve"> </w:t>
      </w:r>
      <w:r w:rsidR="00716B16">
        <w:rPr>
          <w:rFonts w:eastAsia="Times New Roman" w:cs="Times New Roman"/>
          <w:szCs w:val="20"/>
          <w:lang w:val="en-GB"/>
        </w:rPr>
        <w:fldChar w:fldCharType="begin"/>
      </w:r>
      <w:r w:rsidR="00716B16">
        <w:rPr>
          <w:rFonts w:eastAsia="Times New Roman" w:cs="Times New Roman"/>
          <w:szCs w:val="20"/>
          <w:lang w:val="en-GB"/>
        </w:rPr>
        <w:instrText xml:space="preserve"> REF _Ref146014800 \n \h </w:instrText>
      </w:r>
      <w:r w:rsidR="00716B16">
        <w:rPr>
          <w:rFonts w:eastAsia="Times New Roman" w:cs="Times New Roman"/>
          <w:szCs w:val="20"/>
          <w:lang w:val="en-GB"/>
        </w:rPr>
      </w:r>
      <w:r w:rsidR="00716B16">
        <w:rPr>
          <w:rFonts w:eastAsia="Times New Roman" w:cs="Times New Roman"/>
          <w:szCs w:val="20"/>
          <w:lang w:val="en-GB"/>
        </w:rPr>
        <w:fldChar w:fldCharType="separate"/>
      </w:r>
      <w:r w:rsidR="00716B16">
        <w:rPr>
          <w:rFonts w:eastAsia="Times New Roman" w:cs="Times New Roman"/>
          <w:szCs w:val="20"/>
          <w:lang w:val="en-GB"/>
        </w:rPr>
        <w:t>[2]</w:t>
      </w:r>
      <w:r w:rsidR="00716B16">
        <w:rPr>
          <w:rFonts w:eastAsia="Times New Roman" w:cs="Times New Roman"/>
          <w:szCs w:val="20"/>
          <w:lang w:val="en-GB"/>
        </w:rPr>
        <w:fldChar w:fldCharType="end"/>
      </w:r>
      <w:r w:rsidR="00143A62">
        <w:rPr>
          <w:rFonts w:eastAsia="Times New Roman" w:cs="Times New Roman"/>
          <w:szCs w:val="20"/>
          <w:lang w:val="en-GB"/>
        </w:rPr>
        <w:t>:</w:t>
      </w:r>
    </w:p>
    <w:tbl>
      <w:tblPr>
        <w:tblStyle w:val="TableGrid"/>
        <w:tblW w:w="0" w:type="auto"/>
        <w:tblLook w:val="04A0" w:firstRow="1" w:lastRow="0" w:firstColumn="1" w:lastColumn="0" w:noHBand="0" w:noVBand="1"/>
      </w:tblPr>
      <w:tblGrid>
        <w:gridCol w:w="9617"/>
      </w:tblGrid>
      <w:tr w:rsidR="00520A40" w14:paraId="1353481D" w14:textId="77777777" w:rsidTr="00520A40">
        <w:tc>
          <w:tcPr>
            <w:tcW w:w="9617" w:type="dxa"/>
          </w:tcPr>
          <w:p w14:paraId="693B3129" w14:textId="77777777" w:rsidR="00520A40" w:rsidRPr="00520A40" w:rsidRDefault="00520A40" w:rsidP="00520A40">
            <w:pPr>
              <w:spacing w:after="180"/>
              <w:rPr>
                <w:rFonts w:eastAsia="Times New Roman" w:cs="Times New Roman"/>
                <w:b/>
                <w:bCs/>
                <w:szCs w:val="20"/>
                <w:u w:val="single"/>
                <w:lang w:val="en-GB"/>
              </w:rPr>
            </w:pPr>
            <w:r w:rsidRPr="00520A40">
              <w:rPr>
                <w:rFonts w:eastAsia="Times New Roman" w:cs="Times New Roman"/>
                <w:b/>
                <w:bCs/>
                <w:szCs w:val="20"/>
                <w:u w:val="single"/>
                <w:lang w:val="en-GB"/>
              </w:rPr>
              <w:t>Issue 1-2-1: RTD conditions for scenario 1</w:t>
            </w:r>
          </w:p>
          <w:p w14:paraId="3D166876" w14:textId="77777777" w:rsidR="00520A40" w:rsidRDefault="00520A40" w:rsidP="00520A40">
            <w:pPr>
              <w:spacing w:after="180"/>
              <w:ind w:left="314"/>
              <w:rPr>
                <w:rFonts w:eastAsia="Times New Roman" w:cs="Times New Roman"/>
                <w:szCs w:val="20"/>
                <w:lang w:val="en-GB"/>
              </w:rPr>
            </w:pPr>
            <w:r w:rsidRPr="00520A40">
              <w:rPr>
                <w:rFonts w:eastAsia="Times New Roman" w:cs="Times New Roman"/>
                <w:szCs w:val="20"/>
                <w:lang w:val="en-GB"/>
              </w:rPr>
              <w:t>Agreements</w:t>
            </w:r>
          </w:p>
          <w:p w14:paraId="44AD0517" w14:textId="77777777" w:rsidR="00520A40" w:rsidRPr="00520A40" w:rsidRDefault="00520A40" w:rsidP="007A0BCF">
            <w:pPr>
              <w:pStyle w:val="ListParagraph"/>
              <w:numPr>
                <w:ilvl w:val="0"/>
                <w:numId w:val="14"/>
              </w:numPr>
              <w:spacing w:after="180"/>
              <w:rPr>
                <w:rFonts w:eastAsia="Times New Roman" w:cs="Times New Roman"/>
                <w:szCs w:val="20"/>
                <w:lang w:val="en-GB"/>
              </w:rPr>
            </w:pPr>
            <w:r>
              <w:t xml:space="preserve">Define requirements for RTD </w:t>
            </w:r>
            <w:r>
              <w:rPr>
                <w:rFonts w:hint="eastAsia"/>
              </w:rPr>
              <w:t>≤</w:t>
            </w:r>
            <w:r>
              <w:t xml:space="preserve"> </w:t>
            </w:r>
            <w:proofErr w:type="gramStart"/>
            <w:r>
              <w:t>CP</w:t>
            </w:r>
            <w:proofErr w:type="gramEnd"/>
          </w:p>
          <w:p w14:paraId="119C4291" w14:textId="77777777" w:rsidR="00823BA7" w:rsidRPr="00823BA7" w:rsidRDefault="00520A40" w:rsidP="007A0BCF">
            <w:pPr>
              <w:pStyle w:val="ListParagraph"/>
              <w:numPr>
                <w:ilvl w:val="1"/>
                <w:numId w:val="14"/>
              </w:numPr>
              <w:spacing w:after="180"/>
              <w:rPr>
                <w:rFonts w:eastAsia="Times New Roman" w:cs="Times New Roman"/>
                <w:szCs w:val="20"/>
                <w:lang w:val="en-GB"/>
              </w:rPr>
            </w:pPr>
            <w:r>
              <w:t>note: the CP corresponding to the [largest SCS across CCs or SCell SCS]</w:t>
            </w:r>
          </w:p>
          <w:p w14:paraId="071ACA7C" w14:textId="77777777" w:rsidR="00823BA7" w:rsidRDefault="00520A40" w:rsidP="007A0BCF">
            <w:pPr>
              <w:pStyle w:val="ListParagraph"/>
              <w:numPr>
                <w:ilvl w:val="0"/>
                <w:numId w:val="14"/>
              </w:numPr>
              <w:spacing w:after="180"/>
            </w:pPr>
            <w:r>
              <w:t xml:space="preserve">FFS if additional requirements shall be considered for RTD </w:t>
            </w:r>
            <w:r>
              <w:rPr>
                <w:rFonts w:hint="eastAsia"/>
              </w:rPr>
              <w:t>≤</w:t>
            </w:r>
            <w:r>
              <w:t xml:space="preserve"> </w:t>
            </w:r>
            <w:proofErr w:type="gramStart"/>
            <w:r>
              <w:t>260ns</w:t>
            </w:r>
            <w:proofErr w:type="gramEnd"/>
          </w:p>
          <w:p w14:paraId="4F874447" w14:textId="3B996740" w:rsidR="00520A40" w:rsidRDefault="00520A40" w:rsidP="007A0BCF">
            <w:pPr>
              <w:pStyle w:val="ListParagraph"/>
              <w:numPr>
                <w:ilvl w:val="0"/>
                <w:numId w:val="14"/>
              </w:numPr>
              <w:spacing w:after="180"/>
            </w:pPr>
            <w:r>
              <w:lastRenderedPageBreak/>
              <w:t xml:space="preserve">Performance requirements (RRM and/or demodulation) need to be introduced for the scenario with RTD </w:t>
            </w:r>
            <w:r>
              <w:rPr>
                <w:rFonts w:hint="eastAsia"/>
              </w:rPr>
              <w:t>≤</w:t>
            </w:r>
            <w:r>
              <w:t xml:space="preserve"> CP to guarantee proper performance on the SCell</w:t>
            </w:r>
          </w:p>
        </w:tc>
      </w:tr>
    </w:tbl>
    <w:p w14:paraId="307CB470" w14:textId="77777777" w:rsidR="00520A40" w:rsidRDefault="00520A40" w:rsidP="00A37A03"/>
    <w:p w14:paraId="239D2F49" w14:textId="4344492E" w:rsidR="00823BA7" w:rsidRDefault="00827814" w:rsidP="00A37A03">
      <w:r>
        <w:t>As highlighted in our previous contributions,</w:t>
      </w:r>
      <w:r w:rsidRPr="00827814">
        <w:t xml:space="preserve"> </w:t>
      </w:r>
      <w:r>
        <w:t>c</w:t>
      </w:r>
      <w:r w:rsidRPr="00827814">
        <w:t xml:space="preserve">hanging the TAE defined for the inter-band case may cause lot of compatibility issues in the existing networks. </w:t>
      </w:r>
      <w:r>
        <w:t>Furthermore, collocated deployment does not necessarily imply smaller TAE values; this</w:t>
      </w:r>
      <w:r w:rsidRPr="00827814">
        <w:t xml:space="preserve"> value depends on many factors such as RU architecture, how the RUs </w:t>
      </w:r>
      <w:proofErr w:type="gramStart"/>
      <w:r w:rsidRPr="00827814">
        <w:t>are connected with</w:t>
      </w:r>
      <w:proofErr w:type="gramEnd"/>
      <w:r w:rsidRPr="00827814">
        <w:t xml:space="preserve"> BBU, synchronization methodology, et Having co-location does not necessarily ensure lower TAE always; there are many other factors that impact the TAE value such as RU architecture, how the RUs are connected with the BBU, synchronization methodology, etc. </w:t>
      </w:r>
    </w:p>
    <w:p w14:paraId="67DAAC80" w14:textId="77777777" w:rsidR="00143A62" w:rsidRDefault="00143A62" w:rsidP="00143A62">
      <w:r w:rsidRPr="00A1735C">
        <w:rPr>
          <w:b/>
          <w:bCs/>
        </w:rPr>
        <w:t>Observation 1:</w:t>
      </w:r>
      <w:r>
        <w:t xml:space="preserve"> C</w:t>
      </w:r>
      <w:r w:rsidRPr="00143A62">
        <w:t>hanging the TAE defined for the inter-band case may cause lot of compatibility issues in the existing networks.</w:t>
      </w:r>
    </w:p>
    <w:p w14:paraId="26932F5F" w14:textId="4906BC90" w:rsidR="00716B16" w:rsidRDefault="00716B16" w:rsidP="00716B16">
      <w:r>
        <w:t>Instead of changing TAE, a sensible way to enable SSB-less SCell operation is to rely on the RTD conditions defined in RRM. If the network knows, for e.g., whether RTD is within the CP or it exceeds CP, the network can act accordingly and decide whether to activate SSB-less SCell operation or not. Thus, BS TAE value does not need to be modified to enable SSB-less SCell feature. On the other hand, from UE implementation perspective, if any or none of the above sets cannot be supported by a particular UE, then we do not see any impact of changing TAE to support SSB-less SCell operation</w:t>
      </w:r>
      <w:r w:rsidR="0060376C">
        <w:t xml:space="preserve"> </w:t>
      </w:r>
      <w:r w:rsidR="0060376C">
        <w:fldChar w:fldCharType="begin"/>
      </w:r>
      <w:r w:rsidR="0060376C">
        <w:instrText xml:space="preserve"> REF _Ref146710140 \n \h </w:instrText>
      </w:r>
      <w:r w:rsidR="0060376C">
        <w:fldChar w:fldCharType="separate"/>
      </w:r>
      <w:r w:rsidR="0060376C">
        <w:t>[3]</w:t>
      </w:r>
      <w:r w:rsidR="0060376C">
        <w:fldChar w:fldCharType="end"/>
      </w:r>
      <w:r>
        <w:t xml:space="preserve">. </w:t>
      </w:r>
    </w:p>
    <w:p w14:paraId="5D9B36D3" w14:textId="475004EE" w:rsidR="00716B16" w:rsidRDefault="00716B16" w:rsidP="00A37A03">
      <w:r>
        <w:t xml:space="preserve">Thus, we support Alternative #1 </w:t>
      </w:r>
      <w:r w:rsidR="00322374">
        <w:t>to</w:t>
      </w:r>
      <w:r>
        <w:t xml:space="preserve"> enable </w:t>
      </w:r>
      <w:r w:rsidRPr="00716B16">
        <w:t>SSB-less operation for FR1 co-located inter-band CA</w:t>
      </w:r>
      <w:r>
        <w:t xml:space="preserve"> for network energy saving.</w:t>
      </w:r>
    </w:p>
    <w:p w14:paraId="636158C8" w14:textId="5FBB6894" w:rsidR="00716B16" w:rsidRDefault="00716B16" w:rsidP="007E6638">
      <w:pPr>
        <w:pStyle w:val="RAN4proposal"/>
      </w:pPr>
      <w:r>
        <w:t xml:space="preserve">Support Alternative #1 to enable </w:t>
      </w:r>
      <w:r w:rsidR="00322374" w:rsidRPr="00322374">
        <w:t>SSB-less operation for FR1 co-located inter-band CA for network energy saving</w:t>
      </w:r>
      <w:r w:rsidRPr="00887D95">
        <w:t>.</w:t>
      </w:r>
      <w:r w:rsidR="00322374">
        <w:t xml:space="preserve"> That is, d</w:t>
      </w:r>
      <w:r w:rsidR="00322374" w:rsidRPr="00322374">
        <w:t>o not specify the BS TAE requirements of SSB-less operation for FR1 co-located inter-band CA</w:t>
      </w:r>
      <w:r w:rsidR="00322374">
        <w:t xml:space="preserve">. </w:t>
      </w:r>
      <w:r w:rsidR="00322374" w:rsidRPr="00322374">
        <w:t>Define the side condition of RTD to ensure UE performance in RRM part</w:t>
      </w:r>
      <w:r w:rsidR="00322374">
        <w:t>.</w:t>
      </w:r>
    </w:p>
    <w:p w14:paraId="012C88B2" w14:textId="77777777" w:rsidR="00716B16" w:rsidRDefault="00716B16" w:rsidP="00A37A03"/>
    <w:p w14:paraId="376CC830" w14:textId="2DE8AF63" w:rsidR="001F472A" w:rsidRPr="005041FE" w:rsidRDefault="001F472A" w:rsidP="001F472A">
      <w:pPr>
        <w:rPr>
          <w:b/>
          <w:sz w:val="24"/>
          <w:szCs w:val="28"/>
          <w:lang w:eastAsia="ko-KR"/>
        </w:rPr>
      </w:pPr>
      <w:r w:rsidRPr="005041FE">
        <w:rPr>
          <w:b/>
          <w:sz w:val="24"/>
          <w:szCs w:val="28"/>
          <w:lang w:eastAsia="ko-KR"/>
        </w:rPr>
        <w:t>2.</w:t>
      </w:r>
      <w:r>
        <w:rPr>
          <w:b/>
          <w:sz w:val="24"/>
          <w:szCs w:val="28"/>
          <w:lang w:eastAsia="ko-KR"/>
        </w:rPr>
        <w:t>2</w:t>
      </w:r>
      <w:r w:rsidRPr="005041FE">
        <w:rPr>
          <w:b/>
          <w:sz w:val="24"/>
          <w:szCs w:val="28"/>
          <w:lang w:eastAsia="ko-KR"/>
        </w:rPr>
        <w:t xml:space="preserve"> </w:t>
      </w:r>
      <w:r>
        <w:rPr>
          <w:b/>
          <w:sz w:val="24"/>
          <w:szCs w:val="28"/>
          <w:lang w:eastAsia="ko-KR"/>
        </w:rPr>
        <w:t>Frequency separation</w:t>
      </w:r>
    </w:p>
    <w:p w14:paraId="0B181F13" w14:textId="7C28CBFF" w:rsidR="001F472A" w:rsidRDefault="009864AD" w:rsidP="00A37A03">
      <w:r>
        <w:t xml:space="preserve">In the last meeting, there has been several proposals about frequency separation from different companies, as listed below </w:t>
      </w:r>
      <w:r>
        <w:fldChar w:fldCharType="begin"/>
      </w:r>
      <w:r>
        <w:instrText xml:space="preserve"> REF _Ref146014800 \n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17"/>
      </w:tblGrid>
      <w:tr w:rsidR="001050FE" w14:paraId="45B27E47" w14:textId="77777777" w:rsidTr="001050FE">
        <w:tc>
          <w:tcPr>
            <w:tcW w:w="9617" w:type="dxa"/>
          </w:tcPr>
          <w:p w14:paraId="44B374BA" w14:textId="13755643" w:rsidR="001050FE" w:rsidRPr="009864AD" w:rsidRDefault="001050FE" w:rsidP="001050FE">
            <w:pPr>
              <w:rPr>
                <w:strike/>
              </w:rPr>
            </w:pPr>
            <w:r w:rsidRPr="009864AD">
              <w:rPr>
                <w:b/>
                <w:bCs/>
              </w:rPr>
              <w:t>Proposal</w:t>
            </w:r>
            <w:r>
              <w:t xml:space="preserve">: Frequency domain separation or specific band combinations can be defined in RF session </w:t>
            </w:r>
            <w:r w:rsidR="006C713A">
              <w:rPr>
                <w:strike/>
              </w:rPr>
              <w:br/>
            </w:r>
          </w:p>
          <w:p w14:paraId="3391EF3E" w14:textId="4CF72F22" w:rsidR="001050FE" w:rsidRDefault="001050FE" w:rsidP="001050FE">
            <w:r w:rsidRPr="009864AD">
              <w:rPr>
                <w:b/>
                <w:bCs/>
              </w:rPr>
              <w:t>Proposal</w:t>
            </w:r>
            <w:r>
              <w:t xml:space="preserve">: For scenario 1, instead of specifying frequency domain separation condition between 2 bands, RAN4 discuss the UE capability implying the same Antenna Set and/or RF chain Set is used in the inter-band CA combination. </w:t>
            </w:r>
          </w:p>
          <w:p w14:paraId="4A875AC8" w14:textId="77777777" w:rsidR="001050FE" w:rsidRDefault="001050FE" w:rsidP="009864AD">
            <w:pPr>
              <w:rPr>
                <w:b/>
                <w:bCs/>
              </w:rPr>
            </w:pPr>
          </w:p>
        </w:tc>
      </w:tr>
    </w:tbl>
    <w:p w14:paraId="23158E59" w14:textId="77777777" w:rsidR="001050FE" w:rsidRDefault="001050FE" w:rsidP="009864AD">
      <w:pPr>
        <w:rPr>
          <w:b/>
          <w:bCs/>
        </w:rPr>
      </w:pPr>
    </w:p>
    <w:p w14:paraId="0FD8B0E2" w14:textId="26D1256E" w:rsidR="0015545C" w:rsidRDefault="001050FE" w:rsidP="009864AD">
      <w:r w:rsidRPr="001050FE">
        <w:t xml:space="preserve">RAN4 has </w:t>
      </w:r>
      <w:r>
        <w:t xml:space="preserve">specified all the feasible band combinations for CA in </w:t>
      </w:r>
      <w:r>
        <w:fldChar w:fldCharType="begin"/>
      </w:r>
      <w:r>
        <w:instrText xml:space="preserve"> REF _Ref146026512 \n \h </w:instrText>
      </w:r>
      <w:r>
        <w:fldChar w:fldCharType="separate"/>
      </w:r>
      <w:r w:rsidR="0060376C">
        <w:t>[4]</w:t>
      </w:r>
      <w:r>
        <w:fldChar w:fldCharType="end"/>
      </w:r>
      <w:r>
        <w:t>. For i</w:t>
      </w:r>
      <w:r w:rsidRPr="001050FE">
        <w:t>nter-band CA operating bands involving</w:t>
      </w:r>
      <w:r w:rsidR="003B3897">
        <w:t xml:space="preserve"> only</w:t>
      </w:r>
      <w:r w:rsidRPr="001050FE">
        <w:t xml:space="preserve"> two bands </w:t>
      </w:r>
      <w:r>
        <w:t xml:space="preserve">in </w:t>
      </w:r>
      <w:r w:rsidRPr="001050FE">
        <w:t>FR</w:t>
      </w:r>
      <w:r w:rsidR="003B3897">
        <w:t>1</w:t>
      </w:r>
      <w:r>
        <w:t xml:space="preserve">, there are more than hundred combinations specified in </w:t>
      </w:r>
      <w:r>
        <w:fldChar w:fldCharType="begin"/>
      </w:r>
      <w:r>
        <w:instrText xml:space="preserve"> REF _Ref146026512 \n \h </w:instrText>
      </w:r>
      <w:r>
        <w:fldChar w:fldCharType="separate"/>
      </w:r>
      <w:r w:rsidR="0060376C">
        <w:t>[4]</w:t>
      </w:r>
      <w:r>
        <w:fldChar w:fldCharType="end"/>
      </w:r>
      <w:r w:rsidR="007A0BCF">
        <w:t>, see</w:t>
      </w:r>
      <w:r w:rsidR="0072594E">
        <w:t xml:space="preserve"> </w:t>
      </w:r>
      <w:r w:rsidR="0072594E">
        <w:fldChar w:fldCharType="begin"/>
      </w:r>
      <w:r w:rsidR="0072594E">
        <w:instrText xml:space="preserve"> REF _Ref146130318 \h </w:instrText>
      </w:r>
      <w:r w:rsidR="0072594E">
        <w:fldChar w:fldCharType="separate"/>
      </w:r>
      <w:r w:rsidR="0072594E">
        <w:t xml:space="preserve">Table </w:t>
      </w:r>
      <w:r w:rsidR="0072594E">
        <w:rPr>
          <w:noProof/>
        </w:rPr>
        <w:t>1</w:t>
      </w:r>
      <w:r w:rsidR="0072594E">
        <w:fldChar w:fldCharType="end"/>
      </w:r>
      <w:r w:rsidR="0072594E">
        <w:t xml:space="preserve">, </w:t>
      </w:r>
      <w:r w:rsidR="0072594E">
        <w:fldChar w:fldCharType="begin"/>
      </w:r>
      <w:r w:rsidR="0072594E">
        <w:instrText xml:space="preserve"> REF _Ref146130322 \h </w:instrText>
      </w:r>
      <w:r w:rsidR="0072594E">
        <w:fldChar w:fldCharType="separate"/>
      </w:r>
      <w:r w:rsidR="0072594E">
        <w:t xml:space="preserve">Table </w:t>
      </w:r>
      <w:r w:rsidR="0072594E">
        <w:rPr>
          <w:noProof/>
        </w:rPr>
        <w:t>2</w:t>
      </w:r>
      <w:r w:rsidR="0072594E">
        <w:fldChar w:fldCharType="end"/>
      </w:r>
      <w:r w:rsidR="0072594E">
        <w:t>, and</w:t>
      </w:r>
      <w:r w:rsidR="007A0BCF">
        <w:t xml:space="preserve"> </w:t>
      </w:r>
      <w:r w:rsidR="007A0BCF">
        <w:fldChar w:fldCharType="begin"/>
      </w:r>
      <w:r w:rsidR="007A0BCF">
        <w:instrText xml:space="preserve"> REF _Ref146125937 \h </w:instrText>
      </w:r>
      <w:r w:rsidR="007A0BCF">
        <w:fldChar w:fldCharType="separate"/>
      </w:r>
      <w:r w:rsidR="007A0BCF">
        <w:t xml:space="preserve">Figure </w:t>
      </w:r>
      <w:r w:rsidR="007A0BCF">
        <w:rPr>
          <w:noProof/>
        </w:rPr>
        <w:t>1</w:t>
      </w:r>
      <w:r w:rsidR="007A0BCF">
        <w:fldChar w:fldCharType="end"/>
      </w:r>
      <w:r>
        <w:t>.</w:t>
      </w:r>
      <w:r w:rsidR="00A36BCE">
        <w:t xml:space="preserve"> </w:t>
      </w:r>
      <w:r w:rsidR="00916944">
        <w:t>In other words, the feasible set consists of more than hundred combinations, but all the</w:t>
      </w:r>
      <w:r w:rsidR="0015545C">
        <w:t xml:space="preserve"> band</w:t>
      </w:r>
      <w:r w:rsidR="00916944">
        <w:t xml:space="preserve"> combinations in this set may not support SSB-less SCell operation. </w:t>
      </w:r>
    </w:p>
    <w:tbl>
      <w:tblPr>
        <w:tblStyle w:val="TableGrid"/>
        <w:tblpPr w:leftFromText="180" w:rightFromText="180" w:vertAnchor="text" w:horzAnchor="margin" w:tblpXSpec="center" w:tblpY="196"/>
        <w:tblW w:w="0" w:type="auto"/>
        <w:tblLook w:val="04A0" w:firstRow="1" w:lastRow="0" w:firstColumn="1" w:lastColumn="0" w:noHBand="0" w:noVBand="1"/>
      </w:tblPr>
      <w:tblGrid>
        <w:gridCol w:w="1555"/>
        <w:gridCol w:w="3253"/>
        <w:gridCol w:w="3409"/>
        <w:gridCol w:w="1400"/>
      </w:tblGrid>
      <w:tr w:rsidR="007A0BCF" w14:paraId="3AB2CA3E" w14:textId="77777777" w:rsidTr="00AA1A86">
        <w:tc>
          <w:tcPr>
            <w:tcW w:w="1555" w:type="dxa"/>
          </w:tcPr>
          <w:p w14:paraId="7FDC3240" w14:textId="77777777" w:rsidR="007A0BCF" w:rsidRDefault="007A0BCF" w:rsidP="007A0BCF">
            <w:pPr>
              <w:jc w:val="center"/>
            </w:pPr>
            <w:r>
              <w:t>NR operating band</w:t>
            </w:r>
          </w:p>
        </w:tc>
        <w:tc>
          <w:tcPr>
            <w:tcW w:w="3253" w:type="dxa"/>
          </w:tcPr>
          <w:p w14:paraId="3D80C81F" w14:textId="77777777" w:rsidR="007A0BCF" w:rsidRDefault="007A0BCF" w:rsidP="007A0BCF">
            <w:pPr>
              <w:jc w:val="center"/>
            </w:pPr>
            <w:r>
              <w:t xml:space="preserve">Uplink (UL) operating band BS receive / UE transmit </w:t>
            </w:r>
            <w:proofErr w:type="gramStart"/>
            <w:r>
              <w:t>F</w:t>
            </w:r>
            <w:r w:rsidRPr="000C50A6">
              <w:rPr>
                <w:vertAlign w:val="subscript"/>
              </w:rPr>
              <w:t>UL,low</w:t>
            </w:r>
            <w:proofErr w:type="gramEnd"/>
            <w:r>
              <w:t xml:space="preserve"> – F</w:t>
            </w:r>
            <w:r w:rsidRPr="000C50A6">
              <w:rPr>
                <w:vertAlign w:val="subscript"/>
              </w:rPr>
              <w:t>UL,high</w:t>
            </w:r>
          </w:p>
        </w:tc>
        <w:tc>
          <w:tcPr>
            <w:tcW w:w="3409" w:type="dxa"/>
          </w:tcPr>
          <w:p w14:paraId="108A254E" w14:textId="77777777" w:rsidR="007A0BCF" w:rsidRDefault="007A0BCF" w:rsidP="007A0BCF">
            <w:pPr>
              <w:jc w:val="center"/>
            </w:pPr>
            <w:r>
              <w:t xml:space="preserve">Downlink (DL) operating band BS transmit / UE receive </w:t>
            </w:r>
            <w:proofErr w:type="gramStart"/>
            <w:r>
              <w:t>FD</w:t>
            </w:r>
            <w:r w:rsidRPr="000C50A6">
              <w:rPr>
                <w:vertAlign w:val="subscript"/>
              </w:rPr>
              <w:t>L,low</w:t>
            </w:r>
            <w:proofErr w:type="gramEnd"/>
            <w:r>
              <w:t xml:space="preserve"> – F</w:t>
            </w:r>
            <w:r>
              <w:rPr>
                <w:vertAlign w:val="subscript"/>
              </w:rPr>
              <w:t>D</w:t>
            </w:r>
            <w:r w:rsidRPr="000C50A6">
              <w:rPr>
                <w:vertAlign w:val="subscript"/>
              </w:rPr>
              <w:t>L,high</w:t>
            </w:r>
          </w:p>
        </w:tc>
        <w:tc>
          <w:tcPr>
            <w:tcW w:w="1400" w:type="dxa"/>
          </w:tcPr>
          <w:p w14:paraId="1EC5E539" w14:textId="77777777" w:rsidR="007A0BCF" w:rsidRDefault="007A0BCF" w:rsidP="007A0BCF">
            <w:pPr>
              <w:jc w:val="center"/>
            </w:pPr>
            <w:r>
              <w:t>Duplex</w:t>
            </w:r>
          </w:p>
          <w:p w14:paraId="28F784EA" w14:textId="77777777" w:rsidR="007A0BCF" w:rsidRDefault="007A0BCF" w:rsidP="007A0BCF">
            <w:pPr>
              <w:jc w:val="center"/>
            </w:pPr>
            <w:r>
              <w:t>Mode</w:t>
            </w:r>
          </w:p>
        </w:tc>
      </w:tr>
      <w:tr w:rsidR="007A0BCF" w14:paraId="37CC9469" w14:textId="77777777" w:rsidTr="00AA1A86">
        <w:tc>
          <w:tcPr>
            <w:tcW w:w="1555" w:type="dxa"/>
          </w:tcPr>
          <w:p w14:paraId="78058011" w14:textId="6ABFB3F6" w:rsidR="007A0BCF" w:rsidRPr="007A0BCF" w:rsidRDefault="007A0BCF" w:rsidP="007A0BCF">
            <w:r w:rsidRPr="007A0BCF">
              <w:t>n39</w:t>
            </w:r>
          </w:p>
        </w:tc>
        <w:tc>
          <w:tcPr>
            <w:tcW w:w="3253" w:type="dxa"/>
          </w:tcPr>
          <w:p w14:paraId="060EFA53" w14:textId="4285A297" w:rsidR="007A0BCF" w:rsidRPr="007A0BCF" w:rsidRDefault="007A0BCF" w:rsidP="007A0BCF">
            <w:r w:rsidRPr="007A0BCF">
              <w:t>1880 MHz – 1920 MHz</w:t>
            </w:r>
          </w:p>
        </w:tc>
        <w:tc>
          <w:tcPr>
            <w:tcW w:w="3409" w:type="dxa"/>
          </w:tcPr>
          <w:p w14:paraId="07A5F63B" w14:textId="7B17B491" w:rsidR="007A0BCF" w:rsidRPr="007A0BCF" w:rsidRDefault="007A0BCF" w:rsidP="007A0BCF">
            <w:r w:rsidRPr="007A0BCF">
              <w:t>1880 MHz – 1920 MHz</w:t>
            </w:r>
          </w:p>
        </w:tc>
        <w:tc>
          <w:tcPr>
            <w:tcW w:w="1400" w:type="dxa"/>
          </w:tcPr>
          <w:p w14:paraId="04E3F221" w14:textId="10AEC67D" w:rsidR="007A0BCF" w:rsidRPr="007A0BCF" w:rsidRDefault="007A0BCF" w:rsidP="007A0BCF">
            <w:r w:rsidRPr="007A0BCF">
              <w:t>TDD</w:t>
            </w:r>
          </w:p>
        </w:tc>
      </w:tr>
      <w:tr w:rsidR="007A0BCF" w14:paraId="235D29BE" w14:textId="77777777" w:rsidTr="00AA1A86">
        <w:tc>
          <w:tcPr>
            <w:tcW w:w="1555" w:type="dxa"/>
          </w:tcPr>
          <w:p w14:paraId="3E66515E" w14:textId="31F4A9D9" w:rsidR="007A0BCF" w:rsidRPr="007A0BCF" w:rsidRDefault="007A0BCF" w:rsidP="007A0BCF">
            <w:r w:rsidRPr="007A0BCF">
              <w:t>n40</w:t>
            </w:r>
          </w:p>
        </w:tc>
        <w:tc>
          <w:tcPr>
            <w:tcW w:w="3253" w:type="dxa"/>
          </w:tcPr>
          <w:p w14:paraId="764C5917" w14:textId="248F4076" w:rsidR="007A0BCF" w:rsidRPr="007A0BCF" w:rsidRDefault="007A0BCF" w:rsidP="007A0BCF">
            <w:r w:rsidRPr="007A0BCF">
              <w:t>2300 MHz – 2400 MHz</w:t>
            </w:r>
          </w:p>
        </w:tc>
        <w:tc>
          <w:tcPr>
            <w:tcW w:w="3409" w:type="dxa"/>
          </w:tcPr>
          <w:p w14:paraId="6A02AE4E" w14:textId="0D94CE62" w:rsidR="007A0BCF" w:rsidRPr="007A0BCF" w:rsidRDefault="007A0BCF" w:rsidP="007A0BCF">
            <w:r w:rsidRPr="007A0BCF">
              <w:t>2300 MHz – 2400 MHz</w:t>
            </w:r>
          </w:p>
        </w:tc>
        <w:tc>
          <w:tcPr>
            <w:tcW w:w="1400" w:type="dxa"/>
          </w:tcPr>
          <w:p w14:paraId="03E5D65C" w14:textId="1DBD9153" w:rsidR="007A0BCF" w:rsidRPr="007A0BCF" w:rsidRDefault="007A0BCF" w:rsidP="007A0BCF">
            <w:r w:rsidRPr="007A0BCF">
              <w:t>TDD</w:t>
            </w:r>
          </w:p>
        </w:tc>
      </w:tr>
      <w:tr w:rsidR="007A0BCF" w14:paraId="3CC68A5C" w14:textId="77777777" w:rsidTr="00AA1A86">
        <w:tc>
          <w:tcPr>
            <w:tcW w:w="1555" w:type="dxa"/>
          </w:tcPr>
          <w:p w14:paraId="481718D8" w14:textId="091D87DF" w:rsidR="007A0BCF" w:rsidRPr="007A0BCF" w:rsidRDefault="007A0BCF" w:rsidP="007A0BCF">
            <w:r w:rsidRPr="007A0BCF">
              <w:t>n79</w:t>
            </w:r>
          </w:p>
        </w:tc>
        <w:tc>
          <w:tcPr>
            <w:tcW w:w="3253" w:type="dxa"/>
          </w:tcPr>
          <w:p w14:paraId="3920E080" w14:textId="7F120A64" w:rsidR="007A0BCF" w:rsidRPr="007A0BCF" w:rsidRDefault="007A0BCF" w:rsidP="007A0BCF">
            <w:r w:rsidRPr="007A0BCF">
              <w:t>4400 MHz – 5000 MHz</w:t>
            </w:r>
          </w:p>
        </w:tc>
        <w:tc>
          <w:tcPr>
            <w:tcW w:w="3409" w:type="dxa"/>
          </w:tcPr>
          <w:p w14:paraId="3D5153A9" w14:textId="294DCD00" w:rsidR="007A0BCF" w:rsidRPr="007A0BCF" w:rsidRDefault="007A0BCF" w:rsidP="007A0BCF">
            <w:r w:rsidRPr="007A0BCF">
              <w:t>4400 MHz – 5000 MHz</w:t>
            </w:r>
          </w:p>
        </w:tc>
        <w:tc>
          <w:tcPr>
            <w:tcW w:w="1400" w:type="dxa"/>
          </w:tcPr>
          <w:p w14:paraId="740346F8" w14:textId="232A5114" w:rsidR="007A0BCF" w:rsidRPr="007A0BCF" w:rsidRDefault="007A0BCF" w:rsidP="007A0BCF">
            <w:r w:rsidRPr="007A0BCF">
              <w:t>TDD</w:t>
            </w:r>
          </w:p>
        </w:tc>
      </w:tr>
    </w:tbl>
    <w:p w14:paraId="3F5D7848" w14:textId="4D066329" w:rsidR="007A0BCF" w:rsidRDefault="0072594E" w:rsidP="0072594E">
      <w:pPr>
        <w:pStyle w:val="Caption"/>
      </w:pPr>
      <w:bookmarkStart w:id="7" w:name="_Ref146130318"/>
      <w:r>
        <w:t xml:space="preserve">Table </w:t>
      </w:r>
      <w:fldSimple w:instr=" SEQ Table \* ARABIC ">
        <w:r>
          <w:rPr>
            <w:noProof/>
          </w:rPr>
          <w:t>1</w:t>
        </w:r>
      </w:fldSimple>
      <w:bookmarkEnd w:id="7"/>
      <w:r>
        <w:t>: Some NR operating bands in FR1</w:t>
      </w:r>
    </w:p>
    <w:p w14:paraId="7118B46A" w14:textId="77777777" w:rsidR="00AA1A86" w:rsidRDefault="00AA1A86" w:rsidP="009864AD"/>
    <w:tbl>
      <w:tblPr>
        <w:tblStyle w:val="TableGrid"/>
        <w:tblW w:w="0" w:type="auto"/>
        <w:jc w:val="center"/>
        <w:tblLook w:val="04A0" w:firstRow="1" w:lastRow="0" w:firstColumn="1" w:lastColumn="0" w:noHBand="0" w:noVBand="1"/>
      </w:tblPr>
      <w:tblGrid>
        <w:gridCol w:w="2691"/>
        <w:gridCol w:w="2833"/>
      </w:tblGrid>
      <w:tr w:rsidR="0072594E" w14:paraId="76CF70A3" w14:textId="77777777" w:rsidTr="003D1B4D">
        <w:trPr>
          <w:jc w:val="center"/>
        </w:trPr>
        <w:tc>
          <w:tcPr>
            <w:tcW w:w="2691" w:type="dxa"/>
          </w:tcPr>
          <w:p w14:paraId="17A0250B" w14:textId="77777777" w:rsidR="0072594E" w:rsidRDefault="0072594E" w:rsidP="003D1B4D">
            <w:pPr>
              <w:jc w:val="center"/>
            </w:pPr>
            <w:r w:rsidRPr="003B3897">
              <w:t>NR CA Band</w:t>
            </w:r>
          </w:p>
        </w:tc>
        <w:tc>
          <w:tcPr>
            <w:tcW w:w="2833" w:type="dxa"/>
          </w:tcPr>
          <w:p w14:paraId="75B9DFE6" w14:textId="77777777" w:rsidR="0072594E" w:rsidRDefault="0072594E" w:rsidP="003D1B4D">
            <w:pPr>
              <w:jc w:val="center"/>
            </w:pPr>
            <w:r>
              <w:t>NR Band (Table 5.2-1)</w:t>
            </w:r>
          </w:p>
        </w:tc>
      </w:tr>
      <w:tr w:rsidR="0072594E" w14:paraId="48CCC5E3" w14:textId="77777777" w:rsidTr="003D1B4D">
        <w:trPr>
          <w:jc w:val="center"/>
        </w:trPr>
        <w:tc>
          <w:tcPr>
            <w:tcW w:w="2691" w:type="dxa"/>
          </w:tcPr>
          <w:p w14:paraId="0F21279C" w14:textId="77777777" w:rsidR="0072594E" w:rsidRPr="00BA01F4" w:rsidRDefault="0072594E" w:rsidP="003D1B4D">
            <w:pPr>
              <w:jc w:val="center"/>
            </w:pPr>
            <w:r w:rsidRPr="00BA01F4">
              <w:t>CA_n34-n79</w:t>
            </w:r>
          </w:p>
        </w:tc>
        <w:tc>
          <w:tcPr>
            <w:tcW w:w="2833" w:type="dxa"/>
          </w:tcPr>
          <w:p w14:paraId="05F95209" w14:textId="77777777" w:rsidR="0072594E" w:rsidRPr="00BA01F4" w:rsidRDefault="0072594E" w:rsidP="003D1B4D">
            <w:pPr>
              <w:jc w:val="center"/>
            </w:pPr>
            <w:r w:rsidRPr="00BA01F4">
              <w:t>n34, n79</w:t>
            </w:r>
          </w:p>
        </w:tc>
      </w:tr>
      <w:tr w:rsidR="0072594E" w14:paraId="574D27B5" w14:textId="77777777" w:rsidTr="003D1B4D">
        <w:trPr>
          <w:jc w:val="center"/>
        </w:trPr>
        <w:tc>
          <w:tcPr>
            <w:tcW w:w="2691" w:type="dxa"/>
          </w:tcPr>
          <w:p w14:paraId="72D06C27" w14:textId="77777777" w:rsidR="0072594E" w:rsidRDefault="0072594E" w:rsidP="003D1B4D">
            <w:pPr>
              <w:jc w:val="center"/>
            </w:pPr>
            <w:r w:rsidRPr="007A0BCF">
              <w:t>CA_n39-n79</w:t>
            </w:r>
          </w:p>
        </w:tc>
        <w:tc>
          <w:tcPr>
            <w:tcW w:w="2833" w:type="dxa"/>
          </w:tcPr>
          <w:p w14:paraId="40D21A71" w14:textId="77777777" w:rsidR="0072594E" w:rsidRDefault="0072594E" w:rsidP="003D1B4D">
            <w:pPr>
              <w:jc w:val="center"/>
            </w:pPr>
            <w:r w:rsidRPr="007A0BCF">
              <w:t>n39, n79</w:t>
            </w:r>
          </w:p>
        </w:tc>
      </w:tr>
    </w:tbl>
    <w:p w14:paraId="59AD2B9A" w14:textId="0E280DB5" w:rsidR="00AA1A86" w:rsidRDefault="0072594E" w:rsidP="0072594E">
      <w:pPr>
        <w:pStyle w:val="Caption"/>
      </w:pPr>
      <w:bookmarkStart w:id="8" w:name="_Ref146130322"/>
      <w:r>
        <w:t xml:space="preserve">Table </w:t>
      </w:r>
      <w:fldSimple w:instr=" SEQ Table \* ARABIC ">
        <w:r>
          <w:rPr>
            <w:noProof/>
          </w:rPr>
          <w:t>2</w:t>
        </w:r>
      </w:fldSimple>
      <w:bookmarkEnd w:id="8"/>
      <w:r>
        <w:t>: Some inter-band CA combinations</w:t>
      </w:r>
    </w:p>
    <w:p w14:paraId="12A9AF62" w14:textId="77777777" w:rsidR="00AA1A86" w:rsidRDefault="00AA1A86" w:rsidP="009864AD"/>
    <w:tbl>
      <w:tblPr>
        <w:tblStyle w:val="TableGrid"/>
        <w:tblpPr w:leftFromText="180" w:rightFromText="180" w:vertAnchor="text" w:horzAnchor="margin" w:tblpY="63"/>
        <w:tblOverlap w:val="never"/>
        <w:tblW w:w="9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6"/>
      </w:tblGrid>
      <w:tr w:rsidR="00AA1A86" w14:paraId="61668DEF" w14:textId="77777777" w:rsidTr="00E15678">
        <w:tc>
          <w:tcPr>
            <w:tcW w:w="9846" w:type="dxa"/>
          </w:tcPr>
          <w:p w14:paraId="05246C97" w14:textId="77777777" w:rsidR="00AA1A86" w:rsidRDefault="00AA1A86" w:rsidP="0047337C">
            <w:pPr>
              <w:jc w:val="center"/>
            </w:pPr>
            <w:r>
              <w:rPr>
                <w:noProof/>
              </w:rPr>
              <w:drawing>
                <wp:inline distT="0" distB="0" distL="0" distR="0" wp14:anchorId="66756EC5" wp14:editId="6F7F7118">
                  <wp:extent cx="5590631" cy="1502914"/>
                  <wp:effectExtent l="0" t="0" r="0" b="254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pic:nvPicPr>
                        <pic:blipFill>
                          <a:blip r:embed="rId13"/>
                          <a:stretch>
                            <a:fillRect/>
                          </a:stretch>
                        </pic:blipFill>
                        <pic:spPr>
                          <a:xfrm>
                            <a:off x="0" y="0"/>
                            <a:ext cx="5625833" cy="1512377"/>
                          </a:xfrm>
                          <a:prstGeom prst="rect">
                            <a:avLst/>
                          </a:prstGeom>
                        </pic:spPr>
                      </pic:pic>
                    </a:graphicData>
                  </a:graphic>
                </wp:inline>
              </w:drawing>
            </w:r>
          </w:p>
        </w:tc>
      </w:tr>
      <w:tr w:rsidR="00AA1A86" w14:paraId="1788641D" w14:textId="77777777" w:rsidTr="00E15678">
        <w:tc>
          <w:tcPr>
            <w:tcW w:w="9846" w:type="dxa"/>
          </w:tcPr>
          <w:p w14:paraId="365FE2B1" w14:textId="49A0A6EC" w:rsidR="00AA1A86" w:rsidRDefault="00AA1A86" w:rsidP="00AA1A86">
            <w:pPr>
              <w:jc w:val="center"/>
            </w:pPr>
            <w:bookmarkStart w:id="9" w:name="_Ref146125937"/>
            <w:r>
              <w:t xml:space="preserve">Figure </w:t>
            </w:r>
            <w:fldSimple w:instr=" SEQ Figure \* ARABIC ">
              <w:r w:rsidR="006318D7">
                <w:rPr>
                  <w:noProof/>
                </w:rPr>
                <w:t>1</w:t>
              </w:r>
            </w:fldSimple>
            <w:bookmarkEnd w:id="9"/>
            <w:r>
              <w:t xml:space="preserve">: Two example band combinations specified in </w:t>
            </w:r>
            <w:r>
              <w:fldChar w:fldCharType="begin"/>
            </w:r>
            <w:r>
              <w:instrText xml:space="preserve"> REF _Ref146026512 \n \h  \* MERGEFORMAT </w:instrText>
            </w:r>
            <w:r>
              <w:fldChar w:fldCharType="separate"/>
            </w:r>
            <w:r>
              <w:t>[3]</w:t>
            </w:r>
            <w:r>
              <w:fldChar w:fldCharType="end"/>
            </w:r>
          </w:p>
        </w:tc>
      </w:tr>
    </w:tbl>
    <w:p w14:paraId="043EC223" w14:textId="77777777" w:rsidR="00AA1A86" w:rsidRDefault="00AA1A86" w:rsidP="009864AD"/>
    <w:p w14:paraId="0944B71B" w14:textId="27E39CBA" w:rsidR="00B505AA" w:rsidRDefault="00A36BCE" w:rsidP="009864AD">
      <w:r>
        <w:t xml:space="preserve">One approach to </w:t>
      </w:r>
      <w:r w:rsidR="00645B92">
        <w:t xml:space="preserve">identify the band combinations which support </w:t>
      </w:r>
      <w:r w:rsidR="00645B92" w:rsidRPr="00645B92">
        <w:t xml:space="preserve">SSB-less operation </w:t>
      </w:r>
      <w:r w:rsidR="00E15678">
        <w:t>(</w:t>
      </w:r>
      <w:r w:rsidR="00645B92" w:rsidRPr="00645B92">
        <w:t>for FR1 co-located inter-band CA for network energy saving</w:t>
      </w:r>
      <w:r w:rsidR="00E15678">
        <w:t>)</w:t>
      </w:r>
      <w:r w:rsidR="00F93675">
        <w:t xml:space="preserve"> is via some simulation analysis. The simulation results could be able to provide the maximum frequency separation (denoted by </w:t>
      </w:r>
      <m:oMath>
        <m:sSub>
          <m:sSubPr>
            <m:ctrlPr>
              <w:rPr>
                <w:rFonts w:ascii="Cambria Math" w:hAnsi="Cambria Math"/>
                <w:i/>
              </w:rPr>
            </m:ctrlPr>
          </m:sSubPr>
          <m:e>
            <m:r>
              <w:rPr>
                <w:rFonts w:ascii="Cambria Math" w:hAnsi="Cambria Math"/>
              </w:rPr>
              <m:t>f</m:t>
            </m:r>
          </m:e>
          <m:sub>
            <m:r>
              <w:rPr>
                <w:rFonts w:ascii="Cambria Math" w:hAnsi="Cambria Math"/>
              </w:rPr>
              <m:t>max</m:t>
            </m:r>
          </m:sub>
        </m:sSub>
      </m:oMath>
      <w:r w:rsidR="00F93675">
        <w:t>) between the PCell and SCell carrier frequencies that enables the SSB-less SCell operation</w:t>
      </w:r>
      <w:r w:rsidR="006318D7">
        <w:t xml:space="preserve"> (see example scenario in </w:t>
      </w:r>
      <w:r w:rsidR="006318D7">
        <w:fldChar w:fldCharType="begin"/>
      </w:r>
      <w:r w:rsidR="006318D7">
        <w:instrText xml:space="preserve"> REF _Ref146139437 \h </w:instrText>
      </w:r>
      <w:r w:rsidR="006318D7">
        <w:fldChar w:fldCharType="separate"/>
      </w:r>
      <w:r w:rsidR="006318D7">
        <w:t xml:space="preserve">Figure </w:t>
      </w:r>
      <w:r w:rsidR="006318D7">
        <w:rPr>
          <w:noProof/>
        </w:rPr>
        <w:t>2</w:t>
      </w:r>
      <w:r w:rsidR="006318D7">
        <w:fldChar w:fldCharType="end"/>
      </w:r>
      <w:r w:rsidR="006318D7">
        <w:t>)</w:t>
      </w:r>
      <w:r w:rsidR="00F93675">
        <w:t xml:space="preserve">. Then, all the defined band combinations which </w:t>
      </w:r>
      <w:r w:rsidR="003B3897">
        <w:t>have a</w:t>
      </w:r>
      <w:r w:rsidR="00F93675">
        <w:t xml:space="preserve"> larger </w:t>
      </w:r>
      <w:r w:rsidR="001D2BDD">
        <w:t xml:space="preserve">frequency separation </w:t>
      </w:r>
      <w:r w:rsidR="00F93675">
        <w:t xml:space="preserve">than </w:t>
      </w:r>
      <m:oMath>
        <m:sSub>
          <m:sSubPr>
            <m:ctrlPr>
              <w:rPr>
                <w:rFonts w:ascii="Cambria Math" w:hAnsi="Cambria Math"/>
                <w:i/>
              </w:rPr>
            </m:ctrlPr>
          </m:sSubPr>
          <m:e>
            <m:r>
              <w:rPr>
                <w:rFonts w:ascii="Cambria Math" w:hAnsi="Cambria Math"/>
              </w:rPr>
              <m:t>f</m:t>
            </m:r>
          </m:e>
          <m:sub>
            <m:r>
              <w:rPr>
                <w:rFonts w:ascii="Cambria Math" w:hAnsi="Cambria Math"/>
              </w:rPr>
              <m:t>max</m:t>
            </m:r>
          </m:sub>
        </m:sSub>
      </m:oMath>
      <w:r w:rsidR="00F93675">
        <w:t xml:space="preserve"> (given by the simulations) could be identified as the band combinations which do not support SSB-less SCell operation. </w:t>
      </w:r>
    </w:p>
    <w:p w14:paraId="40AF972B" w14:textId="46BAE20A" w:rsidR="003A571D" w:rsidRDefault="003A571D" w:rsidP="009864A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17"/>
      </w:tblGrid>
      <w:tr w:rsidR="003A571D" w14:paraId="7F59316E" w14:textId="77777777" w:rsidTr="00E15678">
        <w:tc>
          <w:tcPr>
            <w:tcW w:w="9617" w:type="dxa"/>
          </w:tcPr>
          <w:p w14:paraId="049265D4" w14:textId="55B2B36D" w:rsidR="003A571D" w:rsidRDefault="008F1848" w:rsidP="008F1848">
            <w:pPr>
              <w:jc w:val="center"/>
            </w:pPr>
            <w:r>
              <w:rPr>
                <w:noProof/>
              </w:rPr>
              <w:drawing>
                <wp:inline distT="0" distB="0" distL="0" distR="0" wp14:anchorId="439A3131" wp14:editId="79AB6F2E">
                  <wp:extent cx="5937662" cy="1667751"/>
                  <wp:effectExtent l="0" t="0" r="635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53109" cy="1672090"/>
                          </a:xfrm>
                          <a:prstGeom prst="rect">
                            <a:avLst/>
                          </a:prstGeom>
                        </pic:spPr>
                      </pic:pic>
                    </a:graphicData>
                  </a:graphic>
                </wp:inline>
              </w:drawing>
            </w:r>
          </w:p>
        </w:tc>
      </w:tr>
      <w:tr w:rsidR="003A571D" w14:paraId="3AA1FF37" w14:textId="77777777" w:rsidTr="00E15678">
        <w:tc>
          <w:tcPr>
            <w:tcW w:w="9617" w:type="dxa"/>
          </w:tcPr>
          <w:p w14:paraId="1BCA4ABD" w14:textId="31D3F604" w:rsidR="003A571D" w:rsidRDefault="00E15678" w:rsidP="00E15678">
            <w:pPr>
              <w:pStyle w:val="Caption"/>
            </w:pPr>
            <w:bookmarkStart w:id="10" w:name="_Ref146139437"/>
            <w:r>
              <w:t xml:space="preserve">Figure </w:t>
            </w:r>
            <w:fldSimple w:instr=" SEQ Figure \* ARABIC ">
              <w:r w:rsidR="006318D7">
                <w:rPr>
                  <w:noProof/>
                </w:rPr>
                <w:t>2</w:t>
              </w:r>
            </w:fldSimple>
            <w:bookmarkEnd w:id="10"/>
            <w:r>
              <w:t>: Example a candidate band combination for SSB-less SCell operation for FR1 co-located inter-band CA</w:t>
            </w:r>
          </w:p>
        </w:tc>
      </w:tr>
    </w:tbl>
    <w:p w14:paraId="28B106EA" w14:textId="77777777" w:rsidR="00E15678" w:rsidRDefault="00E15678" w:rsidP="00EC27B6"/>
    <w:p w14:paraId="05262393" w14:textId="16E0BA69" w:rsidR="00EC27B6" w:rsidRDefault="00EC27B6" w:rsidP="00EC27B6">
      <w:r>
        <w:t>However, there could be scenarios</w:t>
      </w:r>
      <w:r w:rsidR="00E15678">
        <w:t xml:space="preserve"> such</w:t>
      </w:r>
      <w:r>
        <w:t xml:space="preserve"> </w:t>
      </w:r>
      <w:r w:rsidR="00E15678">
        <w:t xml:space="preserve">that the </w:t>
      </w:r>
      <w:r>
        <w:t xml:space="preserve">frequency separation between two bands </w:t>
      </w:r>
      <w:r w:rsidR="006318D7">
        <w:t>is</w:t>
      </w:r>
      <w:r>
        <w:t xml:space="preserve"> less than or equal to f</w:t>
      </w:r>
      <w:r w:rsidRPr="00EC27B6">
        <w:rPr>
          <w:vertAlign w:val="subscript"/>
        </w:rPr>
        <w:t>max</w:t>
      </w:r>
      <w:r w:rsidR="006318D7">
        <w:t xml:space="preserve"> (obtained using simulation results),</w:t>
      </w:r>
      <w:r>
        <w:t xml:space="preserve"> </w:t>
      </w:r>
      <w:r w:rsidR="006318D7">
        <w:t xml:space="preserve">and hence, technically that band combination supports SSB-less SCell operation. However, </w:t>
      </w:r>
      <w:r>
        <w:t xml:space="preserve">the frequency separation between </w:t>
      </w:r>
      <w:r w:rsidR="006318D7">
        <w:t xml:space="preserve">the </w:t>
      </w:r>
      <w:r>
        <w:t>operating bands of an operator in those bands can be larger than f</w:t>
      </w:r>
      <w:r w:rsidRPr="00EC27B6">
        <w:rPr>
          <w:vertAlign w:val="subscript"/>
        </w:rPr>
        <w:t>max</w:t>
      </w:r>
      <w:r>
        <w:t xml:space="preserve">. This is illustrated in </w:t>
      </w:r>
      <w:r w:rsidR="006318D7">
        <w:fldChar w:fldCharType="begin"/>
      </w:r>
      <w:r w:rsidR="006318D7">
        <w:instrText xml:space="preserve"> REF _Ref146139554 \h </w:instrText>
      </w:r>
      <w:r w:rsidR="006318D7">
        <w:fldChar w:fldCharType="separate"/>
      </w:r>
      <w:r w:rsidR="006318D7">
        <w:t xml:space="preserve">Figure </w:t>
      </w:r>
      <w:r w:rsidR="006318D7">
        <w:rPr>
          <w:noProof/>
        </w:rPr>
        <w:t>3</w:t>
      </w:r>
      <w:r w:rsidR="006318D7">
        <w:fldChar w:fldCharType="end"/>
      </w:r>
      <w:r w:rsidR="006318D7">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EC27B6" w14:paraId="5F4E503A" w14:textId="77777777" w:rsidTr="006318D7">
        <w:tc>
          <w:tcPr>
            <w:tcW w:w="9617" w:type="dxa"/>
          </w:tcPr>
          <w:p w14:paraId="4471DD94" w14:textId="364CAF8C" w:rsidR="00EC27B6" w:rsidRDefault="006318D7" w:rsidP="00EC27B6">
            <w:pPr>
              <w:jc w:val="center"/>
            </w:pPr>
            <w:r>
              <w:rPr>
                <w:noProof/>
              </w:rPr>
              <w:drawing>
                <wp:inline distT="0" distB="0" distL="0" distR="0" wp14:anchorId="36F76EBE" wp14:editId="671BD1E1">
                  <wp:extent cx="6002976" cy="1541431"/>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17400" cy="1545135"/>
                          </a:xfrm>
                          <a:prstGeom prst="rect">
                            <a:avLst/>
                          </a:prstGeom>
                        </pic:spPr>
                      </pic:pic>
                    </a:graphicData>
                  </a:graphic>
                </wp:inline>
              </w:drawing>
            </w:r>
          </w:p>
        </w:tc>
      </w:tr>
      <w:tr w:rsidR="0080242B" w14:paraId="796067B6" w14:textId="77777777" w:rsidTr="006318D7">
        <w:tc>
          <w:tcPr>
            <w:tcW w:w="9617" w:type="dxa"/>
          </w:tcPr>
          <w:p w14:paraId="22FDB047" w14:textId="77777777" w:rsidR="0080242B" w:rsidRDefault="0080242B" w:rsidP="00EC27B6">
            <w:pPr>
              <w:jc w:val="center"/>
              <w:rPr>
                <w:noProof/>
              </w:rPr>
            </w:pPr>
          </w:p>
        </w:tc>
      </w:tr>
      <w:tr w:rsidR="00EC27B6" w14:paraId="7F19341E" w14:textId="77777777" w:rsidTr="006318D7">
        <w:tc>
          <w:tcPr>
            <w:tcW w:w="9617" w:type="dxa"/>
          </w:tcPr>
          <w:p w14:paraId="5A68BCA0" w14:textId="3816B1FB" w:rsidR="00EC27B6" w:rsidRDefault="006318D7" w:rsidP="006318D7">
            <w:pPr>
              <w:pStyle w:val="Caption"/>
            </w:pPr>
            <w:bookmarkStart w:id="11" w:name="_Ref146139554"/>
            <w:r>
              <w:t xml:space="preserve">Figure </w:t>
            </w:r>
            <w:fldSimple w:instr=" SEQ Figure \* ARABIC ">
              <w:r>
                <w:rPr>
                  <w:noProof/>
                </w:rPr>
                <w:t>3</w:t>
              </w:r>
            </w:fldSimple>
            <w:bookmarkEnd w:id="11"/>
            <w:r>
              <w:t>: An example scenario of operating band locations of an operator in band n39 and n40</w:t>
            </w:r>
          </w:p>
        </w:tc>
      </w:tr>
    </w:tbl>
    <w:p w14:paraId="4FE795C1" w14:textId="099444C7" w:rsidR="006318D7" w:rsidRDefault="004B3B0C" w:rsidP="009864AD">
      <w:r>
        <w:t>W</w:t>
      </w:r>
      <w:r w:rsidR="0047337C">
        <w:t xml:space="preserve">e can </w:t>
      </w:r>
      <w:r>
        <w:t>understand that</w:t>
      </w:r>
      <w:r w:rsidR="0047337C">
        <w:t xml:space="preserve"> there are many factors that impact the categorization of SSB-less SCell supporting band combinations. If the idea is to identify this via simulations, then one </w:t>
      </w:r>
      <w:proofErr w:type="gramStart"/>
      <w:r w:rsidR="0047337C">
        <w:t>has to</w:t>
      </w:r>
      <w:proofErr w:type="gramEnd"/>
      <w:r w:rsidR="0047337C">
        <w:t xml:space="preserve"> consider many feasible combinations, and that could be a very exhaustive task to accomplish.</w:t>
      </w:r>
      <w:r>
        <w:t xml:space="preserve"> Thus, we see</w:t>
      </w:r>
      <w:r w:rsidR="0047337C">
        <w:t xml:space="preserve"> that it is not easy to propose </w:t>
      </w:r>
      <w:proofErr w:type="gramStart"/>
      <w:r w:rsidR="0047337C">
        <w:t>a general criteria</w:t>
      </w:r>
      <w:proofErr w:type="gramEnd"/>
      <w:r w:rsidR="0047337C">
        <w:t xml:space="preserve"> identify which band combinations are supporting the SSB-less SCell operation and which do not. </w:t>
      </w:r>
    </w:p>
    <w:p w14:paraId="2C67518C" w14:textId="736441A7" w:rsidR="00B00D3C" w:rsidRDefault="00B00D3C" w:rsidP="00B00D3C">
      <w:r w:rsidRPr="00B00D3C">
        <w:rPr>
          <w:b/>
          <w:bCs/>
        </w:rPr>
        <w:lastRenderedPageBreak/>
        <w:t xml:space="preserve">Observation </w:t>
      </w:r>
      <w:r w:rsidR="00833403">
        <w:rPr>
          <w:b/>
          <w:bCs/>
        </w:rPr>
        <w:t>2</w:t>
      </w:r>
      <w:r w:rsidRPr="00B00D3C">
        <w:rPr>
          <w:b/>
          <w:bCs/>
        </w:rPr>
        <w:t>:</w:t>
      </w:r>
      <w:r w:rsidRPr="00B00D3C">
        <w:t xml:space="preserve"> </w:t>
      </w:r>
      <w:r>
        <w:t>There are many factors to consider while identifying whether a particular CA band combination can support SSB-less SCell operation for FR1 co-located inter-band CA</w:t>
      </w:r>
      <w:r w:rsidRPr="00B00D3C">
        <w:t>.</w:t>
      </w:r>
    </w:p>
    <w:p w14:paraId="452EE811" w14:textId="6FBE3D7F" w:rsidR="00B00D3C" w:rsidRPr="00B00D3C" w:rsidRDefault="00B00D3C" w:rsidP="00F92620">
      <w:pPr>
        <w:autoSpaceDN w:val="0"/>
        <w:spacing w:after="120" w:line="240" w:lineRule="auto"/>
        <w:jc w:val="both"/>
      </w:pPr>
      <w:r w:rsidRPr="00B00D3C">
        <w:rPr>
          <w:b/>
          <w:bCs/>
          <w:lang w:eastAsia="zh-CN"/>
        </w:rPr>
        <w:t xml:space="preserve">Observation </w:t>
      </w:r>
      <w:r w:rsidR="00833403">
        <w:rPr>
          <w:b/>
          <w:bCs/>
          <w:lang w:eastAsia="zh-CN"/>
        </w:rPr>
        <w:t>3</w:t>
      </w:r>
      <w:r w:rsidRPr="00B00D3C">
        <w:rPr>
          <w:b/>
          <w:bCs/>
          <w:lang w:eastAsia="zh-CN"/>
        </w:rPr>
        <w:t xml:space="preserve">: </w:t>
      </w:r>
      <w:r w:rsidR="00F92620">
        <w:rPr>
          <w:lang w:eastAsia="zh-CN"/>
        </w:rPr>
        <w:t>This specification work is not simple, and hence, R</w:t>
      </w:r>
      <w:r>
        <w:rPr>
          <w:lang w:eastAsia="zh-CN"/>
        </w:rPr>
        <w:t xml:space="preserve">AN4 RF </w:t>
      </w:r>
      <w:r w:rsidR="00F92620">
        <w:rPr>
          <w:lang w:eastAsia="zh-CN"/>
        </w:rPr>
        <w:t>may require a lot of effort to do this.</w:t>
      </w:r>
      <w:r>
        <w:rPr>
          <w:lang w:eastAsia="zh-CN"/>
        </w:rPr>
        <w:t xml:space="preserve"> </w:t>
      </w:r>
      <w:r w:rsidRPr="00B00D3C">
        <w:rPr>
          <w:lang w:eastAsia="zh-CN"/>
        </w:rPr>
        <w:t xml:space="preserve"> </w:t>
      </w:r>
    </w:p>
    <w:p w14:paraId="6D38CD75" w14:textId="63DB3769" w:rsidR="00B505AA" w:rsidRDefault="00B505AA" w:rsidP="009864AD">
      <w:r>
        <w:t xml:space="preserve">Hence, before agreeing to </w:t>
      </w:r>
      <w:r w:rsidR="004B3B0C">
        <w:t>specify</w:t>
      </w:r>
      <w:r>
        <w:t xml:space="preserve"> the band combinations that supports SSB-less SCell operation, it may be good to discuss the benefits of that specification work</w:t>
      </w:r>
      <w:r w:rsidR="004B3B0C">
        <w:t>, whether this is a feasible task to do within the available time,</w:t>
      </w:r>
      <w:r>
        <w:t xml:space="preserve"> and how much effort would be </w:t>
      </w:r>
      <w:r w:rsidR="004B3B0C">
        <w:t>needed to accomplish the task</w:t>
      </w:r>
      <w:r>
        <w:t xml:space="preserve">. </w:t>
      </w:r>
    </w:p>
    <w:p w14:paraId="38E61469" w14:textId="3C1B4072" w:rsidR="000278D2" w:rsidRDefault="000278D2" w:rsidP="000278D2">
      <w:pPr>
        <w:pStyle w:val="RAN4proposal"/>
      </w:pPr>
      <w:r>
        <w:t xml:space="preserve">RAN4 RF to </w:t>
      </w:r>
      <w:r w:rsidR="00AB405B">
        <w:t>discuss</w:t>
      </w:r>
      <w:r>
        <w:t xml:space="preserve"> </w:t>
      </w:r>
      <w:r w:rsidR="00AB405B">
        <w:t xml:space="preserve">whether it is necessary to specify the band combinations that supports SSB-less SCell </w:t>
      </w:r>
      <w:r w:rsidR="00AB405B" w:rsidRPr="000278D2">
        <w:t>operation for FR1 co-located inter-band CA for network energy saving</w:t>
      </w:r>
      <w:r w:rsidR="00AB405B">
        <w:t xml:space="preserve">. </w:t>
      </w:r>
    </w:p>
    <w:p w14:paraId="03B951DC" w14:textId="60B8A1C4" w:rsidR="000278D2" w:rsidRDefault="000278D2" w:rsidP="000278D2">
      <w:pPr>
        <w:pStyle w:val="RAN4proposal"/>
      </w:pPr>
      <w:r>
        <w:t>If it is agreed to do the specification work, RAN4 RF should d</w:t>
      </w:r>
      <w:r w:rsidR="00B00D3C">
        <w:t>iscuss possible approaches to do this</w:t>
      </w:r>
      <w:r>
        <w:t>.</w:t>
      </w:r>
    </w:p>
    <w:p w14:paraId="79AF11B2" w14:textId="77777777" w:rsidR="009864AD" w:rsidRDefault="009864AD" w:rsidP="009864AD"/>
    <w:p w14:paraId="29BBFE46" w14:textId="35CA24F2" w:rsidR="00A37A03" w:rsidRPr="005041FE" w:rsidRDefault="000E5EFC" w:rsidP="00A37A03">
      <w:pPr>
        <w:rPr>
          <w:b/>
          <w:sz w:val="24"/>
          <w:szCs w:val="28"/>
          <w:lang w:eastAsia="ko-KR"/>
        </w:rPr>
      </w:pPr>
      <w:r>
        <w:rPr>
          <w:b/>
          <w:sz w:val="24"/>
          <w:szCs w:val="28"/>
          <w:lang w:eastAsia="ko-KR"/>
        </w:rPr>
        <w:t>2.2</w:t>
      </w:r>
      <w:r w:rsidR="00A37A03" w:rsidRPr="005041FE">
        <w:rPr>
          <w:b/>
          <w:sz w:val="24"/>
          <w:szCs w:val="28"/>
          <w:lang w:eastAsia="ko-KR"/>
        </w:rPr>
        <w:t xml:space="preserve"> RF requirements for Cell DTX</w:t>
      </w:r>
    </w:p>
    <w:p w14:paraId="2C169F5E" w14:textId="16A98786" w:rsidR="00A37A03" w:rsidRDefault="00A37A03" w:rsidP="00A37A03">
      <w:r>
        <w:t xml:space="preserve">RAN1 has made the following agreements related to cell DTX operation in NES WI </w:t>
      </w:r>
      <w:r w:rsidR="00332581">
        <w:fldChar w:fldCharType="begin"/>
      </w:r>
      <w:r w:rsidR="00332581">
        <w:instrText xml:space="preserve"> REF _Ref142392498 \r \h </w:instrText>
      </w:r>
      <w:r w:rsidR="00332581">
        <w:fldChar w:fldCharType="separate"/>
      </w:r>
      <w:r w:rsidR="0060376C">
        <w:t>[5]</w:t>
      </w:r>
      <w:r w:rsidR="00332581">
        <w:fldChar w:fldCharType="end"/>
      </w:r>
      <w:r>
        <w:t xml:space="preserve">. </w:t>
      </w:r>
    </w:p>
    <w:tbl>
      <w:tblPr>
        <w:tblStyle w:val="TableGrid"/>
        <w:tblW w:w="0" w:type="auto"/>
        <w:tblLook w:val="04A0" w:firstRow="1" w:lastRow="0" w:firstColumn="1" w:lastColumn="0" w:noHBand="0" w:noVBand="1"/>
      </w:tblPr>
      <w:tblGrid>
        <w:gridCol w:w="9617"/>
      </w:tblGrid>
      <w:tr w:rsidR="00A37A03" w:rsidRPr="00593F71" w14:paraId="342E21CE" w14:textId="77777777" w:rsidTr="00600E32">
        <w:tc>
          <w:tcPr>
            <w:tcW w:w="9617" w:type="dxa"/>
          </w:tcPr>
          <w:p w14:paraId="7AECAE1D" w14:textId="3610A7DC" w:rsidR="00A37A03" w:rsidRPr="00593F71" w:rsidRDefault="00964285" w:rsidP="00600E32">
            <w:pPr>
              <w:rPr>
                <w:rFonts w:cs="Times New Roman"/>
                <w:sz w:val="18"/>
                <w:szCs w:val="18"/>
                <w:lang w:eastAsia="x-none"/>
              </w:rPr>
            </w:pPr>
            <w:r>
              <w:rPr>
                <w:rFonts w:cs="Times New Roman"/>
                <w:b/>
                <w:sz w:val="18"/>
                <w:szCs w:val="18"/>
                <w:lang w:eastAsia="x-none"/>
              </w:rPr>
              <w:t>Enhancements on cell DTX/DRX mechanism</w:t>
            </w:r>
            <w:r w:rsidR="00A37A03" w:rsidRPr="00593F71">
              <w:rPr>
                <w:rFonts w:cs="Times New Roman"/>
                <w:sz w:val="18"/>
                <w:szCs w:val="18"/>
                <w:lang w:eastAsia="x-none"/>
              </w:rPr>
              <w:t xml:space="preserve"> </w:t>
            </w:r>
            <w:r w:rsidR="00A37A03" w:rsidRPr="00593F71">
              <w:rPr>
                <w:rFonts w:cs="Times New Roman"/>
                <w:sz w:val="18"/>
                <w:szCs w:val="18"/>
                <w:lang w:eastAsia="x-none"/>
              </w:rPr>
              <w:tab/>
            </w:r>
          </w:p>
          <w:p w14:paraId="64E08DFC" w14:textId="77777777" w:rsidR="00A37A03" w:rsidRPr="00593F71" w:rsidRDefault="00A37A03" w:rsidP="00600E32">
            <w:pPr>
              <w:rPr>
                <w:rFonts w:cs="Times New Roman"/>
                <w:sz w:val="18"/>
                <w:szCs w:val="18"/>
                <w:lang w:eastAsia="x-none"/>
              </w:rPr>
            </w:pPr>
          </w:p>
          <w:p w14:paraId="15B3FBB4" w14:textId="77777777" w:rsidR="00A37A03" w:rsidRPr="00593F71" w:rsidRDefault="00A37A03" w:rsidP="00600E32">
            <w:pPr>
              <w:rPr>
                <w:rFonts w:cs="Times New Roman"/>
                <w:b/>
                <w:bCs/>
                <w:sz w:val="18"/>
                <w:szCs w:val="18"/>
                <w:highlight w:val="green"/>
                <w:lang w:eastAsia="x-none"/>
              </w:rPr>
            </w:pPr>
            <w:r w:rsidRPr="00593F71">
              <w:rPr>
                <w:rFonts w:cs="Times New Roman"/>
                <w:b/>
                <w:bCs/>
                <w:sz w:val="18"/>
                <w:szCs w:val="18"/>
                <w:highlight w:val="green"/>
                <w:lang w:eastAsia="x-none"/>
              </w:rPr>
              <w:t>Agreement</w:t>
            </w:r>
          </w:p>
          <w:p w14:paraId="07F3CAFB" w14:textId="662F2FB0" w:rsidR="00BD49B2" w:rsidRPr="00BD49B2" w:rsidRDefault="00BD49B2" w:rsidP="00BD49B2">
            <w:pPr>
              <w:pStyle w:val="BodyText"/>
              <w:spacing w:after="0"/>
              <w:rPr>
                <w:rFonts w:ascii="Times New Roman" w:hAnsi="Times New Roman"/>
                <w:sz w:val="18"/>
                <w:szCs w:val="18"/>
                <w:lang w:eastAsia="zh-CN"/>
              </w:rPr>
            </w:pPr>
            <w:r w:rsidRPr="00BD49B2">
              <w:rPr>
                <w:rFonts w:ascii="Times New Roman" w:hAnsi="Times New Roman"/>
                <w:sz w:val="18"/>
                <w:szCs w:val="18"/>
                <w:lang w:eastAsia="zh-CN"/>
              </w:rPr>
              <w:t>RAN1 supports the group common L1 signaling using PDCCH for cell DTX/DRX activation and deactivation without HARQ feedback</w:t>
            </w:r>
            <w:r>
              <w:rPr>
                <w:rFonts w:ascii="Times New Roman" w:hAnsi="Times New Roman"/>
                <w:sz w:val="18"/>
                <w:szCs w:val="18"/>
                <w:lang w:eastAsia="zh-CN"/>
              </w:rPr>
              <w:t xml:space="preserve"> s</w:t>
            </w:r>
            <w:r w:rsidRPr="00BD49B2">
              <w:rPr>
                <w:rFonts w:ascii="Times New Roman" w:hAnsi="Times New Roman"/>
                <w:sz w:val="18"/>
                <w:szCs w:val="18"/>
                <w:lang w:eastAsia="zh-CN"/>
              </w:rPr>
              <w:t xml:space="preserve">end an LS to RAN2 to consider the additional support of a MAC CE based indication </w:t>
            </w:r>
            <w:r>
              <w:rPr>
                <w:rFonts w:ascii="Times New Roman" w:hAnsi="Times New Roman"/>
                <w:sz w:val="18"/>
                <w:szCs w:val="18"/>
                <w:lang w:eastAsia="zh-CN"/>
              </w:rPr>
              <w:t>s</w:t>
            </w:r>
            <w:r w:rsidRPr="00BD49B2">
              <w:rPr>
                <w:rFonts w:ascii="Times New Roman" w:hAnsi="Times New Roman"/>
                <w:sz w:val="18"/>
                <w:szCs w:val="18"/>
                <w:lang w:eastAsia="zh-CN"/>
              </w:rPr>
              <w:t>ubject to UE capability</w:t>
            </w:r>
            <w:r w:rsidR="007E13D1">
              <w:rPr>
                <w:rFonts w:ascii="Times New Roman" w:hAnsi="Times New Roman"/>
                <w:sz w:val="18"/>
                <w:szCs w:val="18"/>
                <w:lang w:eastAsia="zh-CN"/>
              </w:rPr>
              <w:t>.</w:t>
            </w:r>
          </w:p>
          <w:p w14:paraId="2D000346" w14:textId="77777777" w:rsidR="002719A4" w:rsidRPr="002719A4" w:rsidRDefault="002719A4" w:rsidP="002719A4">
            <w:pPr>
              <w:pStyle w:val="BodyText"/>
              <w:spacing w:after="0"/>
              <w:rPr>
                <w:rFonts w:ascii="Times New Roman" w:hAnsi="Times New Roman"/>
                <w:sz w:val="18"/>
                <w:szCs w:val="18"/>
                <w:lang w:eastAsia="zh-CN"/>
              </w:rPr>
            </w:pPr>
          </w:p>
          <w:p w14:paraId="6467D3AD" w14:textId="77777777" w:rsidR="00E33A4B" w:rsidRPr="00593F71" w:rsidRDefault="00E33A4B" w:rsidP="00E33A4B">
            <w:pPr>
              <w:rPr>
                <w:rFonts w:cs="Times New Roman"/>
                <w:b/>
                <w:bCs/>
                <w:sz w:val="18"/>
                <w:szCs w:val="18"/>
                <w:highlight w:val="green"/>
                <w:lang w:eastAsia="x-none"/>
              </w:rPr>
            </w:pPr>
            <w:r w:rsidRPr="00593F71">
              <w:rPr>
                <w:rFonts w:cs="Times New Roman"/>
                <w:b/>
                <w:bCs/>
                <w:sz w:val="18"/>
                <w:szCs w:val="18"/>
                <w:highlight w:val="green"/>
                <w:lang w:eastAsia="x-none"/>
              </w:rPr>
              <w:t>Agreement</w:t>
            </w:r>
          </w:p>
          <w:p w14:paraId="6512184E" w14:textId="1FD276C3" w:rsidR="00A31258" w:rsidRPr="00A31258" w:rsidRDefault="00A31258" w:rsidP="00A31258">
            <w:pPr>
              <w:pStyle w:val="BodyText"/>
              <w:spacing w:after="0"/>
              <w:rPr>
                <w:rFonts w:ascii="Times New Roman" w:hAnsi="Times New Roman"/>
                <w:sz w:val="18"/>
                <w:szCs w:val="18"/>
                <w:lang w:eastAsia="zh-CN"/>
              </w:rPr>
            </w:pPr>
            <w:r w:rsidRPr="00A31258">
              <w:rPr>
                <w:rFonts w:ascii="Times New Roman" w:hAnsi="Times New Roman"/>
                <w:sz w:val="18"/>
                <w:szCs w:val="18"/>
                <w:lang w:eastAsia="zh-CN"/>
              </w:rPr>
              <w:t>Confirmation of WA from previous meeting with removal of the two sub-bullets.</w:t>
            </w:r>
          </w:p>
          <w:p w14:paraId="023B5BA8" w14:textId="77777777" w:rsidR="00A31258" w:rsidRPr="00A31258" w:rsidRDefault="00A31258" w:rsidP="00A31258">
            <w:pPr>
              <w:pStyle w:val="BodyText"/>
              <w:spacing w:after="0"/>
              <w:rPr>
                <w:rFonts w:ascii="Times New Roman" w:hAnsi="Times New Roman"/>
                <w:sz w:val="18"/>
                <w:szCs w:val="18"/>
                <w:lang w:eastAsia="zh-CN"/>
              </w:rPr>
            </w:pPr>
            <w:r w:rsidRPr="00A31258">
              <w:rPr>
                <w:rFonts w:ascii="Times New Roman" w:hAnsi="Times New Roman"/>
                <w:sz w:val="18"/>
                <w:szCs w:val="18"/>
                <w:lang w:eastAsia="zh-CN"/>
              </w:rPr>
              <w:t>Working Assumption</w:t>
            </w:r>
          </w:p>
          <w:p w14:paraId="58043A49" w14:textId="3C603C9E" w:rsidR="002719A4" w:rsidRPr="002719A4" w:rsidRDefault="00A31258" w:rsidP="007A0BCF">
            <w:pPr>
              <w:pStyle w:val="BodyText"/>
              <w:numPr>
                <w:ilvl w:val="0"/>
                <w:numId w:val="10"/>
              </w:numPr>
              <w:spacing w:after="0"/>
              <w:rPr>
                <w:rFonts w:ascii="Times New Roman" w:hAnsi="Times New Roman"/>
                <w:sz w:val="18"/>
                <w:szCs w:val="18"/>
                <w:lang w:eastAsia="zh-CN"/>
              </w:rPr>
            </w:pPr>
            <w:r w:rsidRPr="00A31258">
              <w:rPr>
                <w:rFonts w:ascii="Times New Roman" w:hAnsi="Times New Roman"/>
                <w:sz w:val="18"/>
                <w:szCs w:val="18"/>
                <w:lang w:eastAsia="zh-CN"/>
              </w:rPr>
              <w:t>Support of L1 signaling at least for activation/deactivation of a cell DTX and/or DRX configuration is feasible (e.g., in terms of enabling/disenabling the feature) from RAN1 perspective.</w:t>
            </w:r>
          </w:p>
          <w:p w14:paraId="10D4ECA4" w14:textId="77777777" w:rsidR="00E33A4B" w:rsidRDefault="00E33A4B" w:rsidP="002719A4">
            <w:pPr>
              <w:pStyle w:val="BodyText"/>
              <w:spacing w:after="0"/>
              <w:rPr>
                <w:rFonts w:ascii="Times New Roman" w:hAnsi="Times New Roman"/>
                <w:sz w:val="18"/>
                <w:szCs w:val="18"/>
                <w:highlight w:val="green"/>
                <w:lang w:eastAsia="zh-CN"/>
              </w:rPr>
            </w:pPr>
          </w:p>
          <w:p w14:paraId="353CDBAF" w14:textId="08BB3460" w:rsidR="002719A4" w:rsidRPr="002719A4" w:rsidRDefault="002719A4" w:rsidP="002719A4">
            <w:pPr>
              <w:pStyle w:val="BodyText"/>
              <w:spacing w:after="0"/>
              <w:rPr>
                <w:rFonts w:ascii="Times New Roman" w:hAnsi="Times New Roman"/>
                <w:sz w:val="18"/>
                <w:szCs w:val="18"/>
                <w:lang w:eastAsia="zh-CN"/>
              </w:rPr>
            </w:pPr>
            <w:r w:rsidRPr="002719A4">
              <w:rPr>
                <w:rFonts w:ascii="Times New Roman" w:hAnsi="Times New Roman"/>
                <w:sz w:val="18"/>
                <w:szCs w:val="18"/>
                <w:highlight w:val="green"/>
                <w:lang w:eastAsia="zh-CN"/>
              </w:rPr>
              <w:t>Agreement</w:t>
            </w:r>
          </w:p>
          <w:p w14:paraId="3EAA9793" w14:textId="3A43B7F4" w:rsidR="002719A4" w:rsidRDefault="00986BD7" w:rsidP="002719A4">
            <w:pPr>
              <w:pStyle w:val="BodyText"/>
              <w:spacing w:after="0"/>
              <w:rPr>
                <w:rFonts w:ascii="Times New Roman" w:hAnsi="Times New Roman"/>
                <w:sz w:val="18"/>
                <w:szCs w:val="18"/>
                <w:lang w:eastAsia="zh-CN"/>
              </w:rPr>
            </w:pPr>
            <w:r w:rsidRPr="00986BD7">
              <w:rPr>
                <w:rFonts w:ascii="Times New Roman" w:hAnsi="Times New Roman"/>
                <w:sz w:val="18"/>
                <w:szCs w:val="18"/>
                <w:lang w:eastAsia="zh-CN"/>
              </w:rPr>
              <w:t>DCI format for group common L1 signaling using PDCCH for cell DTX/DRX activation and deactivation (down</w:t>
            </w:r>
            <w:r w:rsidR="00C8791E">
              <w:rPr>
                <w:rFonts w:ascii="Times New Roman" w:hAnsi="Times New Roman"/>
                <w:sz w:val="18"/>
                <w:szCs w:val="18"/>
                <w:lang w:eastAsia="zh-CN"/>
              </w:rPr>
              <w:t xml:space="preserve"> </w:t>
            </w:r>
            <w:r w:rsidRPr="00986BD7">
              <w:rPr>
                <w:rFonts w:ascii="Times New Roman" w:hAnsi="Times New Roman"/>
                <w:sz w:val="18"/>
                <w:szCs w:val="18"/>
                <w:lang w:eastAsia="zh-CN"/>
              </w:rPr>
              <w:t>select just one among alternatives)</w:t>
            </w:r>
          </w:p>
          <w:p w14:paraId="0BB550D2" w14:textId="701A80AD" w:rsidR="00227F5C" w:rsidRPr="00AA16A3" w:rsidRDefault="00227F5C" w:rsidP="007A0BCF">
            <w:pPr>
              <w:pStyle w:val="ListParagraph"/>
              <w:numPr>
                <w:ilvl w:val="0"/>
                <w:numId w:val="10"/>
              </w:numPr>
              <w:spacing w:line="259" w:lineRule="auto"/>
              <w:rPr>
                <w:sz w:val="18"/>
                <w:szCs w:val="18"/>
                <w:lang w:eastAsia="zh-CN"/>
              </w:rPr>
            </w:pPr>
            <w:r w:rsidRPr="00227F5C">
              <w:rPr>
                <w:rFonts w:eastAsia="Batang" w:cs="Times New Roman"/>
                <w:sz w:val="18"/>
                <w:szCs w:val="18"/>
                <w:lang w:val="en-GB" w:eastAsia="zh-CN"/>
              </w:rPr>
              <w:t>Alt 1) DCI Format 2_6 (power saving information outside DRX Active Time)</w:t>
            </w:r>
          </w:p>
          <w:p w14:paraId="33D3FEEF" w14:textId="77777777" w:rsidR="005D539E" w:rsidRPr="005D539E" w:rsidRDefault="005D539E" w:rsidP="007A0BCF">
            <w:pPr>
              <w:pStyle w:val="ListParagraph"/>
              <w:numPr>
                <w:ilvl w:val="0"/>
                <w:numId w:val="10"/>
              </w:numPr>
              <w:rPr>
                <w:sz w:val="18"/>
                <w:szCs w:val="18"/>
                <w:lang w:eastAsia="zh-CN"/>
              </w:rPr>
            </w:pPr>
            <w:r w:rsidRPr="005D539E">
              <w:rPr>
                <w:sz w:val="18"/>
                <w:szCs w:val="18"/>
                <w:lang w:eastAsia="zh-CN"/>
              </w:rPr>
              <w:t>Alt 2) Based on new DCI format 2_</w:t>
            </w:r>
            <w:proofErr w:type="gramStart"/>
            <w:r w:rsidRPr="005D539E">
              <w:rPr>
                <w:sz w:val="18"/>
                <w:szCs w:val="18"/>
                <w:lang w:eastAsia="zh-CN"/>
              </w:rPr>
              <w:t>X</w:t>
            </w:r>
            <w:proofErr w:type="gramEnd"/>
          </w:p>
          <w:p w14:paraId="6A193984" w14:textId="77777777" w:rsidR="009A23E9" w:rsidRPr="009A23E9" w:rsidRDefault="009A23E9" w:rsidP="007A0BCF">
            <w:pPr>
              <w:pStyle w:val="ListParagraph"/>
              <w:numPr>
                <w:ilvl w:val="0"/>
                <w:numId w:val="10"/>
              </w:numPr>
              <w:rPr>
                <w:sz w:val="18"/>
                <w:szCs w:val="18"/>
                <w:lang w:eastAsia="zh-CN"/>
              </w:rPr>
            </w:pPr>
            <w:r w:rsidRPr="009A23E9">
              <w:rPr>
                <w:sz w:val="18"/>
                <w:szCs w:val="18"/>
                <w:lang w:eastAsia="zh-CN"/>
              </w:rPr>
              <w:t>FFS: application delay, timers for activation/deactivation</w:t>
            </w:r>
          </w:p>
          <w:p w14:paraId="64C06D58" w14:textId="77777777" w:rsidR="009A23E9" w:rsidRPr="009A23E9" w:rsidRDefault="009A23E9" w:rsidP="007A0BCF">
            <w:pPr>
              <w:pStyle w:val="ListParagraph"/>
              <w:numPr>
                <w:ilvl w:val="0"/>
                <w:numId w:val="10"/>
              </w:numPr>
              <w:rPr>
                <w:sz w:val="18"/>
                <w:szCs w:val="18"/>
                <w:lang w:eastAsia="zh-CN"/>
              </w:rPr>
            </w:pPr>
            <w:r w:rsidRPr="009A23E9">
              <w:rPr>
                <w:sz w:val="18"/>
                <w:szCs w:val="18"/>
                <w:lang w:eastAsia="zh-CN"/>
              </w:rPr>
              <w:t>FFS: handling of multiple cells including when UE supports different number of cells</w:t>
            </w:r>
          </w:p>
          <w:p w14:paraId="0C600DC8" w14:textId="1B2A1F64" w:rsidR="009A23E9" w:rsidRPr="00FE45C5" w:rsidRDefault="009A23E9" w:rsidP="007A0BCF">
            <w:pPr>
              <w:pStyle w:val="ListParagraph"/>
              <w:numPr>
                <w:ilvl w:val="0"/>
                <w:numId w:val="10"/>
              </w:numPr>
              <w:rPr>
                <w:sz w:val="18"/>
                <w:szCs w:val="18"/>
                <w:lang w:eastAsia="zh-CN"/>
              </w:rPr>
            </w:pPr>
            <w:r w:rsidRPr="00FE45C5">
              <w:rPr>
                <w:sz w:val="18"/>
                <w:szCs w:val="18"/>
                <w:lang w:eastAsia="zh-CN"/>
              </w:rPr>
              <w:t>FFS: details on PDCCH monitoring aspects, including but not limited to:</w:t>
            </w:r>
            <w:r w:rsidR="00A53C74" w:rsidRPr="00FE45C5">
              <w:rPr>
                <w:sz w:val="18"/>
                <w:szCs w:val="18"/>
                <w:lang w:eastAsia="zh-CN"/>
              </w:rPr>
              <w:t xml:space="preserve"> </w:t>
            </w:r>
            <w:r w:rsidRPr="00FE45C5">
              <w:rPr>
                <w:sz w:val="18"/>
                <w:szCs w:val="18"/>
                <w:lang w:eastAsia="zh-CN"/>
              </w:rPr>
              <w:t>Search Space</w:t>
            </w:r>
            <w:r w:rsidR="00A53C74" w:rsidRPr="00FE45C5">
              <w:rPr>
                <w:sz w:val="18"/>
                <w:szCs w:val="18"/>
                <w:lang w:eastAsia="zh-CN"/>
              </w:rPr>
              <w:t xml:space="preserve">, </w:t>
            </w:r>
            <w:r w:rsidRPr="00FE45C5">
              <w:rPr>
                <w:sz w:val="18"/>
                <w:szCs w:val="18"/>
                <w:lang w:eastAsia="zh-CN"/>
              </w:rPr>
              <w:t>PDCCH monitoring occasion</w:t>
            </w:r>
            <w:r w:rsidR="00A53C74" w:rsidRPr="00FE45C5">
              <w:rPr>
                <w:sz w:val="18"/>
                <w:szCs w:val="18"/>
                <w:lang w:eastAsia="zh-CN"/>
              </w:rPr>
              <w:t xml:space="preserve">, </w:t>
            </w:r>
            <w:r w:rsidRPr="00FE45C5">
              <w:rPr>
                <w:sz w:val="18"/>
                <w:szCs w:val="18"/>
                <w:lang w:eastAsia="zh-CN"/>
              </w:rPr>
              <w:t>slots to monitor (during cell DTX/DRX non-active periods, and active periods)</w:t>
            </w:r>
            <w:r w:rsidR="00FE45C5" w:rsidRPr="00FE45C5">
              <w:rPr>
                <w:sz w:val="18"/>
                <w:szCs w:val="18"/>
                <w:lang w:eastAsia="zh-CN"/>
              </w:rPr>
              <w:t xml:space="preserve">, </w:t>
            </w:r>
            <w:r w:rsidRPr="00FE45C5">
              <w:rPr>
                <w:sz w:val="18"/>
                <w:szCs w:val="18"/>
                <w:lang w:eastAsia="zh-CN"/>
              </w:rPr>
              <w:t>BD/CE aspects</w:t>
            </w:r>
          </w:p>
          <w:p w14:paraId="5BFD608F" w14:textId="77777777" w:rsidR="009A23E9" w:rsidRPr="009A23E9" w:rsidRDefault="009A23E9" w:rsidP="007A0BCF">
            <w:pPr>
              <w:pStyle w:val="ListParagraph"/>
              <w:numPr>
                <w:ilvl w:val="0"/>
                <w:numId w:val="10"/>
              </w:numPr>
              <w:rPr>
                <w:sz w:val="18"/>
                <w:szCs w:val="18"/>
                <w:lang w:eastAsia="zh-CN"/>
              </w:rPr>
            </w:pPr>
            <w:r w:rsidRPr="009A23E9">
              <w:rPr>
                <w:sz w:val="18"/>
                <w:szCs w:val="18"/>
                <w:lang w:eastAsia="zh-CN"/>
              </w:rPr>
              <w:t>FFS: UE behavior upon reception of the group common PDCCH (during cell DTX/DRX non-active periods, and active periods), including fallback behavior (if any)</w:t>
            </w:r>
          </w:p>
          <w:p w14:paraId="04CD33C7" w14:textId="77777777" w:rsidR="00227F5C" w:rsidRDefault="00227F5C" w:rsidP="00FE45C5">
            <w:pPr>
              <w:rPr>
                <w:sz w:val="18"/>
                <w:szCs w:val="18"/>
                <w:lang w:eastAsia="zh-CN"/>
              </w:rPr>
            </w:pPr>
          </w:p>
          <w:p w14:paraId="58D92411" w14:textId="77777777" w:rsidR="0003070C" w:rsidRPr="002719A4" w:rsidRDefault="0003070C" w:rsidP="0003070C">
            <w:pPr>
              <w:pStyle w:val="BodyText"/>
              <w:spacing w:after="0"/>
              <w:rPr>
                <w:rFonts w:ascii="Times New Roman" w:hAnsi="Times New Roman"/>
                <w:sz w:val="18"/>
                <w:szCs w:val="18"/>
                <w:lang w:eastAsia="zh-CN"/>
              </w:rPr>
            </w:pPr>
            <w:r w:rsidRPr="002719A4">
              <w:rPr>
                <w:rFonts w:ascii="Times New Roman" w:hAnsi="Times New Roman"/>
                <w:sz w:val="18"/>
                <w:szCs w:val="18"/>
                <w:highlight w:val="green"/>
                <w:lang w:eastAsia="zh-CN"/>
              </w:rPr>
              <w:t>Agreement</w:t>
            </w:r>
          </w:p>
          <w:p w14:paraId="4A8BE19F" w14:textId="77777777" w:rsidR="004C5DB2" w:rsidRPr="004C5DB2" w:rsidRDefault="004C5DB2" w:rsidP="004C5DB2">
            <w:pPr>
              <w:rPr>
                <w:sz w:val="18"/>
                <w:szCs w:val="18"/>
                <w:lang w:eastAsia="zh-CN"/>
              </w:rPr>
            </w:pPr>
            <w:r w:rsidRPr="004C5DB2">
              <w:rPr>
                <w:sz w:val="18"/>
                <w:szCs w:val="18"/>
                <w:lang w:eastAsia="zh-CN"/>
              </w:rPr>
              <w:t>For the group common L1 signaling using PDCCH for cell DTX/DRX activation and deactivation</w:t>
            </w:r>
          </w:p>
          <w:p w14:paraId="5AEADDFA" w14:textId="6D3A6C77" w:rsidR="00986BD7" w:rsidRPr="004C5DB2" w:rsidRDefault="004C5DB2" w:rsidP="007A0BCF">
            <w:pPr>
              <w:pStyle w:val="ListParagraph"/>
              <w:numPr>
                <w:ilvl w:val="0"/>
                <w:numId w:val="11"/>
              </w:numPr>
              <w:rPr>
                <w:sz w:val="18"/>
                <w:szCs w:val="18"/>
                <w:lang w:eastAsia="zh-CN"/>
              </w:rPr>
            </w:pPr>
            <w:r w:rsidRPr="004C5DB2">
              <w:rPr>
                <w:sz w:val="18"/>
                <w:szCs w:val="18"/>
                <w:lang w:eastAsia="zh-CN"/>
              </w:rPr>
              <w:t>Alt 2) Based on new DCI format 2_</w:t>
            </w:r>
            <w:proofErr w:type="gramStart"/>
            <w:r w:rsidRPr="004C5DB2">
              <w:rPr>
                <w:sz w:val="18"/>
                <w:szCs w:val="18"/>
                <w:lang w:eastAsia="zh-CN"/>
              </w:rPr>
              <w:t>X</w:t>
            </w:r>
            <w:proofErr w:type="gramEnd"/>
          </w:p>
          <w:p w14:paraId="0DB35770" w14:textId="74A0E9DA" w:rsidR="00A37A03" w:rsidRPr="00593F71" w:rsidRDefault="002719A4" w:rsidP="004C5DB2">
            <w:pPr>
              <w:pStyle w:val="BodyText"/>
              <w:tabs>
                <w:tab w:val="left" w:pos="0"/>
              </w:tabs>
              <w:suppressAutoHyphens/>
              <w:overflowPunct w:val="0"/>
              <w:spacing w:after="0"/>
              <w:ind w:left="720"/>
              <w:rPr>
                <w:sz w:val="18"/>
                <w:szCs w:val="18"/>
              </w:rPr>
            </w:pPr>
            <w:r w:rsidRPr="002719A4">
              <w:rPr>
                <w:rFonts w:ascii="Times New Roman" w:hAnsi="Times New Roman"/>
                <w:sz w:val="18"/>
                <w:szCs w:val="18"/>
                <w:lang w:eastAsia="zh-CN"/>
              </w:rPr>
              <w:t xml:space="preserve"> </w:t>
            </w:r>
          </w:p>
        </w:tc>
      </w:tr>
    </w:tbl>
    <w:p w14:paraId="68D3A590" w14:textId="77777777" w:rsidR="00A37A03" w:rsidRDefault="00A37A03" w:rsidP="00A37A03"/>
    <w:p w14:paraId="7774F398" w14:textId="1A3AAF0E" w:rsidR="00151BAF" w:rsidRDefault="00151BAF" w:rsidP="00A37A03">
      <w:r>
        <w:t xml:space="preserve">From the RAN1 agreements, </w:t>
      </w:r>
      <w:proofErr w:type="gramStart"/>
      <w:r>
        <w:t>it can be seen that</w:t>
      </w:r>
      <w:r w:rsidR="00FB192F">
        <w:t xml:space="preserve"> the</w:t>
      </w:r>
      <w:proofErr w:type="gramEnd"/>
      <w:r w:rsidR="00FB192F">
        <w:t xml:space="preserve"> focus in RAN1 has mainly been on</w:t>
      </w:r>
      <w:r w:rsidR="00623795">
        <w:t xml:space="preserve"> the </w:t>
      </w:r>
      <w:r w:rsidR="00C0429B">
        <w:t>signaling</w:t>
      </w:r>
      <w:r w:rsidR="00623795">
        <w:t xml:space="preserve"> aspects of cell DTX/DRX. </w:t>
      </w:r>
    </w:p>
    <w:p w14:paraId="7D7A0147" w14:textId="2E07FF70" w:rsidR="00A37A03" w:rsidRDefault="00F964C6" w:rsidP="00A37A03">
      <w:pPr>
        <w:rPr>
          <w:lang w:eastAsia="ko-KR"/>
        </w:rPr>
      </w:pPr>
      <w:r>
        <w:rPr>
          <w:lang w:eastAsia="ko-KR"/>
        </w:rPr>
        <w:t>Cell</w:t>
      </w:r>
      <w:r w:rsidR="009729CB">
        <w:rPr>
          <w:lang w:eastAsia="ko-KR"/>
        </w:rPr>
        <w:t xml:space="preserve"> DTX can be </w:t>
      </w:r>
      <w:r w:rsidR="0028265A">
        <w:rPr>
          <w:lang w:eastAsia="ko-KR"/>
        </w:rPr>
        <w:t xml:space="preserve">implemented to happen in </w:t>
      </w:r>
      <w:r w:rsidR="00AB7827">
        <w:rPr>
          <w:lang w:eastAsia="ko-KR"/>
        </w:rPr>
        <w:t xml:space="preserve">smaller time scale (i.e., </w:t>
      </w:r>
      <w:r w:rsidR="0028265A">
        <w:rPr>
          <w:lang w:eastAsia="ko-KR"/>
        </w:rPr>
        <w:t>symbol-by-symbol level</w:t>
      </w:r>
      <w:r w:rsidR="00AB7827">
        <w:rPr>
          <w:lang w:eastAsia="ko-KR"/>
        </w:rPr>
        <w:t xml:space="preserve">) or </w:t>
      </w:r>
      <w:r w:rsidR="00A03182">
        <w:rPr>
          <w:lang w:eastAsia="ko-KR"/>
        </w:rPr>
        <w:t>by switching-off radio carriers</w:t>
      </w:r>
      <w:r w:rsidR="00D948F8">
        <w:rPr>
          <w:lang w:eastAsia="ko-KR"/>
        </w:rPr>
        <w:t xml:space="preserve">/antenna panels for a longer </w:t>
      </w:r>
      <w:proofErr w:type="gramStart"/>
      <w:r w:rsidR="00D948F8">
        <w:rPr>
          <w:lang w:eastAsia="ko-KR"/>
        </w:rPr>
        <w:t>period of time</w:t>
      </w:r>
      <w:proofErr w:type="gramEnd"/>
      <w:r w:rsidR="00D73761">
        <w:rPr>
          <w:lang w:eastAsia="ko-KR"/>
        </w:rPr>
        <w:t xml:space="preserve">. </w:t>
      </w:r>
      <w:r w:rsidR="001D6269">
        <w:rPr>
          <w:lang w:eastAsia="ko-KR"/>
        </w:rPr>
        <w:t>For smaller time scale cell DTX operation, the</w:t>
      </w:r>
      <w:r w:rsidR="00C13CBC">
        <w:rPr>
          <w:lang w:eastAsia="ko-KR"/>
        </w:rPr>
        <w:t xml:space="preserve"> associated</w:t>
      </w:r>
      <w:r w:rsidR="00E61F7F">
        <w:rPr>
          <w:lang w:eastAsia="ko-KR"/>
        </w:rPr>
        <w:t xml:space="preserve"> </w:t>
      </w:r>
      <w:r w:rsidR="00C13CBC">
        <w:rPr>
          <w:lang w:eastAsia="ko-KR"/>
        </w:rPr>
        <w:t xml:space="preserve">components that needs to be switched-off could be </w:t>
      </w:r>
      <w:r w:rsidR="001160FA">
        <w:rPr>
          <w:lang w:eastAsia="ko-KR"/>
        </w:rPr>
        <w:t>the PA and RFIC. For longer time scale cell DTX operation</w:t>
      </w:r>
      <w:r w:rsidR="00B225DF">
        <w:rPr>
          <w:lang w:eastAsia="ko-KR"/>
        </w:rPr>
        <w:t>, complete set of hardware components in the radio path could be switched-off.</w:t>
      </w:r>
      <w:r w:rsidR="00C13CBC">
        <w:rPr>
          <w:lang w:eastAsia="ko-KR"/>
        </w:rPr>
        <w:t xml:space="preserve"> </w:t>
      </w:r>
      <w:r w:rsidR="00D73761">
        <w:rPr>
          <w:lang w:eastAsia="ko-KR"/>
        </w:rPr>
        <w:t xml:space="preserve">Thus, </w:t>
      </w:r>
      <w:r w:rsidR="005D5CB1">
        <w:rPr>
          <w:lang w:eastAsia="ko-KR"/>
        </w:rPr>
        <w:t xml:space="preserve">depending on the </w:t>
      </w:r>
      <w:r w:rsidR="00682CC0">
        <w:rPr>
          <w:lang w:eastAsia="ko-KR"/>
        </w:rPr>
        <w:t xml:space="preserve">duration of the </w:t>
      </w:r>
      <w:r w:rsidR="00D73761">
        <w:rPr>
          <w:lang w:eastAsia="ko-KR"/>
        </w:rPr>
        <w:t>cell DTX operation</w:t>
      </w:r>
      <w:r w:rsidR="00584799">
        <w:rPr>
          <w:lang w:eastAsia="ko-KR"/>
        </w:rPr>
        <w:t>, the set of hardware components involved related to tha</w:t>
      </w:r>
      <w:r w:rsidR="005978F6">
        <w:rPr>
          <w:lang w:eastAsia="ko-KR"/>
        </w:rPr>
        <w:t xml:space="preserve">t </w:t>
      </w:r>
      <w:r w:rsidR="00D172E9">
        <w:rPr>
          <w:lang w:eastAsia="ko-KR"/>
        </w:rPr>
        <w:t xml:space="preserve">operation </w:t>
      </w:r>
      <w:r w:rsidR="005978F6">
        <w:rPr>
          <w:lang w:eastAsia="ko-KR"/>
        </w:rPr>
        <w:t xml:space="preserve">and the time those components need to </w:t>
      </w:r>
      <w:r w:rsidR="008A2886">
        <w:rPr>
          <w:lang w:eastAsia="ko-KR"/>
        </w:rPr>
        <w:t>switch ON and OF</w:t>
      </w:r>
      <w:r w:rsidR="00B0217C">
        <w:rPr>
          <w:lang w:eastAsia="ko-KR"/>
        </w:rPr>
        <w:t>F may</w:t>
      </w:r>
      <w:r w:rsidR="008A2886">
        <w:rPr>
          <w:lang w:eastAsia="ko-KR"/>
        </w:rPr>
        <w:t xml:space="preserve"> </w:t>
      </w:r>
      <w:r w:rsidR="00846618">
        <w:rPr>
          <w:lang w:eastAsia="ko-KR"/>
        </w:rPr>
        <w:t xml:space="preserve">impact the RAN4 RF requirements. </w:t>
      </w:r>
      <w:r w:rsidR="00011BCB">
        <w:rPr>
          <w:lang w:eastAsia="ko-KR"/>
        </w:rPr>
        <w:t xml:space="preserve">Based on our understanding, longer cell DTX operation involves more hardware components, and thus may take the longest time duration to activate or deactivate </w:t>
      </w:r>
      <w:r w:rsidR="0065769E">
        <w:rPr>
          <w:lang w:eastAsia="ko-KR"/>
        </w:rPr>
        <w:t>DTX operation</w:t>
      </w:r>
      <w:r w:rsidR="004471A7">
        <w:rPr>
          <w:lang w:eastAsia="ko-KR"/>
        </w:rPr>
        <w:t xml:space="preserve"> compared to the </w:t>
      </w:r>
      <w:r w:rsidR="001C60CC">
        <w:rPr>
          <w:lang w:eastAsia="ko-KR"/>
        </w:rPr>
        <w:t>shorter</w:t>
      </w:r>
      <w:r w:rsidR="00984B07">
        <w:rPr>
          <w:lang w:eastAsia="ko-KR"/>
        </w:rPr>
        <w:t>-duration</w:t>
      </w:r>
      <w:r w:rsidR="001C60CC">
        <w:rPr>
          <w:lang w:eastAsia="ko-KR"/>
        </w:rPr>
        <w:t xml:space="preserve"> DTX operation</w:t>
      </w:r>
      <w:r w:rsidR="0065769E">
        <w:rPr>
          <w:lang w:eastAsia="ko-KR"/>
        </w:rPr>
        <w:t xml:space="preserve">. </w:t>
      </w:r>
    </w:p>
    <w:p w14:paraId="6875D3E1" w14:textId="32FE13C8" w:rsidR="004E7888" w:rsidRDefault="005F2D46" w:rsidP="00A37A03">
      <w:pPr>
        <w:rPr>
          <w:lang w:eastAsia="ko-KR"/>
        </w:rPr>
      </w:pPr>
      <w:r>
        <w:rPr>
          <w:lang w:eastAsia="ko-KR"/>
        </w:rPr>
        <w:t>In the BS specification</w:t>
      </w:r>
      <w:r w:rsidR="00C758CD">
        <w:rPr>
          <w:lang w:eastAsia="ko-KR"/>
        </w:rPr>
        <w:t xml:space="preserve"> </w:t>
      </w:r>
      <w:r w:rsidR="00C758CD">
        <w:rPr>
          <w:lang w:eastAsia="ko-KR"/>
        </w:rPr>
        <w:fldChar w:fldCharType="begin"/>
      </w:r>
      <w:r w:rsidR="00C758CD">
        <w:rPr>
          <w:lang w:eastAsia="ko-KR"/>
        </w:rPr>
        <w:instrText xml:space="preserve"> REF _Ref146710543 \n \h </w:instrText>
      </w:r>
      <w:r w:rsidR="00C758CD">
        <w:rPr>
          <w:lang w:eastAsia="ko-KR"/>
        </w:rPr>
      </w:r>
      <w:r w:rsidR="00C758CD">
        <w:rPr>
          <w:lang w:eastAsia="ko-KR"/>
        </w:rPr>
        <w:fldChar w:fldCharType="separate"/>
      </w:r>
      <w:r w:rsidR="00C758CD">
        <w:rPr>
          <w:lang w:eastAsia="ko-KR"/>
        </w:rPr>
        <w:t>[6]</w:t>
      </w:r>
      <w:r w:rsidR="00C758CD">
        <w:rPr>
          <w:lang w:eastAsia="ko-KR"/>
        </w:rPr>
        <w:fldChar w:fldCharType="end"/>
      </w:r>
      <w:r w:rsidR="00FB722C">
        <w:rPr>
          <w:lang w:eastAsia="ko-KR"/>
        </w:rPr>
        <w:t xml:space="preserve">, the </w:t>
      </w:r>
      <w:r w:rsidR="00FA2BF9">
        <w:rPr>
          <w:lang w:eastAsia="ko-KR"/>
        </w:rPr>
        <w:t xml:space="preserve">transmitter transient period </w:t>
      </w:r>
      <w:r w:rsidR="00FB722C">
        <w:rPr>
          <w:lang w:eastAsia="ko-KR"/>
        </w:rPr>
        <w:t xml:space="preserve">requirements are defined when the </w:t>
      </w:r>
      <w:r w:rsidR="00F36F1E">
        <w:rPr>
          <w:lang w:eastAsia="ko-KR"/>
        </w:rPr>
        <w:t xml:space="preserve">transmission paths are changing from UL-to-DL, and vice-versa. Thus, </w:t>
      </w:r>
      <w:r w:rsidR="000B2348">
        <w:rPr>
          <w:lang w:eastAsia="ko-KR"/>
        </w:rPr>
        <w:t xml:space="preserve">this </w:t>
      </w:r>
      <w:r w:rsidR="00FA2BF9">
        <w:rPr>
          <w:lang w:eastAsia="ko-KR"/>
        </w:rPr>
        <w:t xml:space="preserve">transmitter </w:t>
      </w:r>
      <w:r w:rsidR="000B2348">
        <w:rPr>
          <w:lang w:eastAsia="ko-KR"/>
        </w:rPr>
        <w:t xml:space="preserve">transient </w:t>
      </w:r>
      <w:r w:rsidR="00FA2BF9">
        <w:rPr>
          <w:lang w:eastAsia="ko-KR"/>
        </w:rPr>
        <w:t>period</w:t>
      </w:r>
      <w:r w:rsidR="000B2348">
        <w:rPr>
          <w:lang w:eastAsia="ko-KR"/>
        </w:rPr>
        <w:t xml:space="preserve"> </w:t>
      </w:r>
      <w:r w:rsidR="00FD3DB7">
        <w:rPr>
          <w:lang w:eastAsia="ko-KR"/>
        </w:rPr>
        <w:t>accommodates</w:t>
      </w:r>
      <w:r w:rsidR="004E7888">
        <w:rPr>
          <w:lang w:eastAsia="ko-KR"/>
        </w:rPr>
        <w:t xml:space="preserve"> the </w:t>
      </w:r>
      <w:r w:rsidR="00FD3DB7">
        <w:rPr>
          <w:lang w:eastAsia="ko-KR"/>
        </w:rPr>
        <w:t xml:space="preserve">time required for completely switching-off one path (e.g., DL) and fully switching-on the other transmission path (e.g., UL). </w:t>
      </w:r>
      <w:r w:rsidR="004F14B4">
        <w:rPr>
          <w:lang w:eastAsia="ko-KR"/>
        </w:rPr>
        <w:t xml:space="preserve">Thus, we </w:t>
      </w:r>
      <w:r w:rsidR="004F14B4">
        <w:rPr>
          <w:lang w:eastAsia="ko-KR"/>
        </w:rPr>
        <w:lastRenderedPageBreak/>
        <w:t xml:space="preserve">believe that </w:t>
      </w:r>
      <w:r w:rsidR="009B4464">
        <w:rPr>
          <w:lang w:eastAsia="ko-KR"/>
        </w:rPr>
        <w:t xml:space="preserve">already specified </w:t>
      </w:r>
      <w:r w:rsidR="00FA2BF9">
        <w:rPr>
          <w:lang w:eastAsia="ko-KR"/>
        </w:rPr>
        <w:t xml:space="preserve">transmitter transient period </w:t>
      </w:r>
      <w:r w:rsidR="009B4464">
        <w:rPr>
          <w:lang w:eastAsia="ko-KR"/>
        </w:rPr>
        <w:t>requirement</w:t>
      </w:r>
      <w:r w:rsidR="0067098D">
        <w:rPr>
          <w:lang w:eastAsia="ko-KR"/>
        </w:rPr>
        <w:t xml:space="preserve"> is</w:t>
      </w:r>
      <w:r w:rsidR="009B4464">
        <w:rPr>
          <w:lang w:eastAsia="ko-KR"/>
        </w:rPr>
        <w:t xml:space="preserve"> </w:t>
      </w:r>
      <w:r w:rsidR="0067098D">
        <w:rPr>
          <w:lang w:eastAsia="ko-KR"/>
        </w:rPr>
        <w:t xml:space="preserve">applicable for </w:t>
      </w:r>
      <w:r w:rsidR="00586B94">
        <w:rPr>
          <w:lang w:eastAsia="ko-KR"/>
        </w:rPr>
        <w:t>enable cell DTX operation</w:t>
      </w:r>
      <w:r w:rsidR="00B00D6B">
        <w:rPr>
          <w:lang w:eastAsia="ko-KR"/>
        </w:rPr>
        <w:t>, but the current test only measure the power level within the OFF period</w:t>
      </w:r>
      <w:r w:rsidR="00D4293C">
        <w:rPr>
          <w:lang w:eastAsia="ko-KR"/>
        </w:rPr>
        <w:t xml:space="preserve"> when all transmitters are OFF</w:t>
      </w:r>
      <w:r w:rsidR="00B00D6B">
        <w:rPr>
          <w:lang w:eastAsia="ko-KR"/>
        </w:rPr>
        <w:t xml:space="preserve">, other requirements may need to be considered </w:t>
      </w:r>
      <w:r w:rsidR="00B00D6B">
        <w:t>to ensure the ON/OFF period are as configured in DTX operation</w:t>
      </w:r>
      <w:r w:rsidR="00D4293C">
        <w:t xml:space="preserve"> with reasonable ON/OFF power level during DTX operation</w:t>
      </w:r>
      <w:r w:rsidR="00586B94">
        <w:rPr>
          <w:lang w:eastAsia="ko-KR"/>
        </w:rPr>
        <w:t>.</w:t>
      </w:r>
    </w:p>
    <w:p w14:paraId="4FAD44B1" w14:textId="3EF28670" w:rsidR="00586B94" w:rsidRPr="008C39F7" w:rsidRDefault="005D4ED0" w:rsidP="00586B94">
      <w:pPr>
        <w:pStyle w:val="RAN4proposal"/>
      </w:pPr>
      <w:r>
        <w:t xml:space="preserve">The existing </w:t>
      </w:r>
      <w:r w:rsidR="009A170F">
        <w:t xml:space="preserve">BS transmitter transient timing period </w:t>
      </w:r>
      <w:r w:rsidR="00026D19">
        <w:t xml:space="preserve">requirements </w:t>
      </w:r>
      <w:r>
        <w:t>could</w:t>
      </w:r>
      <w:r w:rsidR="009A170F">
        <w:t xml:space="preserve"> be used </w:t>
      </w:r>
      <w:r w:rsidR="00B00D6B">
        <w:t>as a basis, but other requirements may need to be considered to ensure the ON/OFF period are as configured in DTX operation</w:t>
      </w:r>
      <w:r w:rsidR="00D4293C" w:rsidRPr="00D4293C">
        <w:t xml:space="preserve"> with reasonable ON/OFF power level during DTX operation</w:t>
      </w:r>
      <w:r w:rsidR="00586B94" w:rsidRPr="00887D95">
        <w:t>.</w:t>
      </w:r>
    </w:p>
    <w:p w14:paraId="50CA167E" w14:textId="1591E027" w:rsidR="004C5844" w:rsidRDefault="00381A89" w:rsidP="00A37A03">
      <w:pPr>
        <w:rPr>
          <w:lang w:eastAsia="ko-KR"/>
        </w:rPr>
      </w:pPr>
      <w:r>
        <w:rPr>
          <w:lang w:eastAsia="ko-KR"/>
        </w:rPr>
        <w:t xml:space="preserve">In the previous meetings, some companies have proposed to </w:t>
      </w:r>
      <w:r w:rsidR="008408E5" w:rsidRPr="008408E5">
        <w:rPr>
          <w:lang w:eastAsia="ko-KR"/>
        </w:rPr>
        <w:t>reuse the TDD ON-OFF power related requirement</w:t>
      </w:r>
      <w:r w:rsidR="001D1537">
        <w:rPr>
          <w:lang w:eastAsia="ko-KR"/>
        </w:rPr>
        <w:t xml:space="preserve"> for </w:t>
      </w:r>
      <w:r w:rsidR="00E653DA">
        <w:rPr>
          <w:lang w:eastAsia="ko-KR"/>
        </w:rPr>
        <w:t xml:space="preserve">cell </w:t>
      </w:r>
      <w:r w:rsidR="001D1537">
        <w:rPr>
          <w:lang w:eastAsia="ko-KR"/>
        </w:rPr>
        <w:t>DTX</w:t>
      </w:r>
      <w:r w:rsidR="00E653DA">
        <w:rPr>
          <w:lang w:eastAsia="ko-KR"/>
        </w:rPr>
        <w:t xml:space="preserve"> operation. </w:t>
      </w:r>
      <w:r w:rsidR="00300774">
        <w:rPr>
          <w:lang w:eastAsia="ko-KR"/>
        </w:rPr>
        <w:t>However, i</w:t>
      </w:r>
      <w:r w:rsidR="00611626">
        <w:rPr>
          <w:lang w:eastAsia="ko-KR"/>
        </w:rPr>
        <w:t>n the UE RF specification</w:t>
      </w:r>
      <w:r w:rsidR="00332581">
        <w:rPr>
          <w:lang w:eastAsia="ko-KR"/>
        </w:rPr>
        <w:t xml:space="preserve"> </w:t>
      </w:r>
      <w:r w:rsidR="00332581">
        <w:rPr>
          <w:lang w:eastAsia="ko-KR"/>
        </w:rPr>
        <w:fldChar w:fldCharType="begin"/>
      </w:r>
      <w:r w:rsidR="00332581">
        <w:rPr>
          <w:lang w:eastAsia="ko-KR"/>
        </w:rPr>
        <w:instrText xml:space="preserve"> REF _Ref142383694 \r \h </w:instrText>
      </w:r>
      <w:r w:rsidR="00332581">
        <w:rPr>
          <w:lang w:eastAsia="ko-KR"/>
        </w:rPr>
      </w:r>
      <w:r w:rsidR="00332581">
        <w:rPr>
          <w:lang w:eastAsia="ko-KR"/>
        </w:rPr>
        <w:fldChar w:fldCharType="separate"/>
      </w:r>
      <w:r w:rsidR="00332581">
        <w:rPr>
          <w:lang w:eastAsia="ko-KR"/>
        </w:rPr>
        <w:t>[4]</w:t>
      </w:r>
      <w:r w:rsidR="00332581">
        <w:rPr>
          <w:lang w:eastAsia="ko-KR"/>
        </w:rPr>
        <w:fldChar w:fldCharType="end"/>
      </w:r>
      <w:r w:rsidR="00056669">
        <w:rPr>
          <w:lang w:eastAsia="ko-KR"/>
        </w:rPr>
        <w:t xml:space="preserve">, </w:t>
      </w:r>
      <w:r w:rsidR="00DE1BD2">
        <w:rPr>
          <w:lang w:eastAsia="ko-KR"/>
        </w:rPr>
        <w:t xml:space="preserve">the defined OFF power requirements do not apply </w:t>
      </w:r>
      <w:r w:rsidR="003C2BFA">
        <w:rPr>
          <w:lang w:eastAsia="ko-KR"/>
        </w:rPr>
        <w:t>for the UE</w:t>
      </w:r>
      <w:r w:rsidR="008975E2">
        <w:rPr>
          <w:lang w:eastAsia="ko-KR"/>
        </w:rPr>
        <w:t xml:space="preserve"> for DTX and measurement gaps. </w:t>
      </w:r>
      <w:r w:rsidR="000F6A85">
        <w:rPr>
          <w:lang w:eastAsia="ko-KR"/>
        </w:rPr>
        <w:t xml:space="preserve">Thus, we would like to </w:t>
      </w:r>
      <w:r w:rsidR="00DC467A">
        <w:rPr>
          <w:lang w:eastAsia="ko-KR"/>
        </w:rPr>
        <w:t>know from the proponent companies w</w:t>
      </w:r>
      <w:r w:rsidR="008A537F">
        <w:rPr>
          <w:lang w:eastAsia="ko-KR"/>
        </w:rPr>
        <w:t xml:space="preserve">hy </w:t>
      </w:r>
      <w:r w:rsidR="004C5844">
        <w:rPr>
          <w:lang w:eastAsia="ko-KR"/>
        </w:rPr>
        <w:t>OFF power requirements are needed for DTX</w:t>
      </w:r>
      <w:r w:rsidR="00D4293C">
        <w:rPr>
          <w:lang w:eastAsia="ko-KR"/>
        </w:rPr>
        <w:t xml:space="preserve"> as the current OFF power requirements apply when all transmitters are OFF</w:t>
      </w:r>
      <w:r w:rsidR="004C5844">
        <w:rPr>
          <w:lang w:eastAsia="ko-KR"/>
        </w:rPr>
        <w:t xml:space="preserve">. </w:t>
      </w:r>
    </w:p>
    <w:p w14:paraId="4D586E4B" w14:textId="49E659A8" w:rsidR="004C5844" w:rsidRPr="008C39F7" w:rsidRDefault="000E5EFC" w:rsidP="005041FE">
      <w:pPr>
        <w:pStyle w:val="RAN4observation0"/>
        <w:numPr>
          <w:ilvl w:val="0"/>
          <w:numId w:val="0"/>
        </w:numPr>
      </w:pPr>
      <w:r w:rsidRPr="005041FE">
        <w:rPr>
          <w:b/>
          <w:bCs/>
        </w:rPr>
        <w:t xml:space="preserve">Observation </w:t>
      </w:r>
      <w:r w:rsidR="00833403">
        <w:rPr>
          <w:b/>
          <w:bCs/>
        </w:rPr>
        <w:t>4</w:t>
      </w:r>
      <w:r w:rsidRPr="005041FE">
        <w:rPr>
          <w:b/>
          <w:bCs/>
        </w:rPr>
        <w:t>:</w:t>
      </w:r>
      <w:r>
        <w:t xml:space="preserve"> </w:t>
      </w:r>
      <w:r w:rsidR="00425874">
        <w:t xml:space="preserve">In the UE RF specification </w:t>
      </w:r>
      <w:r w:rsidR="00332581">
        <w:rPr>
          <w:lang w:eastAsia="ko-KR"/>
        </w:rPr>
        <w:fldChar w:fldCharType="begin"/>
      </w:r>
      <w:r w:rsidR="00332581">
        <w:rPr>
          <w:lang w:eastAsia="ko-KR"/>
        </w:rPr>
        <w:instrText xml:space="preserve"> REF _Ref142383694 \r \h </w:instrText>
      </w:r>
      <w:r w:rsidR="00332581">
        <w:rPr>
          <w:lang w:eastAsia="ko-KR"/>
        </w:rPr>
      </w:r>
      <w:r w:rsidR="00332581">
        <w:rPr>
          <w:lang w:eastAsia="ko-KR"/>
        </w:rPr>
        <w:fldChar w:fldCharType="separate"/>
      </w:r>
      <w:r w:rsidR="00332581">
        <w:rPr>
          <w:lang w:eastAsia="ko-KR"/>
        </w:rPr>
        <w:t>[4]</w:t>
      </w:r>
      <w:r w:rsidR="00332581">
        <w:rPr>
          <w:lang w:eastAsia="ko-KR"/>
        </w:rPr>
        <w:fldChar w:fldCharType="end"/>
      </w:r>
      <w:r w:rsidR="00425874">
        <w:t xml:space="preserve">, the </w:t>
      </w:r>
      <w:proofErr w:type="gramStart"/>
      <w:r w:rsidR="00425874">
        <w:t>OFF power</w:t>
      </w:r>
      <w:proofErr w:type="gramEnd"/>
      <w:r w:rsidR="00425874">
        <w:t xml:space="preserve"> requirement does not apply for </w:t>
      </w:r>
      <w:r w:rsidR="00BD46D0">
        <w:t>DTX and measurement gaps</w:t>
      </w:r>
      <w:r w:rsidR="004C5844" w:rsidRPr="00E83B1F">
        <w:t>.</w:t>
      </w:r>
    </w:p>
    <w:p w14:paraId="08F56357" w14:textId="15BC5B17" w:rsidR="00810902" w:rsidRPr="008C39F7" w:rsidRDefault="00810902" w:rsidP="00810902">
      <w:pPr>
        <w:pStyle w:val="RAN4proposal"/>
      </w:pPr>
      <w:r>
        <w:t xml:space="preserve">It would be good to discuss </w:t>
      </w:r>
      <w:r w:rsidR="00A508F3">
        <w:t>whether the</w:t>
      </w:r>
      <w:r w:rsidR="00DE07BB">
        <w:t xml:space="preserve"> </w:t>
      </w:r>
      <w:proofErr w:type="gramStart"/>
      <w:r w:rsidR="00F92883">
        <w:t>OFF power</w:t>
      </w:r>
      <w:proofErr w:type="gramEnd"/>
      <w:r w:rsidR="00F92883">
        <w:t xml:space="preserve"> requirements for </w:t>
      </w:r>
      <w:r w:rsidR="00A508F3">
        <w:t xml:space="preserve">cell DTX is needed </w:t>
      </w:r>
      <w:r w:rsidR="00D4293C">
        <w:t xml:space="preserve">to be the same as the OFF power requirements when all transmitters are OFF </w:t>
      </w:r>
      <w:r w:rsidR="00793038">
        <w:t>and the reasons for that necessity</w:t>
      </w:r>
      <w:r w:rsidRPr="00887D95">
        <w:t>.</w:t>
      </w:r>
    </w:p>
    <w:p w14:paraId="20253137" w14:textId="38AC8DDA" w:rsidR="00381A89" w:rsidRPr="00A52FA6" w:rsidRDefault="00624869" w:rsidP="00A37A03">
      <w:pPr>
        <w:rPr>
          <w:lang w:eastAsia="ko-KR"/>
        </w:rPr>
      </w:pPr>
      <w:r>
        <w:rPr>
          <w:lang w:eastAsia="ko-KR"/>
        </w:rPr>
        <w:t xml:space="preserve"> </w:t>
      </w:r>
    </w:p>
    <w:p w14:paraId="4C8FF4EE" w14:textId="22DDD117" w:rsidR="00A37A03" w:rsidRPr="005041FE" w:rsidRDefault="000E5EFC" w:rsidP="00A37A03">
      <w:pPr>
        <w:rPr>
          <w:b/>
          <w:sz w:val="24"/>
          <w:szCs w:val="28"/>
          <w:lang w:eastAsia="ko-KR"/>
        </w:rPr>
      </w:pPr>
      <w:r w:rsidRPr="005041FE">
        <w:rPr>
          <w:b/>
          <w:sz w:val="24"/>
          <w:szCs w:val="28"/>
          <w:lang w:eastAsia="ko-KR"/>
        </w:rPr>
        <w:t xml:space="preserve">2.3 </w:t>
      </w:r>
      <w:r w:rsidR="00A37A03" w:rsidRPr="005041FE">
        <w:rPr>
          <w:b/>
          <w:sz w:val="24"/>
          <w:szCs w:val="28"/>
          <w:lang w:eastAsia="ko-KR"/>
        </w:rPr>
        <w:t>RF requirements for spatial domain techniques</w:t>
      </w:r>
    </w:p>
    <w:p w14:paraId="49B43D48" w14:textId="77777777" w:rsidR="00A37A03" w:rsidRDefault="00A37A03" w:rsidP="00A37A03">
      <w:pPr>
        <w:rPr>
          <w:szCs w:val="24"/>
          <w:lang w:eastAsia="zh-CN"/>
        </w:rPr>
      </w:pPr>
      <w:r>
        <w:t xml:space="preserve">Regarding the </w:t>
      </w:r>
      <w:r w:rsidRPr="00A45F1A">
        <w:rPr>
          <w:szCs w:val="24"/>
          <w:lang w:eastAsia="zh-CN"/>
        </w:rPr>
        <w:t>necessity to the updates in manufacturer declarations</w:t>
      </w:r>
      <w:r>
        <w:rPr>
          <w:szCs w:val="24"/>
          <w:lang w:eastAsia="zh-CN"/>
        </w:rPr>
        <w:t xml:space="preserve">, the conformance testing specification may already contain the required manufacture declarations to support energy saving spatial domain techniques, e.g., to support different muting patterns of antenna elements. However, energy saving feature may introduce many different muting patterns, and relevant beam patterns. </w:t>
      </w:r>
    </w:p>
    <w:p w14:paraId="229FBF6F" w14:textId="25F3B913" w:rsidR="00A37A03" w:rsidRDefault="00A37A03" w:rsidP="00A37A03">
      <w:pPr>
        <w:rPr>
          <w:szCs w:val="24"/>
          <w:lang w:eastAsia="zh-CN"/>
        </w:rPr>
      </w:pPr>
      <w:r>
        <w:rPr>
          <w:szCs w:val="24"/>
          <w:lang w:eastAsia="zh-CN"/>
        </w:rPr>
        <w:t xml:space="preserve">The BS vendors </w:t>
      </w:r>
      <w:proofErr w:type="gramStart"/>
      <w:r>
        <w:rPr>
          <w:szCs w:val="24"/>
          <w:lang w:eastAsia="zh-CN"/>
        </w:rPr>
        <w:t>have to</w:t>
      </w:r>
      <w:proofErr w:type="gramEnd"/>
      <w:r>
        <w:rPr>
          <w:szCs w:val="24"/>
          <w:lang w:eastAsia="zh-CN"/>
        </w:rPr>
        <w:t xml:space="preserve"> comply with the OTA conformance test specification (38.141-2)</w:t>
      </w:r>
      <w:r w:rsidR="000515D4">
        <w:rPr>
          <w:szCs w:val="24"/>
          <w:lang w:eastAsia="zh-CN"/>
        </w:rPr>
        <w:t xml:space="preserve"> </w:t>
      </w:r>
      <w:r w:rsidR="000515D4">
        <w:rPr>
          <w:szCs w:val="24"/>
          <w:lang w:eastAsia="zh-CN"/>
        </w:rPr>
        <w:fldChar w:fldCharType="begin"/>
      </w:r>
      <w:r w:rsidR="000515D4">
        <w:rPr>
          <w:szCs w:val="24"/>
          <w:lang w:eastAsia="zh-CN"/>
        </w:rPr>
        <w:instrText xml:space="preserve"> REF _Ref146710763 \n \h </w:instrText>
      </w:r>
      <w:r w:rsidR="000515D4">
        <w:rPr>
          <w:szCs w:val="24"/>
          <w:lang w:eastAsia="zh-CN"/>
        </w:rPr>
      </w:r>
      <w:r w:rsidR="000515D4">
        <w:rPr>
          <w:szCs w:val="24"/>
          <w:lang w:eastAsia="zh-CN"/>
        </w:rPr>
        <w:fldChar w:fldCharType="separate"/>
      </w:r>
      <w:r w:rsidR="000515D4">
        <w:rPr>
          <w:szCs w:val="24"/>
          <w:lang w:eastAsia="zh-CN"/>
        </w:rPr>
        <w:t>[7]</w:t>
      </w:r>
      <w:r w:rsidR="000515D4">
        <w:rPr>
          <w:szCs w:val="24"/>
          <w:lang w:eastAsia="zh-CN"/>
        </w:rPr>
        <w:fldChar w:fldCharType="end"/>
      </w:r>
      <w:r>
        <w:rPr>
          <w:szCs w:val="24"/>
          <w:lang w:eastAsia="zh-CN"/>
        </w:rPr>
        <w:t>, and that would generate a lot of testing effort for possible huge number of muting patterns of antenna elements. RAN4 may need to investigate how to minimize this testing effort (i.e., the time and complexity of testing) without reducing the test coverage in conformance testing part.</w:t>
      </w:r>
    </w:p>
    <w:p w14:paraId="657FDBB7" w14:textId="699F60BE" w:rsidR="00A37A03" w:rsidRPr="008C39F7" w:rsidRDefault="000E5EFC" w:rsidP="005041FE">
      <w:pPr>
        <w:pStyle w:val="RAN4observation0"/>
        <w:numPr>
          <w:ilvl w:val="0"/>
          <w:numId w:val="0"/>
        </w:numPr>
      </w:pPr>
      <w:r w:rsidRPr="005041FE">
        <w:rPr>
          <w:b/>
          <w:bCs/>
        </w:rPr>
        <w:t>Observation 5:</w:t>
      </w:r>
      <w:r>
        <w:t xml:space="preserve"> </w:t>
      </w:r>
      <w:r w:rsidR="00A37A03" w:rsidRPr="00E83B1F">
        <w:t xml:space="preserve">The BS vendors </w:t>
      </w:r>
      <w:proofErr w:type="gramStart"/>
      <w:r w:rsidR="00A37A03" w:rsidRPr="00E83B1F">
        <w:t>have to</w:t>
      </w:r>
      <w:proofErr w:type="gramEnd"/>
      <w:r w:rsidR="00A37A03" w:rsidRPr="00E83B1F">
        <w:t xml:space="preserve"> comply with the OTA conformance test specification (38.141-2)</w:t>
      </w:r>
      <w:r w:rsidR="000515D4">
        <w:t xml:space="preserve"> </w:t>
      </w:r>
      <w:r w:rsidR="000515D4">
        <w:fldChar w:fldCharType="begin"/>
      </w:r>
      <w:r w:rsidR="000515D4">
        <w:instrText xml:space="preserve"> REF _Ref146710763 \n \h </w:instrText>
      </w:r>
      <w:r w:rsidR="000515D4">
        <w:fldChar w:fldCharType="separate"/>
      </w:r>
      <w:r w:rsidR="000515D4">
        <w:t>[7]</w:t>
      </w:r>
      <w:r w:rsidR="000515D4">
        <w:fldChar w:fldCharType="end"/>
      </w:r>
      <w:r w:rsidR="00A37A03" w:rsidRPr="00E83B1F">
        <w:t>, and that would generate a lot of testing effort for possible huge number of muting patterns of antenna elements.</w:t>
      </w:r>
    </w:p>
    <w:p w14:paraId="751CE5E0" w14:textId="77777777" w:rsidR="00A37A03" w:rsidRPr="008C39F7" w:rsidRDefault="00A37A03" w:rsidP="00A37A03">
      <w:pPr>
        <w:pStyle w:val="RAN4proposal"/>
      </w:pPr>
      <w:r w:rsidRPr="00887D95">
        <w:t>RAN4 may need to investigate how to minimize the testing effort (i.e., the time and complexity of testing) without reducing the test coverage in conformance testing part.</w:t>
      </w:r>
    </w:p>
    <w:p w14:paraId="70ABBFE1" w14:textId="7F95DA69" w:rsidR="00A37A03" w:rsidRDefault="00A37A03" w:rsidP="00A37A03">
      <w:r>
        <w:t xml:space="preserve">Regarding the element pattern switching period the following agreements has been made in </w:t>
      </w:r>
      <w:r w:rsidRPr="0006200C">
        <w:t>RAN1 #112</w:t>
      </w:r>
      <w:r>
        <w:t xml:space="preserve"> </w:t>
      </w:r>
      <w:r w:rsidR="00C31555">
        <w:fldChar w:fldCharType="begin"/>
      </w:r>
      <w:r w:rsidR="00C31555">
        <w:instrText xml:space="preserve"> REF _Ref142392498 \n \h </w:instrText>
      </w:r>
      <w:r w:rsidR="00C31555">
        <w:fldChar w:fldCharType="separate"/>
      </w:r>
      <w:r w:rsidR="00C31555">
        <w:t>[5]</w:t>
      </w:r>
      <w:r w:rsidR="00C31555">
        <w:fldChar w:fldCharType="end"/>
      </w:r>
      <w:r>
        <w:fldChar w:fldCharType="begin"/>
      </w:r>
      <w:r>
        <w:instrText xml:space="preserve"> REF _Ref134798819 \n \h </w:instrText>
      </w:r>
      <w:r w:rsidR="00000000">
        <w:fldChar w:fldCharType="separate"/>
      </w:r>
      <w:r>
        <w:fldChar w:fldCharType="end"/>
      </w:r>
      <w:r>
        <w:t xml:space="preserve">.  </w:t>
      </w:r>
      <w:r w:rsidRPr="00BA6A95">
        <w:t xml:space="preserve">This aspect </w:t>
      </w:r>
      <w:r>
        <w:t>has been</w:t>
      </w:r>
      <w:r w:rsidRPr="00BA6A95">
        <w:t xml:space="preserve"> discussed a bit in RAN1#112bis-e, but </w:t>
      </w:r>
      <w:r>
        <w:t>no clear consensus has been reached.</w:t>
      </w:r>
      <w:r w:rsidR="00B15D33">
        <w:t xml:space="preserve"> </w:t>
      </w:r>
    </w:p>
    <w:tbl>
      <w:tblPr>
        <w:tblStyle w:val="TableGrid"/>
        <w:tblW w:w="0" w:type="auto"/>
        <w:tblLook w:val="04A0" w:firstRow="1" w:lastRow="0" w:firstColumn="1" w:lastColumn="0" w:noHBand="0" w:noVBand="1"/>
      </w:tblPr>
      <w:tblGrid>
        <w:gridCol w:w="9617"/>
      </w:tblGrid>
      <w:tr w:rsidR="00A37A03" w14:paraId="7F6786F5" w14:textId="77777777" w:rsidTr="00600E32">
        <w:tc>
          <w:tcPr>
            <w:tcW w:w="9617" w:type="dxa"/>
          </w:tcPr>
          <w:p w14:paraId="07ECFE2C" w14:textId="77777777" w:rsidR="00A37A03" w:rsidRPr="00AC207C" w:rsidRDefault="00A37A03" w:rsidP="00600E32">
            <w:pPr>
              <w:rPr>
                <w:b/>
                <w:bCs/>
                <w:sz w:val="18"/>
                <w:szCs w:val="20"/>
                <w:highlight w:val="green"/>
                <w:lang w:eastAsia="x-none"/>
              </w:rPr>
            </w:pPr>
            <w:r w:rsidRPr="00AC207C">
              <w:rPr>
                <w:b/>
                <w:bCs/>
                <w:sz w:val="18"/>
                <w:szCs w:val="20"/>
                <w:highlight w:val="green"/>
                <w:lang w:eastAsia="x-none"/>
              </w:rPr>
              <w:t>Agreement</w:t>
            </w:r>
          </w:p>
          <w:p w14:paraId="29DF92F6" w14:textId="77777777" w:rsidR="00A37A03" w:rsidRPr="00AC207C" w:rsidRDefault="00A37A03" w:rsidP="00600E32">
            <w:pPr>
              <w:rPr>
                <w:sz w:val="18"/>
                <w:szCs w:val="20"/>
              </w:rPr>
            </w:pPr>
            <w:r w:rsidRPr="00AC207C">
              <w:rPr>
                <w:sz w:val="18"/>
                <w:szCs w:val="20"/>
              </w:rPr>
              <w:t xml:space="preserve">Discuss the signalling aspects for spatial/power domain adaptation for Rel-18 NES-capable UEs considering </w:t>
            </w:r>
            <w:proofErr w:type="gramStart"/>
            <w:r w:rsidRPr="00AC207C">
              <w:rPr>
                <w:sz w:val="18"/>
                <w:szCs w:val="20"/>
              </w:rPr>
              <w:t>that</w:t>
            </w:r>
            <w:proofErr w:type="gramEnd"/>
          </w:p>
          <w:p w14:paraId="0115AAF5" w14:textId="77777777" w:rsidR="00A37A03" w:rsidRPr="00AC207C" w:rsidRDefault="00A37A03" w:rsidP="007A0BCF">
            <w:pPr>
              <w:pStyle w:val="ListParagraph"/>
              <w:numPr>
                <w:ilvl w:val="1"/>
                <w:numId w:val="7"/>
              </w:numPr>
              <w:tabs>
                <w:tab w:val="left" w:pos="0"/>
              </w:tabs>
              <w:suppressAutoHyphens/>
              <w:contextualSpacing w:val="0"/>
              <w:jc w:val="both"/>
              <w:rPr>
                <w:sz w:val="18"/>
                <w:szCs w:val="20"/>
              </w:rPr>
            </w:pPr>
            <w:r w:rsidRPr="00AC207C">
              <w:rPr>
                <w:sz w:val="18"/>
                <w:szCs w:val="20"/>
              </w:rPr>
              <w:t>Whether there is a need for transition time per adaptation (for UE)</w:t>
            </w:r>
          </w:p>
          <w:p w14:paraId="374C2656" w14:textId="77777777" w:rsidR="00A37A03" w:rsidRPr="00AC207C" w:rsidRDefault="00A37A03" w:rsidP="007A0BCF">
            <w:pPr>
              <w:pStyle w:val="ListParagraph"/>
              <w:numPr>
                <w:ilvl w:val="1"/>
                <w:numId w:val="7"/>
              </w:numPr>
              <w:tabs>
                <w:tab w:val="left" w:pos="0"/>
              </w:tabs>
              <w:suppressAutoHyphens/>
              <w:contextualSpacing w:val="0"/>
              <w:jc w:val="both"/>
              <w:rPr>
                <w:sz w:val="18"/>
                <w:szCs w:val="20"/>
              </w:rPr>
            </w:pPr>
            <w:r w:rsidRPr="00AC207C">
              <w:rPr>
                <w:rFonts w:eastAsia="PMingLiU"/>
                <w:bCs/>
                <w:sz w:val="18"/>
                <w:szCs w:val="20"/>
                <w:lang w:eastAsia="zh-TW"/>
              </w:rPr>
              <w:t>Whether/How to inform UE on spatial adaptation pattern update and/or PDSCH/CSI-RS transmission power change due to adaptation.</w:t>
            </w:r>
          </w:p>
        </w:tc>
      </w:tr>
    </w:tbl>
    <w:p w14:paraId="41B168E1" w14:textId="77777777" w:rsidR="00A37A03" w:rsidRDefault="00A37A03" w:rsidP="00A37A03"/>
    <w:p w14:paraId="59A3D8AE" w14:textId="039A6ECF" w:rsidR="00B15D33" w:rsidRDefault="00B15D33" w:rsidP="00A37A03">
      <w:r>
        <w:t>To the best of our knowledge there has not been any further discussion on this topic</w:t>
      </w:r>
      <w:r w:rsidR="00C170AF">
        <w:t xml:space="preserve"> in RAN1</w:t>
      </w:r>
      <w:r>
        <w:t xml:space="preserve"> since then. </w:t>
      </w:r>
    </w:p>
    <w:p w14:paraId="4E114D97" w14:textId="32AB20C5" w:rsidR="00A37A03" w:rsidRPr="008C39F7" w:rsidRDefault="000E5EFC" w:rsidP="005041FE">
      <w:pPr>
        <w:pStyle w:val="RAN4observation0"/>
        <w:numPr>
          <w:ilvl w:val="0"/>
          <w:numId w:val="0"/>
        </w:numPr>
      </w:pPr>
      <w:r w:rsidRPr="005041FE">
        <w:rPr>
          <w:b/>
          <w:bCs/>
        </w:rPr>
        <w:t>Observation 6:</w:t>
      </w:r>
      <w:r>
        <w:t xml:space="preserve"> </w:t>
      </w:r>
      <w:r w:rsidR="00A37A03">
        <w:t>RAN1 has not had any consensus about element pattern switching period in the last concluded meetings</w:t>
      </w:r>
      <w:r w:rsidR="00A37A03" w:rsidRPr="00E83B1F">
        <w:t>.</w:t>
      </w:r>
      <w:r w:rsidR="00A37A03">
        <w:t xml:space="preserve"> </w:t>
      </w:r>
    </w:p>
    <w:p w14:paraId="08DA6922" w14:textId="498D6A71" w:rsidR="00A37A03" w:rsidRDefault="009F70E7" w:rsidP="00A37A03">
      <w:pPr>
        <w:pStyle w:val="RAN4proposal"/>
      </w:pPr>
      <w:r>
        <w:t xml:space="preserve">Check with RAN1 about the </w:t>
      </w:r>
      <w:r w:rsidR="006F480F">
        <w:t xml:space="preserve">conclusions/recommendations done related to element pattern switching periods and </w:t>
      </w:r>
      <w:r w:rsidR="00523757">
        <w:t xml:space="preserve">in </w:t>
      </w:r>
      <w:r w:rsidR="006F480F">
        <w:t xml:space="preserve">other related </w:t>
      </w:r>
      <w:r w:rsidR="00523757">
        <w:t>areas</w:t>
      </w:r>
      <w:r w:rsidR="00A37A03" w:rsidRPr="00887D95">
        <w:t>.</w:t>
      </w:r>
    </w:p>
    <w:p w14:paraId="3DFFF792" w14:textId="51394E90" w:rsidR="00A37A03" w:rsidRDefault="00A37A03" w:rsidP="00A37A03">
      <w:r>
        <w:t xml:space="preserve">In previous meeting, </w:t>
      </w:r>
      <w:r w:rsidR="006077CF">
        <w:fldChar w:fldCharType="begin"/>
      </w:r>
      <w:r w:rsidR="006077CF">
        <w:instrText xml:space="preserve"> REF _Ref142473596 \r \h </w:instrText>
      </w:r>
      <w:r w:rsidR="006077CF">
        <w:fldChar w:fldCharType="separate"/>
      </w:r>
      <w:r w:rsidR="00652D0C">
        <w:t>[8]</w:t>
      </w:r>
      <w:r w:rsidR="006077CF">
        <w:fldChar w:fldCharType="end"/>
      </w:r>
      <w:r w:rsidR="006077CF">
        <w:t xml:space="preserve"> </w:t>
      </w:r>
      <w:r>
        <w:t xml:space="preserve">has pointed out that due to frequent element switching the downlink EVM performance could be impacted. We are not clear about why the switching may happen frequently (as mentioned in </w:t>
      </w:r>
      <w:r>
        <w:fldChar w:fldCharType="begin"/>
      </w:r>
      <w:r>
        <w:instrText xml:space="preserve"> REF _Ref134824062 \n \h </w:instrText>
      </w:r>
      <w:r>
        <w:fldChar w:fldCharType="separate"/>
      </w:r>
      <w:r>
        <w:t>[4]</w:t>
      </w:r>
      <w:r>
        <w:fldChar w:fldCharType="end"/>
      </w:r>
      <w:r>
        <w:t xml:space="preserve">), </w:t>
      </w:r>
      <w:proofErr w:type="gramStart"/>
      <w:r>
        <w:t>and also</w:t>
      </w:r>
      <w:proofErr w:type="gramEnd"/>
      <w:r>
        <w:t xml:space="preserve"> whether the EVM degradation is observed during the switching period or after switching is completed. We would appreciate if the proponent company could provide further clarification about this observation.</w:t>
      </w:r>
    </w:p>
    <w:p w14:paraId="7CFD45E7" w14:textId="77777777" w:rsidR="003B44F0" w:rsidRDefault="003B44F0" w:rsidP="003B44F0"/>
    <w:p w14:paraId="67E81C14" w14:textId="77777777" w:rsidR="0060543D" w:rsidRPr="008C39F7" w:rsidRDefault="0060543D" w:rsidP="0060543D"/>
    <w:p w14:paraId="4E8A12E4" w14:textId="77777777" w:rsidR="00CD7492" w:rsidRPr="008C39F7" w:rsidRDefault="00CD7492" w:rsidP="00A37002">
      <w:pPr>
        <w:pStyle w:val="RAN4H1"/>
      </w:pPr>
      <w:bookmarkStart w:id="12" w:name="_Toc116995848"/>
      <w:r w:rsidRPr="008C39F7">
        <w:t>Conclusion</w:t>
      </w:r>
      <w:bookmarkEnd w:id="12"/>
    </w:p>
    <w:p w14:paraId="1807FD0B" w14:textId="68E44284" w:rsidR="008C39F7" w:rsidRPr="005041FE" w:rsidRDefault="000E5EFC" w:rsidP="000E5EFC">
      <w:pPr>
        <w:pStyle w:val="RAN4H1"/>
        <w:numPr>
          <w:ilvl w:val="0"/>
          <w:numId w:val="0"/>
        </w:numPr>
        <w:rPr>
          <w:rFonts w:ascii="Times New Roman" w:eastAsiaTheme="minorEastAsia" w:hAnsi="Times New Roman" w:cstheme="minorBidi"/>
          <w:sz w:val="20"/>
          <w:szCs w:val="22"/>
        </w:rPr>
      </w:pPr>
      <w:bookmarkStart w:id="13" w:name="_Toc116995849"/>
      <w:r w:rsidRPr="000E5EFC">
        <w:rPr>
          <w:rFonts w:ascii="Times New Roman" w:eastAsiaTheme="minorEastAsia" w:hAnsi="Times New Roman" w:cstheme="minorBidi"/>
          <w:sz w:val="20"/>
          <w:szCs w:val="22"/>
        </w:rPr>
        <w:t>In this contribution, we continue discussion about the Time alignment error (TAE) requirement presented in the WF where some options are considered.</w:t>
      </w:r>
      <w:r>
        <w:t xml:space="preserve"> </w:t>
      </w:r>
      <w:r w:rsidRPr="005041FE">
        <w:rPr>
          <w:rFonts w:ascii="Times New Roman" w:eastAsiaTheme="minorEastAsia" w:hAnsi="Times New Roman" w:cstheme="minorBidi"/>
          <w:sz w:val="20"/>
          <w:szCs w:val="22"/>
        </w:rPr>
        <w:t>We have made following observation</w:t>
      </w:r>
      <w:r w:rsidR="00833403">
        <w:rPr>
          <w:rFonts w:ascii="Times New Roman" w:eastAsiaTheme="minorEastAsia" w:hAnsi="Times New Roman" w:cstheme="minorBidi"/>
          <w:sz w:val="20"/>
          <w:szCs w:val="22"/>
        </w:rPr>
        <w:t>s</w:t>
      </w:r>
      <w:r w:rsidRPr="005041FE">
        <w:rPr>
          <w:rFonts w:ascii="Times New Roman" w:eastAsiaTheme="minorEastAsia" w:hAnsi="Times New Roman" w:cstheme="minorBidi"/>
          <w:sz w:val="20"/>
          <w:szCs w:val="22"/>
        </w:rPr>
        <w:t xml:space="preserve"> and proposals:</w:t>
      </w:r>
    </w:p>
    <w:p w14:paraId="1D713DBC" w14:textId="77777777" w:rsidR="00833403" w:rsidRPr="00FC55A1" w:rsidRDefault="00833403" w:rsidP="00833403">
      <w:pPr>
        <w:rPr>
          <w:b/>
          <w:bCs/>
        </w:rPr>
      </w:pPr>
      <w:r w:rsidRPr="00FC55A1">
        <w:rPr>
          <w:b/>
          <w:bCs/>
        </w:rPr>
        <w:t>Observation 1: Changing the TAE defined for the inter-band case may cause lot of compatibility issues in the existing networks.</w:t>
      </w:r>
    </w:p>
    <w:p w14:paraId="1C5A185C" w14:textId="77777777" w:rsidR="00833403" w:rsidRPr="00FC55A1" w:rsidRDefault="00833403" w:rsidP="00833403">
      <w:pPr>
        <w:rPr>
          <w:b/>
          <w:bCs/>
        </w:rPr>
      </w:pPr>
      <w:r w:rsidRPr="00FC55A1">
        <w:rPr>
          <w:b/>
          <w:bCs/>
        </w:rPr>
        <w:t>Proposal 1: Support Alternative #1 to enable SSB-less operation for FR1 co-located inter-band CA for network energy saving. That is, do not specify the BS TAE requirements of SSB-less operation for FR1 co-located inter-band CA. Define the side condition of RTD to ensure UE performance in RRM part.</w:t>
      </w:r>
    </w:p>
    <w:p w14:paraId="47654AB4" w14:textId="77777777" w:rsidR="00833403" w:rsidRPr="00FC55A1" w:rsidRDefault="00833403" w:rsidP="00833403">
      <w:pPr>
        <w:rPr>
          <w:b/>
          <w:bCs/>
        </w:rPr>
      </w:pPr>
      <w:r w:rsidRPr="00FC55A1">
        <w:rPr>
          <w:b/>
          <w:bCs/>
        </w:rPr>
        <w:t>Observation 2: There are many factors to consider while identifying whether a particular CA band combination can support SSB-less SCell operation for FR1 co-located inter-band CA.</w:t>
      </w:r>
    </w:p>
    <w:p w14:paraId="13EFA799" w14:textId="77777777" w:rsidR="00833403" w:rsidRPr="00FC55A1" w:rsidRDefault="00833403" w:rsidP="00833403">
      <w:pPr>
        <w:rPr>
          <w:b/>
          <w:bCs/>
        </w:rPr>
      </w:pPr>
      <w:r w:rsidRPr="00FC55A1">
        <w:rPr>
          <w:b/>
          <w:bCs/>
        </w:rPr>
        <w:t xml:space="preserve">Observation 3: This specification work is not simple, and hence, RAN4 RF may require a lot of effort to do this.  </w:t>
      </w:r>
    </w:p>
    <w:p w14:paraId="6BFD41A4" w14:textId="77777777" w:rsidR="00833403" w:rsidRPr="00FC55A1" w:rsidRDefault="00833403" w:rsidP="00833403">
      <w:pPr>
        <w:rPr>
          <w:b/>
          <w:bCs/>
        </w:rPr>
      </w:pPr>
      <w:r w:rsidRPr="00FC55A1">
        <w:rPr>
          <w:b/>
          <w:bCs/>
        </w:rPr>
        <w:t xml:space="preserve">Proposal 2: RAN4 RF to discuss whether it is necessary to specify the band combinations that supports SSB-less SCell operation for FR1 co-located inter-band CA for network energy saving. </w:t>
      </w:r>
    </w:p>
    <w:p w14:paraId="6DCC1F18" w14:textId="77777777" w:rsidR="00833403" w:rsidRPr="00FC55A1" w:rsidRDefault="00833403" w:rsidP="00833403">
      <w:pPr>
        <w:rPr>
          <w:b/>
          <w:bCs/>
        </w:rPr>
      </w:pPr>
      <w:r w:rsidRPr="00FC55A1">
        <w:rPr>
          <w:b/>
          <w:bCs/>
        </w:rPr>
        <w:t>Proposal 3: If it is agreed to do the specification work, RAN4 RF should discuss possible approaches to do this.</w:t>
      </w:r>
    </w:p>
    <w:p w14:paraId="4AD1D8EC" w14:textId="01FC766F" w:rsidR="00833403" w:rsidRPr="00FC55A1" w:rsidRDefault="00833403" w:rsidP="00833403">
      <w:pPr>
        <w:rPr>
          <w:b/>
          <w:bCs/>
        </w:rPr>
      </w:pPr>
      <w:r w:rsidRPr="00FC55A1">
        <w:rPr>
          <w:b/>
          <w:bCs/>
        </w:rPr>
        <w:t>Proposal 4: The existing BS transmitter transient timing period requirements could be used as a basis, but other requirements may need to be considered to ensure the ON/OFF period are as configured in DTX operation with reasonable ON/OFF power level during DTX operation.</w:t>
      </w:r>
    </w:p>
    <w:p w14:paraId="6F7BC3A7" w14:textId="77777777" w:rsidR="00833403" w:rsidRPr="00FC55A1" w:rsidRDefault="00833403" w:rsidP="00833403">
      <w:pPr>
        <w:rPr>
          <w:b/>
          <w:bCs/>
        </w:rPr>
      </w:pPr>
      <w:r w:rsidRPr="00FC55A1">
        <w:rPr>
          <w:b/>
          <w:bCs/>
        </w:rPr>
        <w:t xml:space="preserve">Observation 4: In the UE RF specification [4], the </w:t>
      </w:r>
      <w:proofErr w:type="gramStart"/>
      <w:r w:rsidRPr="00FC55A1">
        <w:rPr>
          <w:b/>
          <w:bCs/>
        </w:rPr>
        <w:t>OFF power</w:t>
      </w:r>
      <w:proofErr w:type="gramEnd"/>
      <w:r w:rsidRPr="00FC55A1">
        <w:rPr>
          <w:b/>
          <w:bCs/>
        </w:rPr>
        <w:t xml:space="preserve"> requirement does not apply for DTX and measurement gaps.</w:t>
      </w:r>
    </w:p>
    <w:p w14:paraId="7A0DC969" w14:textId="77777777" w:rsidR="00833403" w:rsidRPr="00FC55A1" w:rsidRDefault="00833403" w:rsidP="00833403">
      <w:pPr>
        <w:rPr>
          <w:b/>
          <w:bCs/>
        </w:rPr>
      </w:pPr>
      <w:r w:rsidRPr="00FC55A1">
        <w:rPr>
          <w:b/>
          <w:bCs/>
        </w:rPr>
        <w:t xml:space="preserve">Proposal 5: It would be good to discuss whether the </w:t>
      </w:r>
      <w:proofErr w:type="gramStart"/>
      <w:r w:rsidRPr="00FC55A1">
        <w:rPr>
          <w:b/>
          <w:bCs/>
        </w:rPr>
        <w:t>OFF power</w:t>
      </w:r>
      <w:proofErr w:type="gramEnd"/>
      <w:r w:rsidRPr="00FC55A1">
        <w:rPr>
          <w:b/>
          <w:bCs/>
        </w:rPr>
        <w:t xml:space="preserve"> requirements for cell DTX is needed to be the same as the OFF power requirements when all transmitters are OFF and the reasons for that necessity.</w:t>
      </w:r>
    </w:p>
    <w:p w14:paraId="7DF4C923" w14:textId="77777777" w:rsidR="00833403" w:rsidRPr="00FC55A1" w:rsidRDefault="00833403" w:rsidP="00833403">
      <w:pPr>
        <w:rPr>
          <w:b/>
          <w:bCs/>
        </w:rPr>
      </w:pPr>
      <w:r w:rsidRPr="00FC55A1">
        <w:rPr>
          <w:b/>
          <w:bCs/>
        </w:rPr>
        <w:t xml:space="preserve">Observation 5: The BS vendors </w:t>
      </w:r>
      <w:proofErr w:type="gramStart"/>
      <w:r w:rsidRPr="00FC55A1">
        <w:rPr>
          <w:b/>
          <w:bCs/>
        </w:rPr>
        <w:t>have to</w:t>
      </w:r>
      <w:proofErr w:type="gramEnd"/>
      <w:r w:rsidRPr="00FC55A1">
        <w:rPr>
          <w:b/>
          <w:bCs/>
        </w:rPr>
        <w:t xml:space="preserve"> comply with the OTA conformance test specification (38.141-2), and that would generate a lot of testing effort for possible huge number of muting patterns of antenna elements.</w:t>
      </w:r>
    </w:p>
    <w:p w14:paraId="32D537A1" w14:textId="77777777" w:rsidR="00833403" w:rsidRPr="00FC55A1" w:rsidRDefault="00833403" w:rsidP="00833403">
      <w:pPr>
        <w:rPr>
          <w:b/>
          <w:bCs/>
        </w:rPr>
      </w:pPr>
      <w:r w:rsidRPr="00FC55A1">
        <w:rPr>
          <w:b/>
          <w:bCs/>
        </w:rPr>
        <w:t>Proposal 6: RAN4 may need to investigate how to minimize the testing effort (i.e., the time and complexity of testing) without reducing the test coverage in conformance testing part.</w:t>
      </w:r>
    </w:p>
    <w:p w14:paraId="38C3F554" w14:textId="77777777" w:rsidR="00833403" w:rsidRPr="00FC55A1" w:rsidRDefault="00833403" w:rsidP="00833403">
      <w:pPr>
        <w:rPr>
          <w:b/>
          <w:bCs/>
        </w:rPr>
      </w:pPr>
      <w:r w:rsidRPr="00FC55A1">
        <w:rPr>
          <w:b/>
          <w:bCs/>
        </w:rPr>
        <w:t xml:space="preserve">Observation 6: RAN1 has not had any consensus about element pattern switching period in the last concluded meetings. </w:t>
      </w:r>
    </w:p>
    <w:p w14:paraId="661EA0DC" w14:textId="57B0F288" w:rsidR="000E5EFC" w:rsidRPr="00FC55A1" w:rsidRDefault="00833403" w:rsidP="00833403">
      <w:pPr>
        <w:rPr>
          <w:b/>
          <w:bCs/>
        </w:rPr>
      </w:pPr>
      <w:r w:rsidRPr="00FC55A1">
        <w:rPr>
          <w:b/>
          <w:bCs/>
        </w:rPr>
        <w:t xml:space="preserve">Proposal 7: </w:t>
      </w:r>
      <w:r w:rsidR="001111BE" w:rsidRPr="001111BE">
        <w:rPr>
          <w:b/>
          <w:bCs/>
        </w:rPr>
        <w:t xml:space="preserve">Check with RAN1 about the conclusions/recommendations done related to element pattern switching periods and in other related </w:t>
      </w:r>
      <w:proofErr w:type="gramStart"/>
      <w:r w:rsidR="001111BE" w:rsidRPr="001111BE">
        <w:rPr>
          <w:b/>
          <w:bCs/>
        </w:rPr>
        <w:t>areas.</w:t>
      </w:r>
      <w:r w:rsidRPr="00FC55A1">
        <w:rPr>
          <w:b/>
          <w:bCs/>
        </w:rPr>
        <w:t>.</w:t>
      </w:r>
      <w:proofErr w:type="gramEnd"/>
    </w:p>
    <w:p w14:paraId="3A6447AA" w14:textId="77777777" w:rsidR="000E5EFC" w:rsidRDefault="000E5EFC" w:rsidP="008C39F7"/>
    <w:p w14:paraId="2B1E69D2" w14:textId="77777777" w:rsidR="000E5EFC" w:rsidRPr="008C39F7" w:rsidRDefault="000E5EFC" w:rsidP="008C39F7"/>
    <w:p w14:paraId="058353A2" w14:textId="77777777" w:rsidR="003B659E" w:rsidRPr="008C39F7" w:rsidRDefault="003B659E" w:rsidP="0060543D">
      <w:pPr>
        <w:pStyle w:val="RAN4H1"/>
        <w:numPr>
          <w:ilvl w:val="0"/>
          <w:numId w:val="0"/>
        </w:numPr>
        <w:ind w:left="360" w:hanging="360"/>
      </w:pPr>
      <w:r w:rsidRPr="008C39F7">
        <w:t>References</w:t>
      </w:r>
      <w:bookmarkEnd w:id="13"/>
    </w:p>
    <w:p w14:paraId="1A2C3004" w14:textId="62628636" w:rsidR="00687FA0" w:rsidRDefault="00D40288" w:rsidP="007A0BCF">
      <w:pPr>
        <w:pStyle w:val="ListParagraph"/>
        <w:numPr>
          <w:ilvl w:val="0"/>
          <w:numId w:val="5"/>
        </w:numPr>
        <w:ind w:right="-22"/>
      </w:pPr>
      <w:bookmarkStart w:id="14" w:name="_Ref114500673"/>
      <w:bookmarkStart w:id="15" w:name="_Ref134529169"/>
      <w:bookmarkEnd w:id="14"/>
      <w:r w:rsidRPr="008C39F7">
        <w:t>R4-</w:t>
      </w:r>
      <w:r w:rsidR="00B42FBF" w:rsidRPr="00B42FBF">
        <w:t>2314935</w:t>
      </w:r>
      <w:r w:rsidRPr="008C39F7">
        <w:t>,</w:t>
      </w:r>
      <w:r w:rsidR="000040DC" w:rsidRPr="008C39F7">
        <w:t xml:space="preserve"> </w:t>
      </w:r>
      <w:r w:rsidR="00B42FBF" w:rsidRPr="00B42FBF">
        <w:t>WF on RF requirements for NR Network Energy Savings</w:t>
      </w:r>
      <w:r w:rsidR="000040DC" w:rsidRPr="008C39F7">
        <w:t xml:space="preserve">, </w:t>
      </w:r>
      <w:r w:rsidRPr="008C39F7">
        <w:t>RAN4 #10</w:t>
      </w:r>
      <w:r w:rsidR="00B42FBF">
        <w:t>8</w:t>
      </w:r>
      <w:r w:rsidRPr="008C39F7">
        <w:t xml:space="preserve">, </w:t>
      </w:r>
      <w:r w:rsidR="00B42FBF">
        <w:t>August</w:t>
      </w:r>
      <w:r w:rsidRPr="008C39F7">
        <w:t xml:space="preserve"> </w:t>
      </w:r>
      <w:r w:rsidR="00944E2F">
        <w:t>2</w:t>
      </w:r>
      <w:r w:rsidR="00B42FBF">
        <w:t>1</w:t>
      </w:r>
      <w:r w:rsidRPr="008C39F7">
        <w:t xml:space="preserve"> – </w:t>
      </w:r>
      <w:r w:rsidR="00A45F1A">
        <w:t>2</w:t>
      </w:r>
      <w:r w:rsidR="00B42FBF">
        <w:t>5</w:t>
      </w:r>
      <w:r w:rsidRPr="008C39F7">
        <w:t>, 202</w:t>
      </w:r>
      <w:r w:rsidR="00A45F1A">
        <w:t>3</w:t>
      </w:r>
      <w:bookmarkEnd w:id="15"/>
      <w:r w:rsidR="000040DC" w:rsidRPr="008C39F7">
        <w:t xml:space="preserve"> </w:t>
      </w:r>
    </w:p>
    <w:p w14:paraId="43D08C04" w14:textId="71AF0512" w:rsidR="00716B16" w:rsidRDefault="00716B16" w:rsidP="007A0BCF">
      <w:pPr>
        <w:pStyle w:val="ListParagraph"/>
        <w:numPr>
          <w:ilvl w:val="0"/>
          <w:numId w:val="5"/>
        </w:numPr>
        <w:ind w:right="-22"/>
      </w:pPr>
      <w:bookmarkStart w:id="16" w:name="_Ref146014800"/>
      <w:bookmarkStart w:id="17" w:name="_Ref139457922"/>
      <w:r w:rsidRPr="008C39F7">
        <w:t>R4-</w:t>
      </w:r>
      <w:r w:rsidRPr="00716B16">
        <w:t>2314381</w:t>
      </w:r>
      <w:r w:rsidRPr="008C39F7">
        <w:t xml:space="preserve">, </w:t>
      </w:r>
      <w:r w:rsidRPr="00716B16">
        <w:t>WF on RRM requirements for NR network energy saving</w:t>
      </w:r>
      <w:r w:rsidRPr="008C39F7">
        <w:t>, RAN4 #10</w:t>
      </w:r>
      <w:r>
        <w:t>8</w:t>
      </w:r>
      <w:r w:rsidRPr="008C39F7">
        <w:t xml:space="preserve">, </w:t>
      </w:r>
      <w:r>
        <w:t>August</w:t>
      </w:r>
      <w:r w:rsidRPr="008C39F7">
        <w:t xml:space="preserve"> </w:t>
      </w:r>
      <w:r>
        <w:t>21</w:t>
      </w:r>
      <w:r w:rsidRPr="008C39F7">
        <w:t xml:space="preserve"> – </w:t>
      </w:r>
      <w:r>
        <w:t>25</w:t>
      </w:r>
      <w:r w:rsidRPr="008C39F7">
        <w:t>, 202</w:t>
      </w:r>
      <w:r>
        <w:t>3</w:t>
      </w:r>
      <w:bookmarkEnd w:id="16"/>
      <w:r w:rsidRPr="008C39F7">
        <w:t xml:space="preserve"> </w:t>
      </w:r>
    </w:p>
    <w:p w14:paraId="133EDC13" w14:textId="7AB9647B" w:rsidR="0060376C" w:rsidRDefault="0060376C" w:rsidP="0060376C">
      <w:pPr>
        <w:pStyle w:val="ListParagraph"/>
        <w:numPr>
          <w:ilvl w:val="0"/>
          <w:numId w:val="5"/>
        </w:numPr>
        <w:ind w:right="-22"/>
      </w:pPr>
      <w:bookmarkStart w:id="18" w:name="_Ref146710140"/>
      <w:r>
        <w:t xml:space="preserve">R4-2315520, </w:t>
      </w:r>
      <w:r w:rsidRPr="005041FE">
        <w:t>SSB-less operation for FR1 inter-band co-located CA</w:t>
      </w:r>
      <w:r>
        <w:t xml:space="preserve">, </w:t>
      </w:r>
      <w:r w:rsidRPr="005041FE">
        <w:t>Nokia, Nokia Shanghai Bell</w:t>
      </w:r>
      <w:bookmarkEnd w:id="18"/>
      <w:r w:rsidRPr="00F41400">
        <w:t xml:space="preserve">, RAN4 #106-bis-e, </w:t>
      </w:r>
      <w:r>
        <w:t>October</w:t>
      </w:r>
      <w:r w:rsidRPr="00F41400">
        <w:t xml:space="preserve"> </w:t>
      </w:r>
      <w:r>
        <w:t>09</w:t>
      </w:r>
      <w:r w:rsidRPr="00F41400">
        <w:t xml:space="preserve"> – </w:t>
      </w:r>
      <w:r>
        <w:t>October 13</w:t>
      </w:r>
      <w:r w:rsidRPr="00F41400">
        <w:t>, 2023.</w:t>
      </w:r>
    </w:p>
    <w:p w14:paraId="545BB6EF" w14:textId="4D3AA36E" w:rsidR="001050FE" w:rsidRDefault="001050FE" w:rsidP="007A0BCF">
      <w:pPr>
        <w:pStyle w:val="ListParagraph"/>
        <w:numPr>
          <w:ilvl w:val="0"/>
          <w:numId w:val="5"/>
        </w:numPr>
        <w:ind w:right="-22"/>
      </w:pPr>
      <w:bookmarkStart w:id="19" w:name="_Ref146026512"/>
      <w:r w:rsidRPr="00261C8B">
        <w:t>3GPP TS 38.10</w:t>
      </w:r>
      <w:r>
        <w:t xml:space="preserve">1-1, 5G; NR; </w:t>
      </w:r>
      <w:r w:rsidRPr="001050FE">
        <w:t>User Equipment (UE)</w:t>
      </w:r>
      <w:r>
        <w:t xml:space="preserve"> radio transmission and reception; </w:t>
      </w:r>
      <w:r w:rsidRPr="001050FE">
        <w:t>Part 1: Range 1 Standalone</w:t>
      </w:r>
      <w:bookmarkEnd w:id="19"/>
    </w:p>
    <w:p w14:paraId="5D73940B" w14:textId="77777777" w:rsidR="0060376C" w:rsidRDefault="0060376C" w:rsidP="0060376C">
      <w:pPr>
        <w:pStyle w:val="ListParagraph"/>
        <w:numPr>
          <w:ilvl w:val="0"/>
          <w:numId w:val="5"/>
        </w:numPr>
        <w:ind w:right="-22"/>
      </w:pPr>
      <w:bookmarkStart w:id="20" w:name="_Ref142392498"/>
      <w:bookmarkStart w:id="21" w:name="_Ref146710440"/>
      <w:r w:rsidRPr="00C95FD6">
        <w:t>RAN1 Chair’s Notes</w:t>
      </w:r>
      <w:r>
        <w:t xml:space="preserve">, </w:t>
      </w:r>
      <w:r w:rsidRPr="008C39F7">
        <w:t>RAN</w:t>
      </w:r>
      <w:r>
        <w:t>1</w:t>
      </w:r>
      <w:r w:rsidRPr="008C39F7">
        <w:t xml:space="preserve"> #1</w:t>
      </w:r>
      <w:r>
        <w:t>13</w:t>
      </w:r>
      <w:r w:rsidRPr="008C39F7">
        <w:t xml:space="preserve">, </w:t>
      </w:r>
      <w:r>
        <w:t>May 22</w:t>
      </w:r>
      <w:r w:rsidRPr="008C39F7">
        <w:t xml:space="preserve"> – </w:t>
      </w:r>
      <w:r>
        <w:t>May 26</w:t>
      </w:r>
      <w:r w:rsidRPr="008C39F7">
        <w:t>, 202</w:t>
      </w:r>
      <w:r>
        <w:t>3</w:t>
      </w:r>
      <w:r w:rsidRPr="008C39F7">
        <w:t>.</w:t>
      </w:r>
      <w:bookmarkEnd w:id="20"/>
      <w:r w:rsidRPr="008C39F7">
        <w:t xml:space="preserve"> </w:t>
      </w:r>
    </w:p>
    <w:p w14:paraId="040B9039" w14:textId="7558E464" w:rsidR="00261C8B" w:rsidRDefault="00261C8B" w:rsidP="007A0BCF">
      <w:pPr>
        <w:pStyle w:val="ListParagraph"/>
        <w:numPr>
          <w:ilvl w:val="0"/>
          <w:numId w:val="5"/>
        </w:numPr>
        <w:ind w:right="-22"/>
      </w:pPr>
      <w:bookmarkStart w:id="22" w:name="_Ref146710543"/>
      <w:r w:rsidRPr="00261C8B">
        <w:t>3GPP TS 38.104</w:t>
      </w:r>
      <w:r>
        <w:t>, 5G; NR; Base Station (BS) radio transmission and reception</w:t>
      </w:r>
      <w:bookmarkEnd w:id="17"/>
      <w:bookmarkEnd w:id="21"/>
      <w:bookmarkEnd w:id="22"/>
    </w:p>
    <w:p w14:paraId="427BA567" w14:textId="29DDCAAA" w:rsidR="008E2D17" w:rsidRDefault="00A27106" w:rsidP="007A0BCF">
      <w:pPr>
        <w:pStyle w:val="ListParagraph"/>
        <w:numPr>
          <w:ilvl w:val="0"/>
          <w:numId w:val="5"/>
        </w:numPr>
        <w:ind w:right="-22"/>
      </w:pPr>
      <w:bookmarkStart w:id="23" w:name="_Ref142383694"/>
      <w:bookmarkStart w:id="24" w:name="_Ref146710763"/>
      <w:r w:rsidRPr="00261C8B">
        <w:t>3GPP TS 38.1</w:t>
      </w:r>
      <w:r w:rsidR="00872EB5">
        <w:t>41</w:t>
      </w:r>
      <w:r w:rsidR="00D35A88">
        <w:t>-</w:t>
      </w:r>
      <w:r w:rsidR="00872EB5">
        <w:t>2</w:t>
      </w:r>
      <w:r>
        <w:t xml:space="preserve">, 5G; NR; </w:t>
      </w:r>
      <w:bookmarkEnd w:id="23"/>
      <w:r w:rsidR="00872EB5" w:rsidRPr="00872EB5">
        <w:t>Base Station (BS) conformance testing Part 2: Radiated conformance testing</w:t>
      </w:r>
      <w:bookmarkEnd w:id="24"/>
    </w:p>
    <w:p w14:paraId="686AEBFA" w14:textId="4198A8CB" w:rsidR="005041FE" w:rsidRPr="008C39F7" w:rsidRDefault="00F41400" w:rsidP="005261C2">
      <w:pPr>
        <w:pStyle w:val="ListParagraph"/>
        <w:numPr>
          <w:ilvl w:val="0"/>
          <w:numId w:val="5"/>
        </w:numPr>
        <w:ind w:right="-22"/>
      </w:pPr>
      <w:bookmarkStart w:id="25" w:name="_Ref142473596"/>
      <w:r>
        <w:lastRenderedPageBreak/>
        <w:t>R</w:t>
      </w:r>
      <w:r w:rsidRPr="00F41400">
        <w:t>4-2305529, Discussion on RF requirement impacts from NES perspective, ZTE Corporation, RAN4 #106-bis-e, April 17 – April 26, 2023.</w:t>
      </w:r>
      <w:bookmarkEnd w:id="25"/>
    </w:p>
    <w:sectPr w:rsidR="005041FE"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892A9" w14:textId="77777777" w:rsidR="001C2A7C" w:rsidRDefault="001C2A7C" w:rsidP="00001C9B">
      <w:pPr>
        <w:spacing w:after="0" w:line="240" w:lineRule="auto"/>
      </w:pPr>
      <w:r>
        <w:separator/>
      </w:r>
    </w:p>
  </w:endnote>
  <w:endnote w:type="continuationSeparator" w:id="0">
    <w:p w14:paraId="399F4F20" w14:textId="77777777" w:rsidR="001C2A7C" w:rsidRDefault="001C2A7C" w:rsidP="00001C9B">
      <w:pPr>
        <w:spacing w:after="0" w:line="240" w:lineRule="auto"/>
      </w:pPr>
      <w:r>
        <w:continuationSeparator/>
      </w:r>
    </w:p>
  </w:endnote>
  <w:endnote w:type="continuationNotice" w:id="1">
    <w:p w14:paraId="5A98E879" w14:textId="77777777" w:rsidR="001C2A7C" w:rsidRDefault="001C2A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2828F" w14:textId="77777777" w:rsidR="001C2A7C" w:rsidRDefault="001C2A7C" w:rsidP="00001C9B">
      <w:pPr>
        <w:spacing w:after="0" w:line="240" w:lineRule="auto"/>
      </w:pPr>
      <w:r>
        <w:separator/>
      </w:r>
    </w:p>
  </w:footnote>
  <w:footnote w:type="continuationSeparator" w:id="0">
    <w:p w14:paraId="658F4F36" w14:textId="77777777" w:rsidR="001C2A7C" w:rsidRDefault="001C2A7C" w:rsidP="00001C9B">
      <w:pPr>
        <w:spacing w:after="0" w:line="240" w:lineRule="auto"/>
      </w:pPr>
      <w:r>
        <w:continuationSeparator/>
      </w:r>
    </w:p>
  </w:footnote>
  <w:footnote w:type="continuationNotice" w:id="1">
    <w:p w14:paraId="0C7CC9F8" w14:textId="77777777" w:rsidR="001C2A7C" w:rsidRDefault="001C2A7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B59C8"/>
    <w:multiLevelType w:val="multilevel"/>
    <w:tmpl w:val="2F3C76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A44CE0"/>
    <w:multiLevelType w:val="multilevel"/>
    <w:tmpl w:val="012412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0919B0"/>
    <w:multiLevelType w:val="hybridMultilevel"/>
    <w:tmpl w:val="48D2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A51452F"/>
    <w:multiLevelType w:val="hybridMultilevel"/>
    <w:tmpl w:val="335E1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224C6E"/>
    <w:multiLevelType w:val="multilevel"/>
    <w:tmpl w:val="42D09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EE726E"/>
    <w:multiLevelType w:val="hybridMultilevel"/>
    <w:tmpl w:val="718EF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873C82"/>
    <w:multiLevelType w:val="multilevel"/>
    <w:tmpl w:val="C8E207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82623790">
    <w:abstractNumId w:val="8"/>
  </w:num>
  <w:num w:numId="2" w16cid:durableId="329528290">
    <w:abstractNumId w:val="5"/>
  </w:num>
  <w:num w:numId="3" w16cid:durableId="1704817442">
    <w:abstractNumId w:val="7"/>
  </w:num>
  <w:num w:numId="4" w16cid:durableId="656035865">
    <w:abstractNumId w:val="11"/>
  </w:num>
  <w:num w:numId="5" w16cid:durableId="382288869">
    <w:abstractNumId w:val="10"/>
  </w:num>
  <w:num w:numId="6" w16cid:durableId="643241380">
    <w:abstractNumId w:val="1"/>
  </w:num>
  <w:num w:numId="7" w16cid:durableId="1309633586">
    <w:abstractNumId w:val="2"/>
  </w:num>
  <w:num w:numId="8" w16cid:durableId="1956710067">
    <w:abstractNumId w:val="0"/>
  </w:num>
  <w:num w:numId="9" w16cid:durableId="913054335">
    <w:abstractNumId w:val="4"/>
  </w:num>
  <w:num w:numId="10" w16cid:durableId="229973166">
    <w:abstractNumId w:val="6"/>
  </w:num>
  <w:num w:numId="11" w16cid:durableId="181944870">
    <w:abstractNumId w:val="12"/>
  </w:num>
  <w:num w:numId="12" w16cid:durableId="82536177">
    <w:abstractNumId w:val="3"/>
  </w:num>
  <w:num w:numId="13" w16cid:durableId="1458984165">
    <w:abstractNumId w:val="9"/>
  </w:num>
  <w:num w:numId="14" w16cid:durableId="39559055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A45F1A"/>
    <w:rsid w:val="000013B1"/>
    <w:rsid w:val="00001C9B"/>
    <w:rsid w:val="000040DC"/>
    <w:rsid w:val="00007856"/>
    <w:rsid w:val="00007D3B"/>
    <w:rsid w:val="00011784"/>
    <w:rsid w:val="00011BCB"/>
    <w:rsid w:val="00014BF9"/>
    <w:rsid w:val="000151EF"/>
    <w:rsid w:val="00015F24"/>
    <w:rsid w:val="000168D6"/>
    <w:rsid w:val="00021277"/>
    <w:rsid w:val="000239F5"/>
    <w:rsid w:val="00026D19"/>
    <w:rsid w:val="000278D2"/>
    <w:rsid w:val="0003070C"/>
    <w:rsid w:val="000403D9"/>
    <w:rsid w:val="00046160"/>
    <w:rsid w:val="000515D4"/>
    <w:rsid w:val="00052C50"/>
    <w:rsid w:val="00052EA8"/>
    <w:rsid w:val="00056669"/>
    <w:rsid w:val="0006200C"/>
    <w:rsid w:val="00076172"/>
    <w:rsid w:val="00076ADB"/>
    <w:rsid w:val="00081E04"/>
    <w:rsid w:val="0008612A"/>
    <w:rsid w:val="00090E18"/>
    <w:rsid w:val="00091429"/>
    <w:rsid w:val="00091D13"/>
    <w:rsid w:val="000A07A6"/>
    <w:rsid w:val="000A10BC"/>
    <w:rsid w:val="000B0056"/>
    <w:rsid w:val="000B2348"/>
    <w:rsid w:val="000B2835"/>
    <w:rsid w:val="000C3C7B"/>
    <w:rsid w:val="000C50A6"/>
    <w:rsid w:val="000D0218"/>
    <w:rsid w:val="000D0F93"/>
    <w:rsid w:val="000D4A11"/>
    <w:rsid w:val="000E5EFC"/>
    <w:rsid w:val="000F6A85"/>
    <w:rsid w:val="001050FE"/>
    <w:rsid w:val="00106416"/>
    <w:rsid w:val="00110481"/>
    <w:rsid w:val="001111BE"/>
    <w:rsid w:val="001127C9"/>
    <w:rsid w:val="00115B88"/>
    <w:rsid w:val="001160FA"/>
    <w:rsid w:val="001179EE"/>
    <w:rsid w:val="00121A0A"/>
    <w:rsid w:val="00124797"/>
    <w:rsid w:val="00132F6A"/>
    <w:rsid w:val="001334EC"/>
    <w:rsid w:val="001336A4"/>
    <w:rsid w:val="00133913"/>
    <w:rsid w:val="00140221"/>
    <w:rsid w:val="00143A62"/>
    <w:rsid w:val="001459AB"/>
    <w:rsid w:val="00151BAF"/>
    <w:rsid w:val="00153F3B"/>
    <w:rsid w:val="0015545C"/>
    <w:rsid w:val="001642FC"/>
    <w:rsid w:val="0016496B"/>
    <w:rsid w:val="001709DB"/>
    <w:rsid w:val="00170CDC"/>
    <w:rsid w:val="001743E2"/>
    <w:rsid w:val="001745F8"/>
    <w:rsid w:val="001838CF"/>
    <w:rsid w:val="00185A57"/>
    <w:rsid w:val="001868EE"/>
    <w:rsid w:val="00193953"/>
    <w:rsid w:val="001A0AF0"/>
    <w:rsid w:val="001A0C92"/>
    <w:rsid w:val="001A3BA4"/>
    <w:rsid w:val="001A5731"/>
    <w:rsid w:val="001A6D1F"/>
    <w:rsid w:val="001A7CB4"/>
    <w:rsid w:val="001C2A7C"/>
    <w:rsid w:val="001C2D9D"/>
    <w:rsid w:val="001C60CC"/>
    <w:rsid w:val="001D038A"/>
    <w:rsid w:val="001D1537"/>
    <w:rsid w:val="001D2BDD"/>
    <w:rsid w:val="001D6269"/>
    <w:rsid w:val="001E1CED"/>
    <w:rsid w:val="001E2D54"/>
    <w:rsid w:val="001E30F6"/>
    <w:rsid w:val="001E38CB"/>
    <w:rsid w:val="001F062D"/>
    <w:rsid w:val="001F1D32"/>
    <w:rsid w:val="001F472A"/>
    <w:rsid w:val="001F4C0D"/>
    <w:rsid w:val="002028A9"/>
    <w:rsid w:val="00211D9A"/>
    <w:rsid w:val="00212F42"/>
    <w:rsid w:val="002138CC"/>
    <w:rsid w:val="00217EE5"/>
    <w:rsid w:val="00227F5C"/>
    <w:rsid w:val="00234CD1"/>
    <w:rsid w:val="00235F5C"/>
    <w:rsid w:val="00246331"/>
    <w:rsid w:val="00255F20"/>
    <w:rsid w:val="00257FA3"/>
    <w:rsid w:val="00261C8B"/>
    <w:rsid w:val="002719A4"/>
    <w:rsid w:val="0027234D"/>
    <w:rsid w:val="00272A25"/>
    <w:rsid w:val="00277B56"/>
    <w:rsid w:val="0028265A"/>
    <w:rsid w:val="00291E52"/>
    <w:rsid w:val="002A19F5"/>
    <w:rsid w:val="002A1E13"/>
    <w:rsid w:val="002B11A4"/>
    <w:rsid w:val="002B4922"/>
    <w:rsid w:val="002B71A5"/>
    <w:rsid w:val="002C22C3"/>
    <w:rsid w:val="002C2D19"/>
    <w:rsid w:val="002C3573"/>
    <w:rsid w:val="002D10FA"/>
    <w:rsid w:val="002D4C55"/>
    <w:rsid w:val="002D522E"/>
    <w:rsid w:val="002E1AEE"/>
    <w:rsid w:val="002E6DED"/>
    <w:rsid w:val="002F46B5"/>
    <w:rsid w:val="003002EA"/>
    <w:rsid w:val="00300774"/>
    <w:rsid w:val="00300956"/>
    <w:rsid w:val="003065D0"/>
    <w:rsid w:val="00317187"/>
    <w:rsid w:val="00322374"/>
    <w:rsid w:val="0032499A"/>
    <w:rsid w:val="00331E96"/>
    <w:rsid w:val="00332581"/>
    <w:rsid w:val="003341F7"/>
    <w:rsid w:val="003372B0"/>
    <w:rsid w:val="00347FEC"/>
    <w:rsid w:val="00352521"/>
    <w:rsid w:val="00356F45"/>
    <w:rsid w:val="00360F35"/>
    <w:rsid w:val="00362681"/>
    <w:rsid w:val="00366B74"/>
    <w:rsid w:val="0037173F"/>
    <w:rsid w:val="00373CF0"/>
    <w:rsid w:val="0037615A"/>
    <w:rsid w:val="00381A89"/>
    <w:rsid w:val="00387DD5"/>
    <w:rsid w:val="003A571D"/>
    <w:rsid w:val="003A710A"/>
    <w:rsid w:val="003B3897"/>
    <w:rsid w:val="003B44F0"/>
    <w:rsid w:val="003B659E"/>
    <w:rsid w:val="003C275E"/>
    <w:rsid w:val="003C2BFA"/>
    <w:rsid w:val="003C31E5"/>
    <w:rsid w:val="003C4FDE"/>
    <w:rsid w:val="003D3087"/>
    <w:rsid w:val="003D6DA4"/>
    <w:rsid w:val="003E2CD6"/>
    <w:rsid w:val="003E58DF"/>
    <w:rsid w:val="00404C4C"/>
    <w:rsid w:val="00406EC0"/>
    <w:rsid w:val="0041423F"/>
    <w:rsid w:val="00414F81"/>
    <w:rsid w:val="00425874"/>
    <w:rsid w:val="004330AA"/>
    <w:rsid w:val="00436A0F"/>
    <w:rsid w:val="00437150"/>
    <w:rsid w:val="0043750A"/>
    <w:rsid w:val="004471A7"/>
    <w:rsid w:val="00456748"/>
    <w:rsid w:val="00461069"/>
    <w:rsid w:val="00461BE2"/>
    <w:rsid w:val="00462DDF"/>
    <w:rsid w:val="00465FB7"/>
    <w:rsid w:val="004732E9"/>
    <w:rsid w:val="0047337C"/>
    <w:rsid w:val="0047595D"/>
    <w:rsid w:val="00477C43"/>
    <w:rsid w:val="004854BB"/>
    <w:rsid w:val="0048638F"/>
    <w:rsid w:val="004909F4"/>
    <w:rsid w:val="00494493"/>
    <w:rsid w:val="00496606"/>
    <w:rsid w:val="004A7EC8"/>
    <w:rsid w:val="004B13DA"/>
    <w:rsid w:val="004B3B0C"/>
    <w:rsid w:val="004C5844"/>
    <w:rsid w:val="004C5DB2"/>
    <w:rsid w:val="004D177B"/>
    <w:rsid w:val="004D33C4"/>
    <w:rsid w:val="004E1EF9"/>
    <w:rsid w:val="004E5E66"/>
    <w:rsid w:val="004E7888"/>
    <w:rsid w:val="004E7ADB"/>
    <w:rsid w:val="004F0877"/>
    <w:rsid w:val="004F14B4"/>
    <w:rsid w:val="00500D29"/>
    <w:rsid w:val="00503B4D"/>
    <w:rsid w:val="005041FE"/>
    <w:rsid w:val="005046FA"/>
    <w:rsid w:val="00504EE9"/>
    <w:rsid w:val="00510962"/>
    <w:rsid w:val="00520A40"/>
    <w:rsid w:val="00521576"/>
    <w:rsid w:val="00523315"/>
    <w:rsid w:val="00523757"/>
    <w:rsid w:val="005250E6"/>
    <w:rsid w:val="005261C2"/>
    <w:rsid w:val="005336E2"/>
    <w:rsid w:val="00542D23"/>
    <w:rsid w:val="0054442C"/>
    <w:rsid w:val="00550285"/>
    <w:rsid w:val="0055085B"/>
    <w:rsid w:val="00551C93"/>
    <w:rsid w:val="005600DB"/>
    <w:rsid w:val="00562492"/>
    <w:rsid w:val="00567A6B"/>
    <w:rsid w:val="00572A20"/>
    <w:rsid w:val="00574FC9"/>
    <w:rsid w:val="00581F20"/>
    <w:rsid w:val="005836F8"/>
    <w:rsid w:val="00584799"/>
    <w:rsid w:val="00586B94"/>
    <w:rsid w:val="005918FA"/>
    <w:rsid w:val="00592A86"/>
    <w:rsid w:val="00593F71"/>
    <w:rsid w:val="005978F6"/>
    <w:rsid w:val="005B3496"/>
    <w:rsid w:val="005B4801"/>
    <w:rsid w:val="005B6151"/>
    <w:rsid w:val="005C23A4"/>
    <w:rsid w:val="005D1CDF"/>
    <w:rsid w:val="005D2BB7"/>
    <w:rsid w:val="005D35E0"/>
    <w:rsid w:val="005D4ED0"/>
    <w:rsid w:val="005D539E"/>
    <w:rsid w:val="005D5CB1"/>
    <w:rsid w:val="005E61A8"/>
    <w:rsid w:val="005E7B2F"/>
    <w:rsid w:val="005F2D46"/>
    <w:rsid w:val="005F6419"/>
    <w:rsid w:val="00600E32"/>
    <w:rsid w:val="0060312E"/>
    <w:rsid w:val="0060376C"/>
    <w:rsid w:val="0060543D"/>
    <w:rsid w:val="00607586"/>
    <w:rsid w:val="006077CF"/>
    <w:rsid w:val="006104DD"/>
    <w:rsid w:val="00611626"/>
    <w:rsid w:val="006130B5"/>
    <w:rsid w:val="00617400"/>
    <w:rsid w:val="00623795"/>
    <w:rsid w:val="00624869"/>
    <w:rsid w:val="006250E9"/>
    <w:rsid w:val="006318D7"/>
    <w:rsid w:val="00632D29"/>
    <w:rsid w:val="00645B92"/>
    <w:rsid w:val="006510C9"/>
    <w:rsid w:val="00652AC1"/>
    <w:rsid w:val="00652D0C"/>
    <w:rsid w:val="00653F89"/>
    <w:rsid w:val="0065769E"/>
    <w:rsid w:val="00664950"/>
    <w:rsid w:val="0067098D"/>
    <w:rsid w:val="00682CC0"/>
    <w:rsid w:val="00683220"/>
    <w:rsid w:val="00687FA0"/>
    <w:rsid w:val="00691C47"/>
    <w:rsid w:val="006A3C11"/>
    <w:rsid w:val="006B7010"/>
    <w:rsid w:val="006C0BCD"/>
    <w:rsid w:val="006C3095"/>
    <w:rsid w:val="006C713A"/>
    <w:rsid w:val="006D6CE4"/>
    <w:rsid w:val="006E1151"/>
    <w:rsid w:val="006E6311"/>
    <w:rsid w:val="006F3564"/>
    <w:rsid w:val="006F480F"/>
    <w:rsid w:val="006F4DCE"/>
    <w:rsid w:val="006F582D"/>
    <w:rsid w:val="006F6BCA"/>
    <w:rsid w:val="00700EBA"/>
    <w:rsid w:val="00703651"/>
    <w:rsid w:val="00705779"/>
    <w:rsid w:val="007145FF"/>
    <w:rsid w:val="00715B2A"/>
    <w:rsid w:val="00716B16"/>
    <w:rsid w:val="00723795"/>
    <w:rsid w:val="00724B97"/>
    <w:rsid w:val="00724CEB"/>
    <w:rsid w:val="0072594E"/>
    <w:rsid w:val="007343CC"/>
    <w:rsid w:val="007414B6"/>
    <w:rsid w:val="00742305"/>
    <w:rsid w:val="007450F1"/>
    <w:rsid w:val="007501DB"/>
    <w:rsid w:val="00751515"/>
    <w:rsid w:val="007626B7"/>
    <w:rsid w:val="007722C6"/>
    <w:rsid w:val="0078212B"/>
    <w:rsid w:val="00784DF6"/>
    <w:rsid w:val="00785232"/>
    <w:rsid w:val="00793038"/>
    <w:rsid w:val="007A0BCF"/>
    <w:rsid w:val="007A4463"/>
    <w:rsid w:val="007A5329"/>
    <w:rsid w:val="007B186C"/>
    <w:rsid w:val="007B35C1"/>
    <w:rsid w:val="007C0F99"/>
    <w:rsid w:val="007C1696"/>
    <w:rsid w:val="007C3ED0"/>
    <w:rsid w:val="007C5971"/>
    <w:rsid w:val="007D2950"/>
    <w:rsid w:val="007E13D1"/>
    <w:rsid w:val="007E6955"/>
    <w:rsid w:val="007F37C5"/>
    <w:rsid w:val="007F54B9"/>
    <w:rsid w:val="0080242B"/>
    <w:rsid w:val="00806A76"/>
    <w:rsid w:val="00810902"/>
    <w:rsid w:val="00811C9D"/>
    <w:rsid w:val="00816C80"/>
    <w:rsid w:val="00817BB8"/>
    <w:rsid w:val="00823BA7"/>
    <w:rsid w:val="00827814"/>
    <w:rsid w:val="008308BB"/>
    <w:rsid w:val="00833403"/>
    <w:rsid w:val="008408E5"/>
    <w:rsid w:val="00840C4A"/>
    <w:rsid w:val="00841BCD"/>
    <w:rsid w:val="00846618"/>
    <w:rsid w:val="00851A8E"/>
    <w:rsid w:val="0085365B"/>
    <w:rsid w:val="00853A41"/>
    <w:rsid w:val="00872EB5"/>
    <w:rsid w:val="008826C1"/>
    <w:rsid w:val="00883DFD"/>
    <w:rsid w:val="00887D95"/>
    <w:rsid w:val="008975E2"/>
    <w:rsid w:val="008A1BF7"/>
    <w:rsid w:val="008A2886"/>
    <w:rsid w:val="008A537F"/>
    <w:rsid w:val="008A5B0E"/>
    <w:rsid w:val="008A669E"/>
    <w:rsid w:val="008B0961"/>
    <w:rsid w:val="008C1EF0"/>
    <w:rsid w:val="008C39F7"/>
    <w:rsid w:val="008C4BCC"/>
    <w:rsid w:val="008D0592"/>
    <w:rsid w:val="008D10EC"/>
    <w:rsid w:val="008E2338"/>
    <w:rsid w:val="008E2D17"/>
    <w:rsid w:val="008E758F"/>
    <w:rsid w:val="008F1848"/>
    <w:rsid w:val="0090091A"/>
    <w:rsid w:val="009042BD"/>
    <w:rsid w:val="00904FE4"/>
    <w:rsid w:val="0091530E"/>
    <w:rsid w:val="00916944"/>
    <w:rsid w:val="00922D19"/>
    <w:rsid w:val="009272AE"/>
    <w:rsid w:val="00936159"/>
    <w:rsid w:val="00937EF5"/>
    <w:rsid w:val="0094481F"/>
    <w:rsid w:val="00944E2F"/>
    <w:rsid w:val="009632F5"/>
    <w:rsid w:val="00964285"/>
    <w:rsid w:val="009729CB"/>
    <w:rsid w:val="00976E3F"/>
    <w:rsid w:val="00977E1D"/>
    <w:rsid w:val="00984B07"/>
    <w:rsid w:val="009864AD"/>
    <w:rsid w:val="00986BD7"/>
    <w:rsid w:val="009A170F"/>
    <w:rsid w:val="009A23E9"/>
    <w:rsid w:val="009A5019"/>
    <w:rsid w:val="009B0215"/>
    <w:rsid w:val="009B0573"/>
    <w:rsid w:val="009B2E85"/>
    <w:rsid w:val="009B4464"/>
    <w:rsid w:val="009B7B4B"/>
    <w:rsid w:val="009B7C21"/>
    <w:rsid w:val="009D24D3"/>
    <w:rsid w:val="009D5C11"/>
    <w:rsid w:val="009E4092"/>
    <w:rsid w:val="009F70E7"/>
    <w:rsid w:val="00A03182"/>
    <w:rsid w:val="00A04992"/>
    <w:rsid w:val="00A147AA"/>
    <w:rsid w:val="00A177C5"/>
    <w:rsid w:val="00A21497"/>
    <w:rsid w:val="00A21D71"/>
    <w:rsid w:val="00A22B78"/>
    <w:rsid w:val="00A25AE5"/>
    <w:rsid w:val="00A27106"/>
    <w:rsid w:val="00A31258"/>
    <w:rsid w:val="00A36BCE"/>
    <w:rsid w:val="00A37002"/>
    <w:rsid w:val="00A37A03"/>
    <w:rsid w:val="00A4355E"/>
    <w:rsid w:val="00A45F1A"/>
    <w:rsid w:val="00A508F3"/>
    <w:rsid w:val="00A5210F"/>
    <w:rsid w:val="00A52FA6"/>
    <w:rsid w:val="00A53C74"/>
    <w:rsid w:val="00A66CB4"/>
    <w:rsid w:val="00A80A73"/>
    <w:rsid w:val="00A91003"/>
    <w:rsid w:val="00A91D75"/>
    <w:rsid w:val="00A92BCD"/>
    <w:rsid w:val="00AA16A3"/>
    <w:rsid w:val="00AA1A86"/>
    <w:rsid w:val="00AA1B0E"/>
    <w:rsid w:val="00AA295F"/>
    <w:rsid w:val="00AA2EE2"/>
    <w:rsid w:val="00AA47B6"/>
    <w:rsid w:val="00AB405B"/>
    <w:rsid w:val="00AB7827"/>
    <w:rsid w:val="00AC163B"/>
    <w:rsid w:val="00AC207C"/>
    <w:rsid w:val="00AC5CA7"/>
    <w:rsid w:val="00AC6058"/>
    <w:rsid w:val="00AC64D4"/>
    <w:rsid w:val="00AD5D3A"/>
    <w:rsid w:val="00AD7BDC"/>
    <w:rsid w:val="00AE2BA5"/>
    <w:rsid w:val="00AE30BF"/>
    <w:rsid w:val="00AE56B1"/>
    <w:rsid w:val="00AE6D09"/>
    <w:rsid w:val="00AF20D6"/>
    <w:rsid w:val="00AF2799"/>
    <w:rsid w:val="00AF6B85"/>
    <w:rsid w:val="00AF7A7C"/>
    <w:rsid w:val="00B00D3C"/>
    <w:rsid w:val="00B00D6B"/>
    <w:rsid w:val="00B02070"/>
    <w:rsid w:val="00B0217C"/>
    <w:rsid w:val="00B03850"/>
    <w:rsid w:val="00B05DBC"/>
    <w:rsid w:val="00B15D33"/>
    <w:rsid w:val="00B225DF"/>
    <w:rsid w:val="00B234D4"/>
    <w:rsid w:val="00B261CD"/>
    <w:rsid w:val="00B317B6"/>
    <w:rsid w:val="00B333A0"/>
    <w:rsid w:val="00B33D2F"/>
    <w:rsid w:val="00B408B6"/>
    <w:rsid w:val="00B42FBF"/>
    <w:rsid w:val="00B505AA"/>
    <w:rsid w:val="00B51FB1"/>
    <w:rsid w:val="00B542DA"/>
    <w:rsid w:val="00B56E43"/>
    <w:rsid w:val="00B73862"/>
    <w:rsid w:val="00B73F43"/>
    <w:rsid w:val="00B8479D"/>
    <w:rsid w:val="00B94877"/>
    <w:rsid w:val="00B948CE"/>
    <w:rsid w:val="00BA01F4"/>
    <w:rsid w:val="00BA1F57"/>
    <w:rsid w:val="00BA42E1"/>
    <w:rsid w:val="00BA6A95"/>
    <w:rsid w:val="00BA6B66"/>
    <w:rsid w:val="00BA6E48"/>
    <w:rsid w:val="00BB2D0D"/>
    <w:rsid w:val="00BB7430"/>
    <w:rsid w:val="00BD1219"/>
    <w:rsid w:val="00BD3EE8"/>
    <w:rsid w:val="00BD46D0"/>
    <w:rsid w:val="00BD49B2"/>
    <w:rsid w:val="00BE0AF6"/>
    <w:rsid w:val="00BE1F03"/>
    <w:rsid w:val="00BE58A7"/>
    <w:rsid w:val="00BF0441"/>
    <w:rsid w:val="00BF2218"/>
    <w:rsid w:val="00BF6E82"/>
    <w:rsid w:val="00C03C6E"/>
    <w:rsid w:val="00C0426B"/>
    <w:rsid w:val="00C0429B"/>
    <w:rsid w:val="00C045DF"/>
    <w:rsid w:val="00C05FBF"/>
    <w:rsid w:val="00C06E5E"/>
    <w:rsid w:val="00C13CBC"/>
    <w:rsid w:val="00C170AF"/>
    <w:rsid w:val="00C26D43"/>
    <w:rsid w:val="00C31555"/>
    <w:rsid w:val="00C35F37"/>
    <w:rsid w:val="00C442A6"/>
    <w:rsid w:val="00C457F8"/>
    <w:rsid w:val="00C46548"/>
    <w:rsid w:val="00C50B2E"/>
    <w:rsid w:val="00C574D5"/>
    <w:rsid w:val="00C737C2"/>
    <w:rsid w:val="00C73F32"/>
    <w:rsid w:val="00C748FA"/>
    <w:rsid w:val="00C758CD"/>
    <w:rsid w:val="00C82A18"/>
    <w:rsid w:val="00C846E8"/>
    <w:rsid w:val="00C87462"/>
    <w:rsid w:val="00C8791E"/>
    <w:rsid w:val="00C95FD6"/>
    <w:rsid w:val="00C966DA"/>
    <w:rsid w:val="00C9773B"/>
    <w:rsid w:val="00CA180C"/>
    <w:rsid w:val="00CA3A68"/>
    <w:rsid w:val="00CB17B6"/>
    <w:rsid w:val="00CB22B2"/>
    <w:rsid w:val="00CC1EC1"/>
    <w:rsid w:val="00CC339E"/>
    <w:rsid w:val="00CC3EE2"/>
    <w:rsid w:val="00CD7492"/>
    <w:rsid w:val="00CE3A6B"/>
    <w:rsid w:val="00CF648E"/>
    <w:rsid w:val="00D00211"/>
    <w:rsid w:val="00D02705"/>
    <w:rsid w:val="00D04221"/>
    <w:rsid w:val="00D042D5"/>
    <w:rsid w:val="00D06309"/>
    <w:rsid w:val="00D11013"/>
    <w:rsid w:val="00D15447"/>
    <w:rsid w:val="00D172E9"/>
    <w:rsid w:val="00D2192C"/>
    <w:rsid w:val="00D24A04"/>
    <w:rsid w:val="00D310AC"/>
    <w:rsid w:val="00D351EA"/>
    <w:rsid w:val="00D358F8"/>
    <w:rsid w:val="00D35A88"/>
    <w:rsid w:val="00D40288"/>
    <w:rsid w:val="00D4293C"/>
    <w:rsid w:val="00D43403"/>
    <w:rsid w:val="00D477B0"/>
    <w:rsid w:val="00D502FB"/>
    <w:rsid w:val="00D5270B"/>
    <w:rsid w:val="00D56EC3"/>
    <w:rsid w:val="00D62E71"/>
    <w:rsid w:val="00D6430D"/>
    <w:rsid w:val="00D66188"/>
    <w:rsid w:val="00D72267"/>
    <w:rsid w:val="00D731F6"/>
    <w:rsid w:val="00D73761"/>
    <w:rsid w:val="00D740CA"/>
    <w:rsid w:val="00D844A4"/>
    <w:rsid w:val="00D85098"/>
    <w:rsid w:val="00D85728"/>
    <w:rsid w:val="00D85E8B"/>
    <w:rsid w:val="00D948F8"/>
    <w:rsid w:val="00D95481"/>
    <w:rsid w:val="00D97C3E"/>
    <w:rsid w:val="00DA326F"/>
    <w:rsid w:val="00DC06EF"/>
    <w:rsid w:val="00DC10AB"/>
    <w:rsid w:val="00DC467A"/>
    <w:rsid w:val="00DC6A18"/>
    <w:rsid w:val="00DC7A13"/>
    <w:rsid w:val="00DC7CF3"/>
    <w:rsid w:val="00DD14D4"/>
    <w:rsid w:val="00DE05DD"/>
    <w:rsid w:val="00DE07BB"/>
    <w:rsid w:val="00DE1BD2"/>
    <w:rsid w:val="00DE4A40"/>
    <w:rsid w:val="00DF2997"/>
    <w:rsid w:val="00E10BC4"/>
    <w:rsid w:val="00E1415D"/>
    <w:rsid w:val="00E15678"/>
    <w:rsid w:val="00E25191"/>
    <w:rsid w:val="00E323E9"/>
    <w:rsid w:val="00E32710"/>
    <w:rsid w:val="00E33745"/>
    <w:rsid w:val="00E33A4B"/>
    <w:rsid w:val="00E34018"/>
    <w:rsid w:val="00E37399"/>
    <w:rsid w:val="00E437D2"/>
    <w:rsid w:val="00E55751"/>
    <w:rsid w:val="00E61F7F"/>
    <w:rsid w:val="00E64D3F"/>
    <w:rsid w:val="00E653DA"/>
    <w:rsid w:val="00E83B1F"/>
    <w:rsid w:val="00E84479"/>
    <w:rsid w:val="00EA2311"/>
    <w:rsid w:val="00EA6CC8"/>
    <w:rsid w:val="00EC27B6"/>
    <w:rsid w:val="00EC321E"/>
    <w:rsid w:val="00EC7BC3"/>
    <w:rsid w:val="00ED6D5A"/>
    <w:rsid w:val="00ED7600"/>
    <w:rsid w:val="00EE28BD"/>
    <w:rsid w:val="00EF42BA"/>
    <w:rsid w:val="00EF6073"/>
    <w:rsid w:val="00EF698B"/>
    <w:rsid w:val="00F02A86"/>
    <w:rsid w:val="00F070E8"/>
    <w:rsid w:val="00F0755A"/>
    <w:rsid w:val="00F07F3E"/>
    <w:rsid w:val="00F10E21"/>
    <w:rsid w:val="00F1178C"/>
    <w:rsid w:val="00F1362C"/>
    <w:rsid w:val="00F33512"/>
    <w:rsid w:val="00F35E78"/>
    <w:rsid w:val="00F36F1E"/>
    <w:rsid w:val="00F41400"/>
    <w:rsid w:val="00F414F1"/>
    <w:rsid w:val="00F508B8"/>
    <w:rsid w:val="00F57323"/>
    <w:rsid w:val="00F578DA"/>
    <w:rsid w:val="00F602D1"/>
    <w:rsid w:val="00F71BFD"/>
    <w:rsid w:val="00F72CB1"/>
    <w:rsid w:val="00F7502B"/>
    <w:rsid w:val="00F8215E"/>
    <w:rsid w:val="00F824F5"/>
    <w:rsid w:val="00F90FAB"/>
    <w:rsid w:val="00F92613"/>
    <w:rsid w:val="00F92620"/>
    <w:rsid w:val="00F92883"/>
    <w:rsid w:val="00F93675"/>
    <w:rsid w:val="00F9374D"/>
    <w:rsid w:val="00F957CD"/>
    <w:rsid w:val="00F964C6"/>
    <w:rsid w:val="00FA2BF9"/>
    <w:rsid w:val="00FB192F"/>
    <w:rsid w:val="00FB722C"/>
    <w:rsid w:val="00FC29B9"/>
    <w:rsid w:val="00FC55A1"/>
    <w:rsid w:val="00FC6FD3"/>
    <w:rsid w:val="00FD1CA8"/>
    <w:rsid w:val="00FD3DB7"/>
    <w:rsid w:val="00FE305C"/>
    <w:rsid w:val="00FE45C5"/>
    <w:rsid w:val="00FE7324"/>
    <w:rsid w:val="00FF0301"/>
    <w:rsid w:val="00FF2DB8"/>
    <w:rsid w:val="10F599F3"/>
    <w:rsid w:val="1D1765EC"/>
    <w:rsid w:val="29298FE5"/>
    <w:rsid w:val="2F08437D"/>
    <w:rsid w:val="332D357E"/>
    <w:rsid w:val="34C905DF"/>
    <w:rsid w:val="3F63AB18"/>
    <w:rsid w:val="50BAE8FA"/>
    <w:rsid w:val="5A9484F4"/>
    <w:rsid w:val="5D1371D3"/>
    <w:rsid w:val="617EDACD"/>
    <w:rsid w:val="6299A84E"/>
    <w:rsid w:val="68D83A57"/>
    <w:rsid w:val="724ADB66"/>
    <w:rsid w:val="783D9B31"/>
    <w:rsid w:val="7B1A9BA9"/>
    <w:rsid w:val="7DC0FF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E7D418"/>
  <w15:chartTrackingRefBased/>
  <w15:docId w15:val="{6EF5846C-26E3-4102-ACA0-1B8693CAD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EF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リスト段落,?? ??,?????,????,Lista1,列出段落1,中等深浅网格 1 - 着色 21,¥ê¥¹¥È¶ÎÂä,¥¡¡¡¡ì¬º¥¹¥È¶ÎÂä,ÁÐ³ö¶ÎÂä,列表段落1,—ño’i—Ž,1st level - Bullet List Paragraph,Lettre d'introduction,Paragrafo elenco,Normal bullet 2,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列出段落 Char,リスト段落 Char,?? ?? Char,????? Char,???? Char,Lista1 Char,列出段落1 Char,中等深浅网格 1 - 着色 21 Char,¥ê¥¹¥È¶ÎÂä Char,¥¡¡¡¡ì¬º¥¹¥È¶ÎÂä Char,ÁÐ³ö¶ÎÂä Char,列表段落1 Char,—ño’i—Ž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paragraph" w:styleId="BodyText">
    <w:name w:val="Body Text"/>
    <w:aliases w:val="bt"/>
    <w:basedOn w:val="Normal"/>
    <w:link w:val="BodyTextChar"/>
    <w:qFormat/>
    <w:rsid w:val="007F37C5"/>
    <w:pPr>
      <w:spacing w:after="120" w:line="240" w:lineRule="auto"/>
      <w:jc w:val="both"/>
    </w:pPr>
    <w:rPr>
      <w:rFonts w:ascii="Times" w:eastAsia="Batang" w:hAnsi="Times" w:cs="Times New Roman"/>
      <w:szCs w:val="24"/>
      <w:lang w:val="en-GB" w:eastAsia="x-none"/>
    </w:rPr>
  </w:style>
  <w:style w:type="character" w:customStyle="1" w:styleId="BodyTextChar">
    <w:name w:val="Body Text Char"/>
    <w:aliases w:val="bt Char"/>
    <w:basedOn w:val="DefaultParagraphFont"/>
    <w:link w:val="BodyText"/>
    <w:qFormat/>
    <w:rsid w:val="007F37C5"/>
    <w:rPr>
      <w:rFonts w:ascii="Times" w:eastAsia="Batang" w:hAnsi="Times" w:cs="Times New Roman"/>
      <w:sz w:val="20"/>
      <w:szCs w:val="24"/>
      <w:lang w:val="en-GB" w:eastAsia="x-none"/>
    </w:rPr>
  </w:style>
  <w:style w:type="paragraph" w:styleId="Revision">
    <w:name w:val="Revision"/>
    <w:hidden/>
    <w:uiPriority w:val="99"/>
    <w:semiHidden/>
    <w:rsid w:val="00E33745"/>
    <w:pPr>
      <w:spacing w:after="0" w:line="240" w:lineRule="auto"/>
    </w:pPr>
    <w:rPr>
      <w:rFonts w:ascii="Times New Roman" w:hAnsi="Times New Roman"/>
      <w:sz w:val="20"/>
    </w:rPr>
  </w:style>
  <w:style w:type="paragraph" w:styleId="Header">
    <w:name w:val="header"/>
    <w:basedOn w:val="Normal"/>
    <w:link w:val="HeaderChar"/>
    <w:uiPriority w:val="99"/>
    <w:semiHidden/>
    <w:unhideWhenUsed/>
    <w:rsid w:val="00387DD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87DD5"/>
    <w:rPr>
      <w:rFonts w:ascii="Times New Roman" w:hAnsi="Times New Roman"/>
      <w:sz w:val="20"/>
    </w:rPr>
  </w:style>
  <w:style w:type="paragraph" w:styleId="Footer">
    <w:name w:val="footer"/>
    <w:basedOn w:val="Normal"/>
    <w:link w:val="FooterChar"/>
    <w:uiPriority w:val="99"/>
    <w:semiHidden/>
    <w:unhideWhenUsed/>
    <w:rsid w:val="00387DD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87DD5"/>
    <w:rPr>
      <w:rFonts w:ascii="Times New Roman" w:hAnsi="Times New Roman"/>
      <w:sz w:val="20"/>
    </w:rPr>
  </w:style>
  <w:style w:type="character" w:styleId="PlaceholderText">
    <w:name w:val="Placeholder Text"/>
    <w:basedOn w:val="DefaultParagraphFont"/>
    <w:uiPriority w:val="99"/>
    <w:semiHidden/>
    <w:rsid w:val="00F9367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740673">
      <w:bodyDiv w:val="1"/>
      <w:marLeft w:val="0"/>
      <w:marRight w:val="0"/>
      <w:marTop w:val="0"/>
      <w:marBottom w:val="0"/>
      <w:divBdr>
        <w:top w:val="none" w:sz="0" w:space="0" w:color="auto"/>
        <w:left w:val="none" w:sz="0" w:space="0" w:color="auto"/>
        <w:bottom w:val="none" w:sz="0" w:space="0" w:color="auto"/>
        <w:right w:val="none" w:sz="0" w:space="0" w:color="auto"/>
      </w:divBdr>
    </w:div>
    <w:div w:id="1929997115">
      <w:bodyDiv w:val="1"/>
      <w:marLeft w:val="0"/>
      <w:marRight w:val="0"/>
      <w:marTop w:val="0"/>
      <w:marBottom w:val="0"/>
      <w:divBdr>
        <w:top w:val="none" w:sz="0" w:space="0" w:color="auto"/>
        <w:left w:val="none" w:sz="0" w:space="0" w:color="auto"/>
        <w:bottom w:val="none" w:sz="0" w:space="0" w:color="auto"/>
        <w:right w:val="none" w:sz="0" w:space="0" w:color="auto"/>
      </w:divBdr>
    </w:div>
    <w:div w:id="21408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puruha\OneDrive%20-%20Nokia\Network_Energy_Savings\RAN4\Meeting_107\Nokia_Tdocs\RF\R4-22xxxxx_NES_RF_Nok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5AIRPNAIUNRU-1328258698-26935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https://nokia.sharepoint.com/sites/c5g/5gradio/_layouts/15/DocIdRedir.aspx?ID=5AIRPNAIUNRU-1328258698-26935</Url>
      <Description>5AIRPNAIUNRU-1328258698-26935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562A3B94-E36A-4D69-A09A-C8B823B7C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R4-22xxxxx_NES_RF_Nokia.dotx</Template>
  <TotalTime>4624</TotalTime>
  <Pages>1</Pages>
  <Words>2742</Words>
  <Characters>15631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Kapuruhamy, Manosha (Nokia - FI/Oulu)</dc:creator>
  <cp:keywords>3GPP;RAN4</cp:keywords>
  <dc:description/>
  <cp:lastModifiedBy>Nokia </cp:lastModifiedBy>
  <cp:revision>321</cp:revision>
  <dcterms:created xsi:type="dcterms:W3CDTF">2023-05-08T18:45:00Z</dcterms:created>
  <dcterms:modified xsi:type="dcterms:W3CDTF">2023-09-27T16:29:00Z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d4e5dace-b336-4602-9a32-50794ba0c146</vt:lpwstr>
  </property>
  <property fmtid="{D5CDD505-2E9C-101B-9397-08002B2CF9AE}" pid="11" name="MediaServiceImageTags">
    <vt:lpwstr/>
  </property>
</Properties>
</file>