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3GPP TSG-RAN WG4 Meeting # 108bis</w:t>
      </w:r>
      <w:r>
        <w:rPr>
          <w:rFonts w:hint="eastAsia"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R4-2315199</w:t>
      </w:r>
    </w:p>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Xiamen, China, October 09 – October 13, 2023</w:t>
      </w:r>
    </w:p>
    <w:p>
      <w:pPr>
        <w:bidi w:val="0"/>
        <w:rPr>
          <w:lang w:val="en-US" w:eastAsia="zh-CN"/>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5.19.2.2.1</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SBFD BS RF requirement</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ascii="Times New Roman" w:hAnsi="Times New Roman"/>
          <w:sz w:val="20"/>
        </w:rPr>
      </w:pPr>
      <w:r>
        <w:rPr>
          <w:rFonts w:hint="eastAsia" w:ascii="Times New Roman" w:hAnsi="Times New Roman"/>
          <w:sz w:val="20"/>
          <w:lang w:val="en-US" w:eastAsia="zh-CN"/>
        </w:rPr>
        <w:t xml:space="preserve">In last meeting, </w:t>
      </w:r>
      <w:r>
        <w:rPr>
          <w:rFonts w:ascii="Times New Roman" w:hAnsi="Times New Roman"/>
          <w:sz w:val="20"/>
        </w:rPr>
        <w:t>A WF</w:t>
      </w:r>
      <w:r>
        <w:rPr>
          <w:rFonts w:hint="eastAsia" w:ascii="Times New Roman" w:hAnsi="Times New Roman"/>
          <w:sz w:val="20"/>
          <w:lang w:val="en-US" w:eastAsia="zh-CN"/>
        </w:rPr>
        <w:t xml:space="preserve"> on SBFD BS RF requirement</w:t>
      </w:r>
      <w:r>
        <w:rPr>
          <w:rFonts w:ascii="Times New Roman" w:hAnsi="Times New Roman"/>
          <w:sz w:val="20"/>
        </w:rPr>
        <w:t xml:space="preserve"> has been approved</w:t>
      </w:r>
      <w:r>
        <w:rPr>
          <w:rFonts w:hint="eastAsia" w:ascii="Times New Roman" w:hAnsi="Times New Roman"/>
          <w:sz w:val="20"/>
          <w:lang w:val="en-US" w:eastAsia="zh-CN"/>
        </w:rPr>
        <w:t xml:space="preserve">[1]. </w:t>
      </w:r>
      <w:r>
        <w:rPr>
          <w:rFonts w:ascii="Times New Roman" w:hAnsi="Times New Roman"/>
          <w:sz w:val="20"/>
        </w:rPr>
        <w:t xml:space="preserve">In this contribution, </w:t>
      </w:r>
      <w:r>
        <w:rPr>
          <w:rFonts w:hint="eastAsia" w:ascii="Times New Roman" w:hAnsi="Times New Roman"/>
          <w:sz w:val="20"/>
          <w:lang w:val="en-US" w:eastAsia="zh-CN"/>
        </w:rPr>
        <w:t>we continue discuss remaining issues</w:t>
      </w:r>
      <w:r>
        <w:rPr>
          <w:rFonts w:ascii="Times New Roman" w:hAnsi="Times New Roman"/>
          <w:sz w:val="20"/>
        </w:rPr>
        <w:t>.</w:t>
      </w:r>
    </w:p>
    <w:p>
      <w:pPr>
        <w:keepNext/>
        <w:keepLines/>
        <w:widowControl/>
        <w:numPr>
          <w:ilvl w:val="0"/>
          <w:numId w:val="1"/>
        </w:numPr>
        <w:pBdr>
          <w:top w:val="single" w:color="auto" w:sz="12" w:space="1"/>
        </w:pBdr>
        <w:tabs>
          <w:tab w:val="left" w:pos="567"/>
        </w:tabs>
        <w:adjustRightInd w:val="0"/>
        <w:spacing w:before="240" w:after="180"/>
        <w:ind w:left="510" w:hanging="510"/>
        <w:outlineLvl w:val="0"/>
        <w:rPr>
          <w:rFonts w:hint="eastAsia" w:ascii="Arial" w:hAnsi="Arial" w:eastAsiaTheme="minorEastAsia" w:cstheme="minorBidi"/>
          <w:sz w:val="32"/>
          <w:szCs w:val="36"/>
        </w:rPr>
      </w:pPr>
      <w:r>
        <w:rPr>
          <w:rFonts w:hint="eastAsia" w:ascii="Arial" w:hAnsi="Arial" w:eastAsiaTheme="minorEastAsia" w:cstheme="minorBidi"/>
          <w:sz w:val="32"/>
          <w:szCs w:val="36"/>
        </w:rPr>
        <w:t>Discussion</w:t>
      </w:r>
    </w:p>
    <w:p>
      <w:pPr>
        <w:numPr>
          <w:ilvl w:val="0"/>
          <w:numId w:val="0"/>
        </w:numPr>
        <w:spacing w:after="180"/>
        <w:ind w:leftChars="0"/>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In last meeting,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approved that at study item focus on discussing which legacy requirements are still applicable, which legacy requirements are not applicable and which new requirements are needed. If there is still time left in R18, we can discuss the candidate range for RF requirement and the methodology of requirements introduction. Following list our suggestions for remaining RF requirements.</w:t>
      </w:r>
    </w:p>
    <w:p>
      <w:pPr>
        <w:pStyle w:val="4"/>
        <w:numPr>
          <w:ilvl w:val="0"/>
          <w:numId w:val="0"/>
        </w:numPr>
        <w:bidi w:val="0"/>
        <w:ind w:leftChars="0"/>
        <w:rPr>
          <w:rFonts w:hint="default" w:ascii="Arial" w:hAnsi="Arial" w:cs="Times New Roman"/>
          <w:lang w:val="en-US" w:eastAsia="zh-CN"/>
        </w:rPr>
      </w:pPr>
      <w:r>
        <w:rPr>
          <w:rFonts w:hint="eastAsia" w:ascii="Arial" w:hAnsi="Arial" w:cs="Times New Roman"/>
          <w:lang w:val="en-US" w:eastAsia="zh-CN"/>
        </w:rPr>
        <w:t>2.</w:t>
      </w:r>
      <w:r>
        <w:rPr>
          <w:rFonts w:hint="eastAsia" w:cs="Times New Roman"/>
          <w:lang w:val="en-US" w:eastAsia="zh-CN"/>
        </w:rPr>
        <w:t>1</w:t>
      </w:r>
      <w:r>
        <w:rPr>
          <w:rFonts w:hint="eastAsia" w:ascii="Arial" w:hAnsi="Arial" w:cs="Times New Roman"/>
          <w:lang w:val="en-US" w:eastAsia="zh-CN"/>
        </w:rPr>
        <w:t xml:space="preserve"> Tx inter</w:t>
      </w:r>
      <w:r>
        <w:rPr>
          <w:rFonts w:hint="eastAsia" w:cs="Times New Roman"/>
          <w:lang w:val="en-US" w:eastAsia="zh-CN"/>
        </w:rPr>
        <w:t>-</w:t>
      </w:r>
      <w:r>
        <w:rPr>
          <w:rFonts w:hint="eastAsia" w:ascii="Arial" w:hAnsi="Arial" w:cs="Times New Roman"/>
          <w:lang w:val="en-US" w:eastAsia="zh-CN"/>
        </w:rPr>
        <w:t>modulation requirements</w:t>
      </w:r>
    </w:p>
    <w:p>
      <w:pPr>
        <w:rPr>
          <w:rFonts w:hint="eastAsia" w:ascii="Times New Roman" w:hAnsi="Times New Roman"/>
          <w:b w:val="0"/>
          <w:bCs w:val="0"/>
          <w:sz w:val="20"/>
          <w:szCs w:val="20"/>
          <w:lang w:val="en-US" w:eastAsia="zh-CN"/>
        </w:rPr>
      </w:pPr>
      <w:r>
        <w:rPr>
          <w:rFonts w:hint="default" w:ascii="Times New Roman" w:hAnsi="Times New Roman" w:cs="Times New Roman"/>
          <w:sz w:val="20"/>
          <w:szCs w:val="20"/>
          <w:lang w:val="en-US" w:eastAsia="zh-CN"/>
        </w:rPr>
        <w:t>Following capture last meeting WF:</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24"/>
              <w:numPr>
                <w:ilvl w:val="1"/>
                <w:numId w:val="2"/>
              </w:numPr>
              <w:overflowPunct/>
              <w:autoSpaceDE/>
              <w:autoSpaceDN/>
              <w:adjustRightInd/>
              <w:spacing w:before="120" w:after="120" w:line="259" w:lineRule="auto"/>
              <w:ind w:left="1352" w:firstLineChars="0"/>
              <w:textAlignment w:val="auto"/>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sz w:val="20"/>
                <w:szCs w:val="20"/>
                <w:highlight w:val="none"/>
              </w:rPr>
              <w:t>FFS whether Tx IMD requirements applicable for SBFD slots/symbols</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Legacy 1-C gNB has co-location and additional IMD requirements, 1-H gNB has co-location IMD, intra-system IMD and additional IMD, 1-O gNB has minimum RF requirements. For BS type 1-H, the co-location IMD requirement is considered sufficient if the interference signal for the co-location requirement is higher than the declared interference signal for intra-system IMD requirement. For conducted co-location requirements, the interference source is assumed 30dB MCL away from Tx unit. If we reuse this same 30dB MCL assumption for SBFD case, SBFD receiver may be blocked. On the other hand, during self-interference analysis, typical spatial isolation for UMa, Umi are much larger than 30dB, e.g. 80dB. </w:t>
      </w:r>
    </w:p>
    <w:p>
      <w:pPr>
        <w:numPr>
          <w:ilvl w:val="0"/>
          <w:numId w:val="0"/>
        </w:numPr>
        <w:spacing w:after="180"/>
        <w:ind w:leftChars="0"/>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Tx IMD is the key requirement to reflect Tx device non-linearity performance.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better to include them into final spec. But the detailed interference source power should be carefully defined to reflect real deployment scenario and also avoid blocking of SBFD receiver unit. One suggestion is at least for conducted requirement, Tx IMD requirement is applicable with the condition that in the testing SBFD U sub-band are not receiving when testing Tx IMD.</w:t>
      </w:r>
    </w:p>
    <w:p>
      <w:pPr>
        <w:numPr>
          <w:ilvl w:val="0"/>
          <w:numId w:val="0"/>
        </w:numPr>
        <w:spacing w:after="180"/>
        <w:ind w:leftChars="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s suggested that at least for conducted requirement, Tx IMD requirement is applicable with the condition that during the testing SBFD U sub-band are not receiving when testing Tx IMD. </w:t>
      </w:r>
    </w:p>
    <w:p>
      <w:pPr>
        <w:pStyle w:val="4"/>
        <w:numPr>
          <w:ilvl w:val="0"/>
          <w:numId w:val="0"/>
        </w:numPr>
        <w:bidi w:val="0"/>
        <w:ind w:leftChars="0"/>
        <w:rPr>
          <w:rFonts w:hint="eastAsia" w:ascii="Arial" w:hAnsi="Arial" w:cs="Times New Roman"/>
          <w:lang w:val="en-US" w:eastAsia="zh-CN"/>
        </w:rPr>
      </w:pPr>
      <w:r>
        <w:rPr>
          <w:rFonts w:hint="eastAsia" w:ascii="Arial" w:hAnsi="Arial" w:cs="Times New Roman"/>
          <w:lang w:val="en-US" w:eastAsia="zh-CN"/>
        </w:rPr>
        <w:t>2.</w:t>
      </w:r>
      <w:r>
        <w:rPr>
          <w:rFonts w:hint="eastAsia" w:cs="Times New Roman"/>
          <w:lang w:val="en-US" w:eastAsia="zh-CN"/>
        </w:rPr>
        <w:t>2</w:t>
      </w:r>
      <w:r>
        <w:rPr>
          <w:rFonts w:hint="eastAsia" w:ascii="Arial" w:hAnsi="Arial" w:cs="Times New Roman"/>
          <w:lang w:val="en-US" w:eastAsia="zh-CN"/>
        </w:rPr>
        <w:t xml:space="preserve"> </w:t>
      </w:r>
      <w:r>
        <w:rPr>
          <w:rFonts w:hint="eastAsia" w:cs="Times New Roman"/>
          <w:lang w:val="en-US" w:eastAsia="zh-CN"/>
        </w:rPr>
        <w:t>C</w:t>
      </w:r>
      <w:r>
        <w:rPr>
          <w:rFonts w:hint="eastAsia" w:ascii="Arial" w:hAnsi="Arial" w:cs="Times New Roman"/>
          <w:lang w:val="en-US" w:eastAsia="zh-CN"/>
        </w:rPr>
        <w:t>o-location requirements</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Following capture last meeting WF:</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4"/>
              <w:numPr>
                <w:ilvl w:val="1"/>
                <w:numId w:val="2"/>
              </w:numPr>
              <w:spacing w:before="120" w:line="280" w:lineRule="atLeast"/>
              <w:ind w:left="1656"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Co-location/co-existence: </w:t>
            </w:r>
          </w:p>
          <w:p>
            <w:pPr>
              <w:pStyle w:val="24"/>
              <w:numPr>
                <w:ilvl w:val="2"/>
                <w:numId w:val="2"/>
              </w:numPr>
              <w:spacing w:before="120" w:line="280" w:lineRule="atLeast"/>
              <w:ind w:left="2376"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1: Co-location requirement can’t use 30 dB coupling loss as the coupling loss assumption for SBFD capable gNB co-location related requirement.</w:t>
            </w:r>
          </w:p>
          <w:p>
            <w:pPr>
              <w:pStyle w:val="24"/>
              <w:numPr>
                <w:ilvl w:val="2"/>
                <w:numId w:val="2"/>
              </w:numPr>
              <w:spacing w:before="120" w:line="280" w:lineRule="atLeast"/>
              <w:ind w:left="2376"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rPr>
              <w:t xml:space="preserve">Option 2: No update on existing requirements, it’s declaration basis whether BS need to follow the requirements. FFS whether applicable for SBFD symbols/slots. </w:t>
            </w:r>
          </w:p>
        </w:tc>
      </w:tr>
    </w:tbl>
    <w:p>
      <w:pPr>
        <w:rPr>
          <w:rFonts w:hint="default"/>
          <w:lang w:val="en-US" w:eastAsia="zh-CN"/>
        </w:rPr>
      </w:pPr>
    </w:p>
    <w:p>
      <w:pPr>
        <w:numPr>
          <w:ilvl w:val="0"/>
          <w:numId w:val="3"/>
        </w:numPr>
        <w:spacing w:after="180"/>
        <w:ind w:left="420" w:leftChars="0" w:hanging="420" w:firstLine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For inter-band co-location requirements</w:t>
      </w:r>
    </w:p>
    <w:p>
      <w:pPr>
        <w:numPr>
          <w:ilvl w:val="0"/>
          <w:numId w:val="0"/>
        </w:numPr>
        <w:spacing w:after="180"/>
        <w:ind w:left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If we reused 30dB MCL, receiver power before LNA would be much larger, e.g. 46dBm-30dB=16dBm which would block co-located SBFD receiver. </w:t>
      </w:r>
    </w:p>
    <w:p>
      <w:pPr>
        <w:numPr>
          <w:ilvl w:val="0"/>
          <w:numId w:val="0"/>
        </w:numPr>
        <w:spacing w:after="180"/>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1: legacy 30dB MCL assumption between co-located gNB will lead to blocking of SBFD receiver.</w:t>
      </w:r>
    </w:p>
    <w:p>
      <w:pPr>
        <w:numPr>
          <w:ilvl w:val="0"/>
          <w:numId w:val="0"/>
        </w:numPr>
        <w:spacing w:after="180"/>
        <w:ind w:left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better to re-evaluate whether 30dB MCL assumption is still applicable or not. Besides, additional isolation material or additional isolation mechanism between co-located gNBs could help to enlarge the MCL, but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noted such solutions may not be always feasible.</w:t>
      </w:r>
    </w:p>
    <w:p>
      <w:pPr>
        <w:numPr>
          <w:ilvl w:val="0"/>
          <w:numId w:val="0"/>
        </w:numPr>
        <w:spacing w:after="180"/>
        <w:ind w:leftChars="0"/>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Our suggestion for the MCL assumption is as below. If there is no conclusion, we can leave this issue for WI phase.</w:t>
      </w:r>
    </w:p>
    <w:p>
      <w:pPr>
        <w:numPr>
          <w:ilvl w:val="0"/>
          <w:numId w:val="4"/>
        </w:numPr>
        <w:spacing w:after="180"/>
        <w:ind w:left="420" w:leftChars="0" w:hanging="420" w:firstLine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At first evaluate whether 30dB MCL assumption is still typical assumption based on deployment experience and testing data since 30dB assumption comes from 2G area and for 5G larger scale antenna element is applied with better directivity. According to our deployment experience, 50dB MCL is achievable without any deployment restriction.</w:t>
      </w:r>
    </w:p>
    <w:p>
      <w:pPr>
        <w:numPr>
          <w:ilvl w:val="0"/>
          <w:numId w:val="4"/>
        </w:numPr>
        <w:spacing w:after="180"/>
        <w:ind w:left="420" w:leftChars="0" w:hanging="420" w:firstLineChars="0"/>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Define one typical MCL with isolation material or with careful deployment planning, e.g. back-to-back or up-down deployment with certain isolation distance. This MCL is used to show whether with careful deployment planning, the co-location operation is feasible for SBFD.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noted this doesn</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t mean each site should meet this MCL assumption, this only give some guidance to show whether it is possible for the co-location operation with careful planning. For this case, the typical value provided during self-interference analysis could be the baseline.</w:t>
      </w:r>
    </w:p>
    <w:p>
      <w:pPr>
        <w:numPr>
          <w:ilvl w:val="0"/>
          <w:numId w:val="0"/>
        </w:numPr>
        <w:spacing w:after="180"/>
        <w:ind w:left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2: before defining co-location requirements,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 xml:space="preserve">s suggested to discuss the MCL assumption for co-location with following two kind of assumption. If there is no conclusion, we can leave this issue for WI phase. </w:t>
      </w:r>
    </w:p>
    <w:p>
      <w:pPr>
        <w:numPr>
          <w:ilvl w:val="0"/>
          <w:numId w:val="4"/>
        </w:numPr>
        <w:spacing w:after="180"/>
        <w:ind w:left="420" w:leftChars="0" w:hanging="420" w:firstLine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Re-evaluate whether 30dB MCL assumption is still typical assumption or not since large scale antenna element is used which will contribute to directional beam compared with 2G area. This MCL is the MCL that doesn</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t consider any deployment restriction or isolation material.</w:t>
      </w:r>
    </w:p>
    <w:p>
      <w:pPr>
        <w:numPr>
          <w:ilvl w:val="0"/>
          <w:numId w:val="4"/>
        </w:numPr>
        <w:spacing w:after="180"/>
        <w:ind w:left="420" w:leftChars="0" w:hanging="420" w:firstLine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Define one typical MCL value assuming careful deployment plan and possible isolation material. This MCL value is used to show whether under careful planning, the co-location operation is feasible or not and give more guidance for commercial deployment.</w:t>
      </w:r>
    </w:p>
    <w:p>
      <w:pPr>
        <w:widowControl w:val="0"/>
        <w:numPr>
          <w:ilvl w:val="0"/>
          <w:numId w:val="0"/>
        </w:numPr>
        <w:spacing w:after="180"/>
        <w:jc w:val="both"/>
        <w:rPr>
          <w:rFonts w:hint="default" w:ascii="Times New Roman" w:hAnsi="Times New Roman" w:cs="Times New Roman"/>
          <w:b/>
          <w:bCs/>
          <w:sz w:val="20"/>
          <w:szCs w:val="20"/>
          <w:lang w:val="en-US" w:eastAsia="zh-CN"/>
        </w:rPr>
      </w:pPr>
    </w:p>
    <w:p>
      <w:pPr>
        <w:numPr>
          <w:ilvl w:val="0"/>
          <w:numId w:val="5"/>
        </w:numPr>
        <w:spacing w:after="180"/>
        <w:ind w:left="420" w:leftChars="0" w:hanging="420" w:firstLine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For intra-band adjacent carrier co-location requirement</w:t>
      </w:r>
    </w:p>
    <w:p>
      <w:pPr>
        <w:numPr>
          <w:ilvl w:val="0"/>
          <w:numId w:val="0"/>
        </w:numPr>
        <w:spacing w:after="180"/>
        <w:ind w:left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Current adjacent-channel co-existence simulation mainly focus on 100% grid shift. Further simulation results of 0% grid shift based on above MCL assumption is required before RAN4 define adjacent-channel co-location related requirements.</w:t>
      </w:r>
    </w:p>
    <w:p>
      <w:pPr>
        <w:numPr>
          <w:ilvl w:val="0"/>
          <w:numId w:val="0"/>
        </w:numPr>
        <w:spacing w:after="180"/>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3: In work phase, more simulation/analysis of 0% grid shift with reasonable co-location MCL assumption is required before define adjacent channel co-location requirements, e.g. ACLR, ACS and blocking requirements.</w:t>
      </w:r>
    </w:p>
    <w:p>
      <w:pPr>
        <w:pStyle w:val="4"/>
        <w:numPr>
          <w:ilvl w:val="0"/>
          <w:numId w:val="0"/>
        </w:numPr>
        <w:bidi w:val="0"/>
        <w:ind w:leftChars="0"/>
        <w:rPr>
          <w:rFonts w:hint="default"/>
          <w:lang w:val="en-US" w:eastAsia="zh-CN"/>
        </w:rPr>
      </w:pPr>
      <w:r>
        <w:rPr>
          <w:rFonts w:hint="eastAsia"/>
          <w:lang w:val="en-US" w:eastAsia="zh-CN"/>
        </w:rPr>
        <w:t>2.3 New RF requirements for co-site inter-sector and/or inter-site interference</w:t>
      </w:r>
    </w:p>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Last meeting agreement is listed as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4"/>
              <w:numPr>
                <w:ilvl w:val="1"/>
                <w:numId w:val="2"/>
              </w:numPr>
              <w:overflowPunct/>
              <w:autoSpaceDE/>
              <w:autoSpaceDN/>
              <w:adjustRightInd/>
              <w:spacing w:before="120" w:after="120" w:line="259" w:lineRule="auto"/>
              <w:ind w:left="1352"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FFS whether new requirements need to be specified for co-site inter-sector gNB and inter-site gNB with candidate list as following </w:t>
            </w:r>
          </w:p>
          <w:p>
            <w:pPr>
              <w:pStyle w:val="24"/>
              <w:numPr>
                <w:ilvl w:val="2"/>
                <w:numId w:val="2"/>
              </w:numPr>
              <w:spacing w:before="120" w:after="120" w:line="259" w:lineRule="auto"/>
              <w:ind w:left="2376"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in-channel adjacent subband leakage ratio,</w:t>
            </w:r>
          </w:p>
          <w:p>
            <w:pPr>
              <w:pStyle w:val="24"/>
              <w:numPr>
                <w:ilvl w:val="2"/>
                <w:numId w:val="2"/>
              </w:numPr>
              <w:spacing w:before="120" w:after="120" w:line="259" w:lineRule="auto"/>
              <w:ind w:left="2376" w:firstLineChars="0"/>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sz w:val="20"/>
                <w:szCs w:val="20"/>
                <w:highlight w:val="none"/>
              </w:rPr>
              <w:t xml:space="preserve">in-channel adjacent subband blocking and </w:t>
            </w:r>
          </w:p>
          <w:p>
            <w:pPr>
              <w:pStyle w:val="24"/>
              <w:numPr>
                <w:ilvl w:val="2"/>
                <w:numId w:val="2"/>
              </w:numPr>
              <w:spacing w:before="120" w:after="120" w:line="259" w:lineRule="auto"/>
              <w:ind w:left="2376" w:firstLineChars="0"/>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sz w:val="20"/>
                <w:szCs w:val="20"/>
                <w:highlight w:val="none"/>
              </w:rPr>
              <w:t>in-channel adjacent subband selectivity.</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As for co-site inter-sector case, which is much similar as co-location case. In current TS 38.104, there is co-location related requirements for gNB, i.e. co-located spurious requirements and co-located blocking requirements. Therefore, for SBFD gNB, co-site inter-sector sub-band leakage, selectivity and blocking requirement is also required to make sure co-existence for inter-sector.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As for inter-site case, during the study of co-existence simulation, we assume the same ACLR and ACS value for adjacent carrier and adjacent sub-band. Besides, RAN4 finally approve to use flat modeling of ACLR and ACS in SBFD analysis. From above analysis, it seems the methodology of ACLR and ACS simulation can be the baseline for further adjacent sub-band requirement analysis.</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4: new RF requirements should be specified for co-site inter-sector gNB and inter-site gNB, following list the candidate options, partial or all of which can be defined in WI stage.</w:t>
      </w:r>
    </w:p>
    <w:p>
      <w:pPr>
        <w:keepNext w:val="0"/>
        <w:keepLines w:val="0"/>
        <w:pageBreakBefore w:val="0"/>
        <w:widowControl w:val="0"/>
        <w:numPr>
          <w:ilvl w:val="0"/>
          <w:numId w:val="6"/>
        </w:numPr>
        <w:kinsoku/>
        <w:wordWrap/>
        <w:overflowPunct/>
        <w:topLinePunct w:val="0"/>
        <w:autoSpaceDE/>
        <w:autoSpaceDN/>
        <w:bidi w:val="0"/>
        <w:adjustRightInd/>
        <w:snapToGrid/>
        <w:spacing w:before="157" w:beforeLines="50" w:after="157" w:afterLines="50"/>
        <w:ind w:left="420" w:leftChars="0" w:hanging="420" w:firstLineChars="0"/>
        <w:textAlignment w:val="auto"/>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In-channel blocking requirements</w:t>
      </w:r>
    </w:p>
    <w:p>
      <w:pPr>
        <w:keepNext w:val="0"/>
        <w:keepLines w:val="0"/>
        <w:pageBreakBefore w:val="0"/>
        <w:widowControl w:val="0"/>
        <w:numPr>
          <w:ilvl w:val="0"/>
          <w:numId w:val="6"/>
        </w:numPr>
        <w:kinsoku/>
        <w:wordWrap/>
        <w:overflowPunct/>
        <w:topLinePunct w:val="0"/>
        <w:autoSpaceDE/>
        <w:autoSpaceDN/>
        <w:bidi w:val="0"/>
        <w:adjustRightInd/>
        <w:snapToGrid/>
        <w:spacing w:before="157" w:beforeLines="50" w:after="157" w:afterLines="50"/>
        <w:ind w:left="420" w:leftChars="0" w:hanging="420" w:firstLineChars="0"/>
        <w:textAlignment w:val="auto"/>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 xml:space="preserve">adjacent sub-band leakage requirements </w:t>
      </w:r>
    </w:p>
    <w:p>
      <w:pPr>
        <w:keepNext w:val="0"/>
        <w:keepLines w:val="0"/>
        <w:pageBreakBefore w:val="0"/>
        <w:widowControl w:val="0"/>
        <w:numPr>
          <w:ilvl w:val="0"/>
          <w:numId w:val="6"/>
        </w:numPr>
        <w:kinsoku/>
        <w:wordWrap/>
        <w:overflowPunct/>
        <w:topLinePunct w:val="0"/>
        <w:autoSpaceDE/>
        <w:autoSpaceDN/>
        <w:bidi w:val="0"/>
        <w:adjustRightInd/>
        <w:snapToGrid/>
        <w:spacing w:before="157" w:beforeLines="50" w:after="157" w:afterLines="50"/>
        <w:ind w:left="420" w:leftChars="0" w:hanging="420" w:firstLineChars="0"/>
        <w:textAlignment w:val="auto"/>
        <w:rPr>
          <w:rFonts w:hint="default" w:ascii="Times New Roman" w:hAnsi="Times New Roman"/>
          <w:b w:val="0"/>
          <w:bCs w:val="0"/>
          <w:sz w:val="20"/>
          <w:szCs w:val="20"/>
          <w:lang w:val="en-US" w:eastAsia="zh-CN"/>
        </w:rPr>
      </w:pPr>
      <w:r>
        <w:rPr>
          <w:rFonts w:hint="default" w:ascii="Times New Roman" w:hAnsi="Times New Roman"/>
          <w:b/>
          <w:bCs/>
          <w:sz w:val="20"/>
          <w:szCs w:val="20"/>
          <w:lang w:val="en-US" w:eastAsia="zh-CN"/>
        </w:rPr>
        <w:t>adjacent sub-band selectivity requirements</w:t>
      </w:r>
      <w:r>
        <w:rPr>
          <w:rFonts w:hint="eastAsia" w:ascii="Times New Roman" w:hAnsi="Times New Roman"/>
          <w:b w:val="0"/>
          <w:bCs w:val="0"/>
          <w:sz w:val="20"/>
          <w:szCs w:val="20"/>
          <w:lang w:val="en-US" w:eastAsia="zh-CN"/>
        </w:rPr>
        <w:t xml:space="preserve"> </w:t>
      </w:r>
    </w:p>
    <w:p>
      <w:pPr>
        <w:pStyle w:val="4"/>
        <w:numPr>
          <w:ilvl w:val="0"/>
          <w:numId w:val="0"/>
        </w:numPr>
        <w:bidi w:val="0"/>
        <w:ind w:leftChars="0"/>
        <w:rPr>
          <w:rFonts w:hint="default"/>
          <w:lang w:val="en-US" w:eastAsia="zh-CN"/>
        </w:rPr>
      </w:pPr>
      <w:r>
        <w:rPr>
          <w:rFonts w:hint="eastAsia"/>
          <w:lang w:val="en-US" w:eastAsia="zh-CN"/>
        </w:rPr>
        <w:t>2.4 Rx inter-modulation</w:t>
      </w:r>
    </w:p>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Last meeting WF is listed as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4"/>
              <w:numPr>
                <w:ilvl w:val="0"/>
                <w:numId w:val="2"/>
              </w:numPr>
              <w:overflowPunct/>
              <w:autoSpaceDE/>
              <w:autoSpaceDN/>
              <w:adjustRightInd/>
              <w:spacing w:before="120" w:after="120" w:line="259" w:lineRule="auto"/>
              <w:ind w:left="936"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Agreement: </w:t>
            </w:r>
          </w:p>
          <w:p>
            <w:pPr>
              <w:pStyle w:val="24"/>
              <w:numPr>
                <w:ilvl w:val="1"/>
                <w:numId w:val="2"/>
              </w:numPr>
              <w:spacing w:before="120" w:line="280" w:lineRule="atLeast"/>
              <w:ind w:left="1656"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RX intermodulation requirement and the interference levels shall be determined by RAN4 co-existence study, and for the definition of RX intermodulation requirement:</w:t>
            </w:r>
          </w:p>
          <w:p>
            <w:pPr>
              <w:pStyle w:val="24"/>
              <w:numPr>
                <w:ilvl w:val="2"/>
                <w:numId w:val="2"/>
              </w:numPr>
              <w:spacing w:before="120" w:line="280" w:lineRule="atLeast"/>
              <w:ind w:left="2376"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Conducted RX intermodulation: Take the existing wanted signal of RX intermodulation requirement by using the existing reference sensitivity level. </w:t>
            </w:r>
          </w:p>
          <w:p>
            <w:pPr>
              <w:pStyle w:val="24"/>
              <w:numPr>
                <w:ilvl w:val="2"/>
                <w:numId w:val="2"/>
              </w:numPr>
              <w:spacing w:before="120" w:line="280" w:lineRule="atLeast"/>
              <w:ind w:left="2376"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OTA RX intermodulation: The OTA sensitivity degradation shall be taken into account to determine the level of wanted signal and interference signal mean power.</w:t>
            </w:r>
          </w:p>
          <w:p>
            <w:pPr>
              <w:pStyle w:val="24"/>
              <w:numPr>
                <w:ilvl w:val="1"/>
                <w:numId w:val="2"/>
              </w:numPr>
              <w:spacing w:before="120" w:line="280" w:lineRule="atLeast"/>
              <w:ind w:firstLineChars="0"/>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eastAsia="宋体" w:cs="Times New Roman"/>
                <w:sz w:val="20"/>
                <w:szCs w:val="20"/>
                <w:highlight w:val="none"/>
                <w:lang w:eastAsia="zh-CN"/>
              </w:rPr>
              <w:t>FFS whether an additional requirement based on a single input signal placed to cause IM with the RX sub-band provides any additional robustness, and whether such a requirement is anyhow implicitly captured by the SBFD RX blocking requirement.</w:t>
            </w:r>
          </w:p>
        </w:tc>
      </w:tr>
    </w:tbl>
    <w:p/>
    <w:p>
      <w:pPr>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The additional requirement is based on a single input signal and cause IM together with Tx signal in Tx sub-band. For WA, if we assume Tx power is 46dBm with 80dB spatial isolation, received signal at Rx sub-band is -34dBm which is much larger than current defined interference signal for Rx intermodulation. So compared with the Rx IMD caused by one CW and modulated signal, the Rx IMD caused by Tx signal in Tx sub-band and single input signal seems like the key factor.</w:t>
      </w:r>
    </w:p>
    <w:p>
      <w:pPr>
        <w:rPr>
          <w:rFonts w:hint="default" w:ascii="Times New Roman" w:hAnsi="Times New Roman" w:eastAsia="宋体" w:cs="Times New Roman"/>
          <w:sz w:val="20"/>
          <w:szCs w:val="20"/>
          <w:highlight w:val="none"/>
          <w:lang w:val="en-US" w:eastAsia="zh-CN"/>
        </w:rPr>
      </w:pPr>
      <w:r>
        <w:rPr>
          <w:rFonts w:hint="default" w:ascii="Times New Roman" w:hAnsi="Times New Roman" w:cs="Times New Roman"/>
          <w:sz w:val="20"/>
          <w:szCs w:val="20"/>
          <w:highlight w:val="none"/>
          <w:lang w:val="en-US" w:eastAsia="zh-CN"/>
        </w:rPr>
        <w:t>Regarding blocking, d</w:t>
      </w:r>
      <w:r>
        <w:rPr>
          <w:rFonts w:hint="default" w:ascii="Times New Roman" w:hAnsi="Times New Roman" w:cs="Times New Roman"/>
          <w:sz w:val="20"/>
          <w:szCs w:val="20"/>
          <w:highlight w:val="none"/>
        </w:rPr>
        <w:t xml:space="preserve">uring RAN4#104bis-e, there was some </w:t>
      </w:r>
      <w:r>
        <w:rPr>
          <w:rFonts w:hint="eastAsia" w:ascii="Times New Roman" w:hAnsi="Times New Roman" w:cs="Times New Roman"/>
          <w:sz w:val="20"/>
          <w:szCs w:val="20"/>
          <w:highlight w:val="none"/>
          <w:lang w:val="en-US" w:eastAsia="zh-CN"/>
        </w:rPr>
        <w:t>discussion about</w:t>
      </w:r>
      <w:r>
        <w:rPr>
          <w:rFonts w:hint="default" w:ascii="Times New Roman" w:hAnsi="Times New Roman" w:cs="Times New Roman"/>
          <w:sz w:val="20"/>
          <w:szCs w:val="20"/>
          <w:highlight w:val="none"/>
        </w:rPr>
        <w:t xml:space="preserve"> whether for a BS just meeting 3GPP requirements the IIP3 is dim</w:t>
      </w:r>
      <w:bookmarkStart w:id="0" w:name="_GoBack"/>
      <w:bookmarkEnd w:id="0"/>
      <w:r>
        <w:rPr>
          <w:rFonts w:hint="default" w:ascii="Times New Roman" w:hAnsi="Times New Roman" w:cs="Times New Roman"/>
          <w:sz w:val="20"/>
          <w:szCs w:val="20"/>
          <w:highlight w:val="none"/>
        </w:rPr>
        <w:t>en</w:t>
      </w:r>
      <w:r>
        <w:rPr>
          <w:rFonts w:hint="eastAsia" w:ascii="Times New Roman" w:hAnsi="Times New Roman" w:cs="Times New Roman"/>
          <w:sz w:val="20"/>
          <w:szCs w:val="20"/>
          <w:highlight w:val="none"/>
          <w:lang w:val="en-US" w:eastAsia="zh-CN"/>
        </w:rPr>
        <w:t>s</w:t>
      </w:r>
      <w:r>
        <w:rPr>
          <w:rFonts w:hint="default" w:ascii="Times New Roman" w:hAnsi="Times New Roman" w:cs="Times New Roman"/>
          <w:sz w:val="20"/>
          <w:szCs w:val="20"/>
          <w:highlight w:val="none"/>
        </w:rPr>
        <w:t>ioned by the general blocking requirement or by the RX IM requirement.</w:t>
      </w:r>
      <w:r>
        <w:rPr>
          <w:rFonts w:hint="default" w:ascii="Times New Roman" w:hAnsi="Times New Roman" w:cs="Times New Roman"/>
          <w:sz w:val="20"/>
          <w:szCs w:val="20"/>
          <w:highlight w:val="none"/>
          <w:lang w:val="en-US" w:eastAsia="zh-CN"/>
        </w:rPr>
        <w:t xml:space="preserve"> The conclusion is that Rx IMD rather than blocking is the key requirement for IIP3. the main reason is the IM for blocking falls outside the wanted channel whereas the IM for Rx IMD falls directly into wanted channel. We think the same logic still applies to evaluate IIP3, Rx IMD rather than blocking is the key. So it’s suggested to consider additional requirement based on a single input signal placed to cause IM.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 xml:space="preserve">Proposal </w:t>
      </w:r>
      <w:r>
        <w:rPr>
          <w:rFonts w:hint="eastAsia" w:ascii="Times New Roman" w:hAnsi="Times New Roman" w:cs="Times New Roman"/>
          <w:b/>
          <w:bCs/>
          <w:sz w:val="20"/>
          <w:szCs w:val="20"/>
          <w:highlight w:val="none"/>
          <w:lang w:val="en-US" w:eastAsia="zh-CN"/>
        </w:rPr>
        <w:t>5</w:t>
      </w:r>
      <w:r>
        <w:rPr>
          <w:rFonts w:hint="default" w:ascii="Times New Roman" w:hAnsi="Times New Roman" w:cs="Times New Roman"/>
          <w:b/>
          <w:bCs/>
          <w:sz w:val="20"/>
          <w:szCs w:val="20"/>
          <w:highlight w:val="none"/>
          <w:lang w:val="en-US" w:eastAsia="zh-CN"/>
        </w:rPr>
        <w:t xml:space="preserve">: </w:t>
      </w:r>
      <w:r>
        <w:rPr>
          <w:rFonts w:hint="eastAsia" w:ascii="Times New Roman" w:hAnsi="Times New Roman" w:cs="Times New Roman"/>
          <w:b/>
          <w:bCs/>
          <w:sz w:val="20"/>
          <w:szCs w:val="20"/>
          <w:highlight w:val="none"/>
          <w:lang w:val="en-US" w:eastAsia="zh-CN"/>
        </w:rPr>
        <w:t>it</w:t>
      </w:r>
      <w:r>
        <w:rPr>
          <w:rFonts w:hint="default" w:ascii="Times New Roman" w:hAnsi="Times New Roman" w:cs="Times New Roman"/>
          <w:b/>
          <w:bCs/>
          <w:sz w:val="20"/>
          <w:szCs w:val="20"/>
          <w:highlight w:val="none"/>
          <w:lang w:val="en-US" w:eastAsia="zh-CN"/>
        </w:rPr>
        <w:t>’</w:t>
      </w:r>
      <w:r>
        <w:rPr>
          <w:rFonts w:hint="eastAsia" w:ascii="Times New Roman" w:hAnsi="Times New Roman" w:cs="Times New Roman"/>
          <w:b/>
          <w:bCs/>
          <w:sz w:val="20"/>
          <w:szCs w:val="20"/>
          <w:highlight w:val="none"/>
          <w:lang w:val="en-US" w:eastAsia="zh-CN"/>
        </w:rPr>
        <w:t xml:space="preserve">s suggested to consider </w:t>
      </w:r>
      <w:r>
        <w:rPr>
          <w:rFonts w:hint="default" w:ascii="Times New Roman" w:hAnsi="Times New Roman" w:eastAsia="宋体" w:cs="Times New Roman"/>
          <w:b/>
          <w:bCs/>
          <w:sz w:val="20"/>
          <w:szCs w:val="20"/>
          <w:highlight w:val="none"/>
          <w:lang w:eastAsia="zh-CN"/>
        </w:rPr>
        <w:t>an additional requirement based on a single input signal placed to cause IM with the RX sub-band</w:t>
      </w:r>
      <w:r>
        <w:rPr>
          <w:rFonts w:hint="eastAsia" w:ascii="Times New Roman" w:hAnsi="Times New Roman" w:cs="Times New Roman"/>
          <w:b/>
          <w:bCs/>
          <w:sz w:val="20"/>
          <w:szCs w:val="20"/>
          <w:highlight w:val="none"/>
          <w:lang w:val="en-US" w:eastAsia="zh-CN"/>
        </w:rPr>
        <w:t>.</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SBFD RF requirements are discussed with following observations and proposals.</w:t>
      </w:r>
    </w:p>
    <w:p>
      <w:pPr>
        <w:numPr>
          <w:ilvl w:val="0"/>
          <w:numId w:val="0"/>
        </w:numPr>
        <w:spacing w:after="180"/>
        <w:ind w:leftChars="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s suggested that at least for conducted requirement, Tx IMD requirement is applicable with the condition that during the testing SBFD U sub-band are not receiving when testing Tx IMD. </w:t>
      </w:r>
    </w:p>
    <w:p>
      <w:pPr>
        <w:numPr>
          <w:ilvl w:val="0"/>
          <w:numId w:val="0"/>
        </w:numPr>
        <w:spacing w:after="180"/>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1: legacy 30dB MCL assumption between co-located gNB will lead to blocking of SBFD receiver.</w:t>
      </w:r>
    </w:p>
    <w:p>
      <w:pPr>
        <w:numPr>
          <w:ilvl w:val="0"/>
          <w:numId w:val="0"/>
        </w:numPr>
        <w:spacing w:after="180"/>
        <w:ind w:left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2: before defining co-location requirements,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 xml:space="preserve">s suggested to discuss the MCL assumption for co-location with following two kind of assumption. If there is no conclusion, we can leave this issue for WI phase. </w:t>
      </w:r>
    </w:p>
    <w:p>
      <w:pPr>
        <w:numPr>
          <w:ilvl w:val="0"/>
          <w:numId w:val="4"/>
        </w:numPr>
        <w:spacing w:after="180"/>
        <w:ind w:left="420" w:leftChars="0" w:hanging="420" w:firstLine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Re-evaluate whether 30dB MCL assumption is still typical assumption or not since large scale antenna element is used which will contribute to directional beam compared with 2G area. This MCL is the MCL that doesn</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t consider any deployment restriction or isolation material.</w:t>
      </w:r>
    </w:p>
    <w:p>
      <w:pPr>
        <w:numPr>
          <w:ilvl w:val="0"/>
          <w:numId w:val="4"/>
        </w:numPr>
        <w:spacing w:after="180"/>
        <w:ind w:left="420" w:leftChars="0" w:hanging="420" w:firstLine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Define one typical MCL value assuming careful deployment plan and possible isolation material. This MCL value is used to show whether under careful planning, the co-location operation is feasible or not and give more guidance for commercial deployment.</w:t>
      </w:r>
    </w:p>
    <w:p>
      <w:pPr>
        <w:numPr>
          <w:ilvl w:val="0"/>
          <w:numId w:val="0"/>
        </w:numPr>
        <w:spacing w:after="180"/>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3: In work phase, more simulation/analysis of 0% grid shift with reasonable co-location MCL assumption is required before define adjacent channel co-location requirements, e.g. ACLR, ACS and blocking requirements.</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4: new RF requirements should be specified for co-site inter-sector gNB and inter-site gNB, following list the candidate options, partial or all of which can be defined in WI stage.</w:t>
      </w:r>
    </w:p>
    <w:p>
      <w:pPr>
        <w:keepNext w:val="0"/>
        <w:keepLines w:val="0"/>
        <w:pageBreakBefore w:val="0"/>
        <w:widowControl w:val="0"/>
        <w:numPr>
          <w:ilvl w:val="0"/>
          <w:numId w:val="6"/>
        </w:numPr>
        <w:kinsoku/>
        <w:wordWrap/>
        <w:overflowPunct/>
        <w:topLinePunct w:val="0"/>
        <w:autoSpaceDE/>
        <w:autoSpaceDN/>
        <w:bidi w:val="0"/>
        <w:adjustRightInd/>
        <w:snapToGrid/>
        <w:spacing w:before="157" w:beforeLines="50" w:after="157" w:afterLines="50"/>
        <w:ind w:left="420" w:leftChars="0" w:hanging="420" w:firstLineChars="0"/>
        <w:textAlignment w:val="auto"/>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In-channel blocking requirements</w:t>
      </w:r>
    </w:p>
    <w:p>
      <w:pPr>
        <w:keepNext w:val="0"/>
        <w:keepLines w:val="0"/>
        <w:pageBreakBefore w:val="0"/>
        <w:widowControl w:val="0"/>
        <w:numPr>
          <w:ilvl w:val="0"/>
          <w:numId w:val="6"/>
        </w:numPr>
        <w:kinsoku/>
        <w:wordWrap/>
        <w:overflowPunct/>
        <w:topLinePunct w:val="0"/>
        <w:autoSpaceDE/>
        <w:autoSpaceDN/>
        <w:bidi w:val="0"/>
        <w:adjustRightInd/>
        <w:snapToGrid/>
        <w:spacing w:before="157" w:beforeLines="50" w:after="157" w:afterLines="50"/>
        <w:ind w:left="420" w:leftChars="0" w:hanging="420" w:firstLineChars="0"/>
        <w:textAlignment w:val="auto"/>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 xml:space="preserve">adjacent sub-band leakage requirements </w:t>
      </w:r>
    </w:p>
    <w:p>
      <w:pPr>
        <w:keepNext w:val="0"/>
        <w:keepLines w:val="0"/>
        <w:pageBreakBefore w:val="0"/>
        <w:widowControl w:val="0"/>
        <w:numPr>
          <w:ilvl w:val="0"/>
          <w:numId w:val="6"/>
        </w:numPr>
        <w:kinsoku/>
        <w:wordWrap/>
        <w:overflowPunct/>
        <w:topLinePunct w:val="0"/>
        <w:autoSpaceDE/>
        <w:autoSpaceDN/>
        <w:bidi w:val="0"/>
        <w:adjustRightInd/>
        <w:snapToGrid/>
        <w:spacing w:before="157" w:beforeLines="50" w:after="157" w:afterLines="50"/>
        <w:ind w:left="420" w:leftChars="0" w:hanging="420" w:firstLineChars="0"/>
        <w:textAlignment w:val="auto"/>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adjacent sub-band selectivity requirements</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 xml:space="preserve">Proposal </w:t>
      </w:r>
      <w:r>
        <w:rPr>
          <w:rFonts w:hint="eastAsia" w:ascii="Times New Roman" w:hAnsi="Times New Roman" w:cs="Times New Roman"/>
          <w:b/>
          <w:bCs/>
          <w:sz w:val="20"/>
          <w:szCs w:val="20"/>
          <w:highlight w:val="none"/>
          <w:lang w:val="en-US" w:eastAsia="zh-CN"/>
        </w:rPr>
        <w:t>5</w:t>
      </w:r>
      <w:r>
        <w:rPr>
          <w:rFonts w:hint="default" w:ascii="Times New Roman" w:hAnsi="Times New Roman" w:cs="Times New Roman"/>
          <w:b/>
          <w:bCs/>
          <w:sz w:val="20"/>
          <w:szCs w:val="20"/>
          <w:highlight w:val="none"/>
          <w:lang w:val="en-US" w:eastAsia="zh-CN"/>
        </w:rPr>
        <w:t xml:space="preserve">: </w:t>
      </w:r>
      <w:r>
        <w:rPr>
          <w:rFonts w:hint="eastAsia" w:ascii="Times New Roman" w:hAnsi="Times New Roman" w:cs="Times New Roman"/>
          <w:b/>
          <w:bCs/>
          <w:sz w:val="20"/>
          <w:szCs w:val="20"/>
          <w:highlight w:val="none"/>
          <w:lang w:val="en-US" w:eastAsia="zh-CN"/>
        </w:rPr>
        <w:t>it</w:t>
      </w:r>
      <w:r>
        <w:rPr>
          <w:rFonts w:hint="default" w:ascii="Times New Roman" w:hAnsi="Times New Roman" w:cs="Times New Roman"/>
          <w:b/>
          <w:bCs/>
          <w:sz w:val="20"/>
          <w:szCs w:val="20"/>
          <w:highlight w:val="none"/>
          <w:lang w:val="en-US" w:eastAsia="zh-CN"/>
        </w:rPr>
        <w:t>’</w:t>
      </w:r>
      <w:r>
        <w:rPr>
          <w:rFonts w:hint="eastAsia" w:ascii="Times New Roman" w:hAnsi="Times New Roman" w:cs="Times New Roman"/>
          <w:b/>
          <w:bCs/>
          <w:sz w:val="20"/>
          <w:szCs w:val="20"/>
          <w:highlight w:val="none"/>
          <w:lang w:val="en-US" w:eastAsia="zh-CN"/>
        </w:rPr>
        <w:t xml:space="preserve">s suggested to consider </w:t>
      </w:r>
      <w:r>
        <w:rPr>
          <w:rFonts w:hint="default" w:ascii="Times New Roman" w:hAnsi="Times New Roman" w:eastAsia="宋体" w:cs="Times New Roman"/>
          <w:b/>
          <w:bCs/>
          <w:sz w:val="20"/>
          <w:szCs w:val="20"/>
          <w:highlight w:val="none"/>
          <w:lang w:eastAsia="zh-CN"/>
        </w:rPr>
        <w:t>an additional requirement based on a single input signal placed to cause IM with the RX sub-band</w:t>
      </w:r>
      <w:r>
        <w:rPr>
          <w:rFonts w:hint="eastAsia" w:ascii="Times New Roman" w:hAnsi="Times New Roman" w:cs="Times New Roman"/>
          <w:b/>
          <w:bCs/>
          <w:sz w:val="20"/>
          <w:szCs w:val="20"/>
          <w:highlight w:val="none"/>
          <w:lang w:val="en-US" w:eastAsia="zh-CN"/>
        </w:rPr>
        <w:t>.</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widowControl/>
        <w:overflowPunct w:val="0"/>
        <w:autoSpaceDE w:val="0"/>
        <w:autoSpaceDN w:val="0"/>
        <w:adjustRightInd w:val="0"/>
        <w:spacing w:after="180"/>
        <w:jc w:val="left"/>
        <w:textAlignment w:val="baseline"/>
        <w:rPr>
          <w:rFonts w:ascii="Times New Roman" w:hAnsi="Times New Roman"/>
          <w:sz w:val="20"/>
          <w:szCs w:val="20"/>
        </w:rPr>
      </w:pPr>
      <w:r>
        <w:rPr>
          <w:rFonts w:hint="eastAsia" w:ascii="Times New Roman" w:hAnsi="Times New Roman"/>
          <w:sz w:val="20"/>
          <w:szCs w:val="20"/>
        </w:rPr>
        <w:t>[1] R4-2313867</w:t>
      </w:r>
      <w:r>
        <w:rPr>
          <w:rFonts w:ascii="Times New Roman" w:hAnsi="Times New Roman"/>
          <w:sz w:val="20"/>
          <w:szCs w:val="20"/>
        </w:rPr>
        <w:t>, WF on SBFD feasibility study and RF impact: BS aspects, Samsung</w:t>
      </w:r>
    </w:p>
    <w:p>
      <w:pPr>
        <w:widowControl/>
        <w:overflowPunct w:val="0"/>
        <w:autoSpaceDE w:val="0"/>
        <w:autoSpaceDN w:val="0"/>
        <w:adjustRightInd w:val="0"/>
        <w:spacing w:after="180"/>
        <w:jc w:val="left"/>
        <w:textAlignment w:val="baseline"/>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 xml:space="preserve">[2] R4-2219633, BS RF feasibility considerations, Ericsson </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MS Gothic">
    <w:panose1 w:val="020B0609070205080204"/>
    <w:charset w:val="80"/>
    <w:family w:val="auto"/>
    <w:pitch w:val="default"/>
    <w:sig w:usb0="E00002FF" w:usb1="6AC7FDFB" w:usb2="08000012" w:usb3="00000000" w:csb0="4002009F" w:csb1="DFD7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CD3148"/>
    <w:multiLevelType w:val="multilevel"/>
    <w:tmpl w:val="8FCD314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044EE66C"/>
    <w:multiLevelType w:val="singleLevel"/>
    <w:tmpl w:val="044EE66C"/>
    <w:lvl w:ilvl="0" w:tentative="0">
      <w:start w:val="2"/>
      <w:numFmt w:val="decimal"/>
      <w:suff w:val="space"/>
      <w:lvlText w:val="%1."/>
      <w:lvlJc w:val="left"/>
    </w:lvl>
  </w:abstractNum>
  <w:abstractNum w:abstractNumId="2">
    <w:nsid w:val="30027442"/>
    <w:multiLevelType w:val="singleLevel"/>
    <w:tmpl w:val="30027442"/>
    <w:lvl w:ilvl="0" w:tentative="0">
      <w:start w:val="1"/>
      <w:numFmt w:val="bullet"/>
      <w:lvlText w:val=""/>
      <w:lvlJc w:val="left"/>
      <w:pPr>
        <w:ind w:left="420" w:hanging="42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4">
    <w:nsid w:val="58F089AC"/>
    <w:multiLevelType w:val="singleLevel"/>
    <w:tmpl w:val="58F089AC"/>
    <w:lvl w:ilvl="0" w:tentative="0">
      <w:start w:val="1"/>
      <w:numFmt w:val="bullet"/>
      <w:lvlText w:val=""/>
      <w:lvlJc w:val="left"/>
      <w:pPr>
        <w:ind w:left="420" w:hanging="420"/>
      </w:pPr>
      <w:rPr>
        <w:rFonts w:hint="default" w:ascii="Wingdings" w:hAnsi="Wingdings"/>
      </w:rPr>
    </w:lvl>
  </w:abstractNum>
  <w:abstractNum w:abstractNumId="5">
    <w:nsid w:val="68CC218B"/>
    <w:multiLevelType w:val="singleLevel"/>
    <w:tmpl w:val="68CC218B"/>
    <w:lvl w:ilvl="0" w:tentative="0">
      <w:start w:val="1"/>
      <w:numFmt w:val="bullet"/>
      <w:lvlText w:val=""/>
      <w:lvlJc w:val="left"/>
      <w:pPr>
        <w:ind w:left="420" w:hanging="420"/>
      </w:pPr>
      <w:rPr>
        <w:rFonts w:hint="default" w:ascii="Wingdings" w:hAnsi="Wingdings"/>
      </w:rPr>
    </w:lvl>
  </w:abstractNum>
  <w:num w:numId="1">
    <w:abstractNumId w:val="1"/>
  </w:num>
  <w:num w:numId="2">
    <w:abstractNumId w:val="3"/>
  </w:num>
  <w:num w:numId="3">
    <w:abstractNumId w:val="5"/>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20970CA"/>
    <w:rsid w:val="028E1852"/>
    <w:rsid w:val="035D4591"/>
    <w:rsid w:val="03E26584"/>
    <w:rsid w:val="04492C16"/>
    <w:rsid w:val="04B527F1"/>
    <w:rsid w:val="053C405B"/>
    <w:rsid w:val="06305334"/>
    <w:rsid w:val="06CC0A35"/>
    <w:rsid w:val="0769686A"/>
    <w:rsid w:val="076E27BD"/>
    <w:rsid w:val="0770402F"/>
    <w:rsid w:val="07CA6B66"/>
    <w:rsid w:val="08973524"/>
    <w:rsid w:val="0900762B"/>
    <w:rsid w:val="09626007"/>
    <w:rsid w:val="09993AB5"/>
    <w:rsid w:val="09F66D51"/>
    <w:rsid w:val="0BF0521B"/>
    <w:rsid w:val="0C8D3125"/>
    <w:rsid w:val="0D545798"/>
    <w:rsid w:val="0D624402"/>
    <w:rsid w:val="0E5F68A3"/>
    <w:rsid w:val="0E7813A9"/>
    <w:rsid w:val="0EBE690E"/>
    <w:rsid w:val="0F1A117A"/>
    <w:rsid w:val="0F5116AE"/>
    <w:rsid w:val="0F596ABB"/>
    <w:rsid w:val="0FF20B73"/>
    <w:rsid w:val="10003991"/>
    <w:rsid w:val="10EF7E56"/>
    <w:rsid w:val="1155307D"/>
    <w:rsid w:val="117C38F8"/>
    <w:rsid w:val="12E83AF4"/>
    <w:rsid w:val="13771DFE"/>
    <w:rsid w:val="14245767"/>
    <w:rsid w:val="15350710"/>
    <w:rsid w:val="156354FD"/>
    <w:rsid w:val="157A51BC"/>
    <w:rsid w:val="15CD7D54"/>
    <w:rsid w:val="16371982"/>
    <w:rsid w:val="168B5B89"/>
    <w:rsid w:val="175862BF"/>
    <w:rsid w:val="18642373"/>
    <w:rsid w:val="18834ED9"/>
    <w:rsid w:val="18E26C79"/>
    <w:rsid w:val="19813C3F"/>
    <w:rsid w:val="1A8670A6"/>
    <w:rsid w:val="1AFD11C6"/>
    <w:rsid w:val="1B00542F"/>
    <w:rsid w:val="1B3F3E40"/>
    <w:rsid w:val="1BF509C2"/>
    <w:rsid w:val="1BF95FEE"/>
    <w:rsid w:val="1C700838"/>
    <w:rsid w:val="1D0432AA"/>
    <w:rsid w:val="1D0A4412"/>
    <w:rsid w:val="1D1D5776"/>
    <w:rsid w:val="1D2753AE"/>
    <w:rsid w:val="1D3E218A"/>
    <w:rsid w:val="1D867707"/>
    <w:rsid w:val="1E884DB6"/>
    <w:rsid w:val="1F1F489E"/>
    <w:rsid w:val="1F2F076D"/>
    <w:rsid w:val="20817033"/>
    <w:rsid w:val="20EA2C10"/>
    <w:rsid w:val="221E7789"/>
    <w:rsid w:val="228B3B2E"/>
    <w:rsid w:val="235E2230"/>
    <w:rsid w:val="2370600B"/>
    <w:rsid w:val="24513BF6"/>
    <w:rsid w:val="24683E4B"/>
    <w:rsid w:val="246C2851"/>
    <w:rsid w:val="24841763"/>
    <w:rsid w:val="2488042D"/>
    <w:rsid w:val="254E0ABD"/>
    <w:rsid w:val="25A10883"/>
    <w:rsid w:val="25D729E7"/>
    <w:rsid w:val="26644B8A"/>
    <w:rsid w:val="268A1547"/>
    <w:rsid w:val="268B3CAF"/>
    <w:rsid w:val="274B1605"/>
    <w:rsid w:val="278B3C06"/>
    <w:rsid w:val="27E33F9B"/>
    <w:rsid w:val="2805016B"/>
    <w:rsid w:val="286036CB"/>
    <w:rsid w:val="28AA4C8A"/>
    <w:rsid w:val="294A494E"/>
    <w:rsid w:val="2A144016"/>
    <w:rsid w:val="2A2C74BF"/>
    <w:rsid w:val="2A53737E"/>
    <w:rsid w:val="2AC70C94"/>
    <w:rsid w:val="2B2A3B5F"/>
    <w:rsid w:val="2CA64350"/>
    <w:rsid w:val="2D4D79AC"/>
    <w:rsid w:val="2E9C0F87"/>
    <w:rsid w:val="2EB8044F"/>
    <w:rsid w:val="2EC16B9C"/>
    <w:rsid w:val="2EEC4E92"/>
    <w:rsid w:val="2FCB6344"/>
    <w:rsid w:val="2FEC1523"/>
    <w:rsid w:val="30524DF2"/>
    <w:rsid w:val="306B7868"/>
    <w:rsid w:val="3099089E"/>
    <w:rsid w:val="315F5D75"/>
    <w:rsid w:val="3243059C"/>
    <w:rsid w:val="326D0948"/>
    <w:rsid w:val="328A5CFA"/>
    <w:rsid w:val="32C835E0"/>
    <w:rsid w:val="32DF7982"/>
    <w:rsid w:val="336E17F0"/>
    <w:rsid w:val="33FB26D9"/>
    <w:rsid w:val="35B71496"/>
    <w:rsid w:val="35D319E6"/>
    <w:rsid w:val="35E768F5"/>
    <w:rsid w:val="36075C31"/>
    <w:rsid w:val="36510879"/>
    <w:rsid w:val="372F46A7"/>
    <w:rsid w:val="37726C9D"/>
    <w:rsid w:val="37BD6848"/>
    <w:rsid w:val="37CC6816"/>
    <w:rsid w:val="38A9437C"/>
    <w:rsid w:val="38D16127"/>
    <w:rsid w:val="3A436689"/>
    <w:rsid w:val="3AAC45FF"/>
    <w:rsid w:val="3AC37B79"/>
    <w:rsid w:val="3AE070A1"/>
    <w:rsid w:val="3C09240E"/>
    <w:rsid w:val="3CC365B8"/>
    <w:rsid w:val="3CD51844"/>
    <w:rsid w:val="3D08452F"/>
    <w:rsid w:val="3D5001A7"/>
    <w:rsid w:val="3D741DEE"/>
    <w:rsid w:val="3D9C3FFF"/>
    <w:rsid w:val="3E572F58"/>
    <w:rsid w:val="3F1D2CEE"/>
    <w:rsid w:val="3F8B424E"/>
    <w:rsid w:val="40516596"/>
    <w:rsid w:val="410113A2"/>
    <w:rsid w:val="41C60C56"/>
    <w:rsid w:val="41E9727E"/>
    <w:rsid w:val="41F50509"/>
    <w:rsid w:val="42375131"/>
    <w:rsid w:val="426339F7"/>
    <w:rsid w:val="42733C91"/>
    <w:rsid w:val="42916AC5"/>
    <w:rsid w:val="436807A8"/>
    <w:rsid w:val="439901E8"/>
    <w:rsid w:val="43EC12FF"/>
    <w:rsid w:val="43F11B33"/>
    <w:rsid w:val="43F17986"/>
    <w:rsid w:val="444678CE"/>
    <w:rsid w:val="44565A46"/>
    <w:rsid w:val="447E086E"/>
    <w:rsid w:val="44B454C5"/>
    <w:rsid w:val="45830A1B"/>
    <w:rsid w:val="458D51A8"/>
    <w:rsid w:val="459B4244"/>
    <w:rsid w:val="45A33E4B"/>
    <w:rsid w:val="45CC5F92"/>
    <w:rsid w:val="465C457C"/>
    <w:rsid w:val="46E67A01"/>
    <w:rsid w:val="49281A93"/>
    <w:rsid w:val="4955555E"/>
    <w:rsid w:val="49E453DD"/>
    <w:rsid w:val="4A521971"/>
    <w:rsid w:val="4A9C4E28"/>
    <w:rsid w:val="4C261BDE"/>
    <w:rsid w:val="4C660668"/>
    <w:rsid w:val="4D570F71"/>
    <w:rsid w:val="4DF30DF0"/>
    <w:rsid w:val="4E2822B5"/>
    <w:rsid w:val="4E5A1A99"/>
    <w:rsid w:val="4E723844"/>
    <w:rsid w:val="4EB95335"/>
    <w:rsid w:val="4F13254C"/>
    <w:rsid w:val="502D7993"/>
    <w:rsid w:val="504273BB"/>
    <w:rsid w:val="505605DA"/>
    <w:rsid w:val="50941CF8"/>
    <w:rsid w:val="509636E2"/>
    <w:rsid w:val="50B13272"/>
    <w:rsid w:val="50B6710F"/>
    <w:rsid w:val="50BC2F96"/>
    <w:rsid w:val="52FC46EA"/>
    <w:rsid w:val="5350703E"/>
    <w:rsid w:val="538C361F"/>
    <w:rsid w:val="53A46AC8"/>
    <w:rsid w:val="53F47B4C"/>
    <w:rsid w:val="5403314B"/>
    <w:rsid w:val="544A4CD7"/>
    <w:rsid w:val="545309AA"/>
    <w:rsid w:val="552827AD"/>
    <w:rsid w:val="55584783"/>
    <w:rsid w:val="55835CD9"/>
    <w:rsid w:val="558E2FA7"/>
    <w:rsid w:val="55B464A8"/>
    <w:rsid w:val="55BD2802"/>
    <w:rsid w:val="55F969E7"/>
    <w:rsid w:val="5616190A"/>
    <w:rsid w:val="56F83407"/>
    <w:rsid w:val="576146B9"/>
    <w:rsid w:val="577865C9"/>
    <w:rsid w:val="57E1103B"/>
    <w:rsid w:val="587B1239"/>
    <w:rsid w:val="593309E8"/>
    <w:rsid w:val="59FB712C"/>
    <w:rsid w:val="5A050D40"/>
    <w:rsid w:val="5A8A0BF0"/>
    <w:rsid w:val="5BBA168B"/>
    <w:rsid w:val="5BBD01B3"/>
    <w:rsid w:val="5CCF11D3"/>
    <w:rsid w:val="5D4A309B"/>
    <w:rsid w:val="5D7F7CF2"/>
    <w:rsid w:val="5D851C35"/>
    <w:rsid w:val="5FDA5B33"/>
    <w:rsid w:val="5FDC7E75"/>
    <w:rsid w:val="5FF120B4"/>
    <w:rsid w:val="609B470C"/>
    <w:rsid w:val="60AC4695"/>
    <w:rsid w:val="60BA2331"/>
    <w:rsid w:val="623E513D"/>
    <w:rsid w:val="6412053C"/>
    <w:rsid w:val="648065F1"/>
    <w:rsid w:val="65046BCA"/>
    <w:rsid w:val="650A2CD2"/>
    <w:rsid w:val="6566621E"/>
    <w:rsid w:val="65821697"/>
    <w:rsid w:val="66495BDD"/>
    <w:rsid w:val="669E696B"/>
    <w:rsid w:val="66C60005"/>
    <w:rsid w:val="67763396"/>
    <w:rsid w:val="67A9335C"/>
    <w:rsid w:val="680C4CB4"/>
    <w:rsid w:val="680E2045"/>
    <w:rsid w:val="69156EBB"/>
    <w:rsid w:val="6A0568FD"/>
    <w:rsid w:val="6A2B6B3C"/>
    <w:rsid w:val="6B9F60AC"/>
    <w:rsid w:val="6C0A3B4F"/>
    <w:rsid w:val="6C254067"/>
    <w:rsid w:val="6D63623C"/>
    <w:rsid w:val="6E123F24"/>
    <w:rsid w:val="6E3B72E7"/>
    <w:rsid w:val="6EE509F4"/>
    <w:rsid w:val="6FBC2EB1"/>
    <w:rsid w:val="729926C8"/>
    <w:rsid w:val="732D5E85"/>
    <w:rsid w:val="73A57DF9"/>
    <w:rsid w:val="73CC19D5"/>
    <w:rsid w:val="741A7D2C"/>
    <w:rsid w:val="74AF2AFE"/>
    <w:rsid w:val="74F86B15"/>
    <w:rsid w:val="75895CE5"/>
    <w:rsid w:val="759901A2"/>
    <w:rsid w:val="75D02BD6"/>
    <w:rsid w:val="75E15270"/>
    <w:rsid w:val="76F00D88"/>
    <w:rsid w:val="771928DB"/>
    <w:rsid w:val="771C067A"/>
    <w:rsid w:val="772A6AEC"/>
    <w:rsid w:val="77693C0F"/>
    <w:rsid w:val="776C5E7A"/>
    <w:rsid w:val="77C2468B"/>
    <w:rsid w:val="78A92755"/>
    <w:rsid w:val="78B9366E"/>
    <w:rsid w:val="78BC17CD"/>
    <w:rsid w:val="796C47DC"/>
    <w:rsid w:val="7A1F66E8"/>
    <w:rsid w:val="7AE67D87"/>
    <w:rsid w:val="7B6E2211"/>
    <w:rsid w:val="7BC80470"/>
    <w:rsid w:val="7BE0484E"/>
    <w:rsid w:val="7C081A8C"/>
    <w:rsid w:val="7C0F40E4"/>
    <w:rsid w:val="7C92278E"/>
    <w:rsid w:val="7C970076"/>
    <w:rsid w:val="7CF22D0E"/>
    <w:rsid w:val="7E9E07CB"/>
    <w:rsid w:val="7EDD5D31"/>
    <w:rsid w:val="7F23352A"/>
    <w:rsid w:val="7F7D33DC"/>
    <w:rsid w:val="7FAA1790"/>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5"/>
    <w:unhideWhenUsed/>
    <w:qFormat/>
    <w:uiPriority w:val="9"/>
    <w:pPr>
      <w:keepNext/>
      <w:keepLines/>
      <w:spacing w:before="50" w:beforeLines="50" w:after="50" w:afterLines="50" w:line="240" w:lineRule="auto"/>
      <w:outlineLvl w:val="2"/>
    </w:pPr>
    <w:rPr>
      <w:rFonts w:ascii="Arial" w:hAnsi="Arial" w:eastAsia="Arial Unicode MS"/>
      <w:bCs/>
      <w:sz w:val="30"/>
      <w:szCs w:val="32"/>
    </w:rPr>
  </w:style>
  <w:style w:type="paragraph" w:styleId="5">
    <w:name w:val="heading 5"/>
    <w:basedOn w:val="1"/>
    <w:next w:val="1"/>
    <w:link w:val="49"/>
    <w:semiHidden/>
    <w:unhideWhenUsed/>
    <w:qFormat/>
    <w:uiPriority w:val="9"/>
    <w:pPr>
      <w:keepNext/>
      <w:keepLines/>
      <w:spacing w:before="280" w:after="290" w:line="376" w:lineRule="auto"/>
      <w:outlineLvl w:val="4"/>
    </w:pPr>
    <w:rPr>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8"/>
    <w:semiHidden/>
    <w:unhideWhenUsed/>
    <w:qFormat/>
    <w:uiPriority w:val="99"/>
    <w:rPr>
      <w:rFonts w:ascii="宋体"/>
      <w:sz w:val="18"/>
      <w:szCs w:val="18"/>
    </w:rPr>
  </w:style>
  <w:style w:type="paragraph" w:styleId="8">
    <w:name w:val="annotation text"/>
    <w:basedOn w:val="1"/>
    <w:link w:val="36"/>
    <w:unhideWhenUsed/>
    <w:qFormat/>
    <w:uiPriority w:val="0"/>
    <w:pPr>
      <w:jc w:val="left"/>
    </w:p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8"/>
    <w:next w:val="8"/>
    <w:link w:val="37"/>
    <w:semiHidden/>
    <w:unhideWhenUsed/>
    <w:qFormat/>
    <w:uiPriority w:val="99"/>
    <w:rPr>
      <w:b/>
      <w:bCs/>
    </w:rPr>
  </w:style>
  <w:style w:type="table" w:styleId="16">
    <w:name w:val="Table Grid"/>
    <w:basedOn w:val="15"/>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unhideWhenUsed/>
    <w:qFormat/>
    <w:uiPriority w:val="99"/>
    <w:rPr>
      <w:color w:val="0000FF"/>
      <w:u w:val="single"/>
    </w:rPr>
  </w:style>
  <w:style w:type="character" w:styleId="19">
    <w:name w:val="annotation reference"/>
    <w:basedOn w:val="17"/>
    <w:unhideWhenUsed/>
    <w:qFormat/>
    <w:uiPriority w:val="99"/>
    <w:rPr>
      <w:sz w:val="21"/>
      <w:szCs w:val="21"/>
    </w:rPr>
  </w:style>
  <w:style w:type="character" w:customStyle="1" w:styleId="20">
    <w:name w:val="Header Char"/>
    <w:basedOn w:val="17"/>
    <w:link w:val="11"/>
    <w:qFormat/>
    <w:uiPriority w:val="99"/>
    <w:rPr>
      <w:sz w:val="18"/>
      <w:szCs w:val="18"/>
    </w:rPr>
  </w:style>
  <w:style w:type="character" w:customStyle="1" w:styleId="21">
    <w:name w:val="Footer Char"/>
    <w:basedOn w:val="17"/>
    <w:link w:val="10"/>
    <w:qFormat/>
    <w:uiPriority w:val="99"/>
    <w:rPr>
      <w:sz w:val="18"/>
      <w:szCs w:val="18"/>
    </w:rPr>
  </w:style>
  <w:style w:type="character" w:customStyle="1" w:styleId="22">
    <w:name w:val="Char Char"/>
    <w:link w:val="23"/>
    <w:qFormat/>
    <w:uiPriority w:val="0"/>
    <w:rPr>
      <w:rFonts w:ascii="Arial" w:hAnsi="Arial"/>
      <w:sz w:val="32"/>
      <w:szCs w:val="36"/>
    </w:rPr>
  </w:style>
  <w:style w:type="paragraph" w:customStyle="1" w:styleId="23">
    <w:name w:val="Char"/>
    <w:basedOn w:val="24"/>
    <w:link w:val="22"/>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4">
    <w:name w:val="List Paragraph"/>
    <w:basedOn w:val="1"/>
    <w:link w:val="40"/>
    <w:qFormat/>
    <w:uiPriority w:val="34"/>
    <w:pPr>
      <w:ind w:firstLine="420" w:firstLineChars="200"/>
    </w:pPr>
  </w:style>
  <w:style w:type="character" w:customStyle="1" w:styleId="25">
    <w:name w:val="TAH Car"/>
    <w:link w:val="26"/>
    <w:qFormat/>
    <w:uiPriority w:val="0"/>
    <w:rPr>
      <w:rFonts w:ascii="Arial" w:hAnsi="Arial" w:eastAsia="Times New Roman" w:cs="Times New Roman"/>
      <w:b/>
      <w:kern w:val="0"/>
      <w:sz w:val="18"/>
      <w:szCs w:val="20"/>
      <w:lang w:val="en-GB" w:eastAsia="ja-JP"/>
    </w:rPr>
  </w:style>
  <w:style w:type="paragraph" w:customStyle="1" w:styleId="26">
    <w:name w:val="TAH"/>
    <w:basedOn w:val="27"/>
    <w:link w:val="25"/>
    <w:qFormat/>
    <w:uiPriority w:val="0"/>
    <w:rPr>
      <w:b/>
    </w:rPr>
  </w:style>
  <w:style w:type="paragraph" w:customStyle="1" w:styleId="27">
    <w:name w:val="TAC"/>
    <w:basedOn w:val="28"/>
    <w:link w:val="31"/>
    <w:qFormat/>
    <w:uiPriority w:val="0"/>
    <w:pPr>
      <w:overflowPunct w:val="0"/>
      <w:autoSpaceDE w:val="0"/>
      <w:autoSpaceDN w:val="0"/>
      <w:adjustRightInd w:val="0"/>
      <w:jc w:val="center"/>
      <w:textAlignment w:val="baseline"/>
    </w:pPr>
    <w:rPr>
      <w:lang w:eastAsia="ja-JP"/>
    </w:rPr>
  </w:style>
  <w:style w:type="paragraph" w:customStyle="1" w:styleId="28">
    <w:name w:val="TAL"/>
    <w:basedOn w:val="1"/>
    <w:link w:val="35"/>
    <w:qFormat/>
    <w:uiPriority w:val="0"/>
    <w:pPr>
      <w:keepNext/>
      <w:keepLines/>
      <w:widowControl/>
      <w:jc w:val="left"/>
    </w:pPr>
    <w:rPr>
      <w:rFonts w:ascii="Arial" w:hAnsi="Arial" w:eastAsia="Times New Roman"/>
      <w:kern w:val="0"/>
      <w:sz w:val="18"/>
      <w:szCs w:val="20"/>
      <w:lang w:val="en-GB" w:eastAsia="en-US"/>
    </w:rPr>
  </w:style>
  <w:style w:type="character" w:customStyle="1" w:styleId="29">
    <w:name w:val="B1 Char"/>
    <w:link w:val="30"/>
    <w:qFormat/>
    <w:uiPriority w:val="0"/>
    <w:rPr>
      <w:rFonts w:ascii="Times New Roman" w:hAnsi="Times New Roman" w:eastAsia="MS Mincho"/>
      <w:lang w:val="en-GB" w:eastAsia="de-DE"/>
    </w:rPr>
  </w:style>
  <w:style w:type="paragraph" w:customStyle="1" w:styleId="30">
    <w:name w:val="B1"/>
    <w:basedOn w:val="12"/>
    <w:link w:val="29"/>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1">
    <w:name w:val="TAC Char"/>
    <w:link w:val="27"/>
    <w:qFormat/>
    <w:uiPriority w:val="0"/>
    <w:rPr>
      <w:rFonts w:ascii="Arial" w:hAnsi="Arial" w:eastAsia="Times New Roman" w:cs="Times New Roman"/>
      <w:kern w:val="0"/>
      <w:sz w:val="18"/>
      <w:szCs w:val="20"/>
      <w:lang w:val="en-GB" w:eastAsia="ja-JP"/>
    </w:rPr>
  </w:style>
  <w:style w:type="paragraph" w:styleId="32">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3">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4">
    <w:name w:val="Balloon Text Char"/>
    <w:basedOn w:val="17"/>
    <w:link w:val="9"/>
    <w:semiHidden/>
    <w:qFormat/>
    <w:uiPriority w:val="99"/>
    <w:rPr>
      <w:rFonts w:ascii="CG Times (WN)" w:hAnsi="CG Times (WN)" w:eastAsia="宋体" w:cs="Times New Roman"/>
      <w:sz w:val="18"/>
      <w:szCs w:val="18"/>
    </w:rPr>
  </w:style>
  <w:style w:type="character" w:customStyle="1" w:styleId="35">
    <w:name w:val="TAL Char"/>
    <w:link w:val="28"/>
    <w:qFormat/>
    <w:uiPriority w:val="0"/>
    <w:rPr>
      <w:rFonts w:ascii="Arial" w:hAnsi="Arial" w:eastAsia="Times New Roman" w:cs="Times New Roman"/>
      <w:kern w:val="0"/>
      <w:sz w:val="18"/>
      <w:szCs w:val="20"/>
      <w:lang w:val="en-GB" w:eastAsia="en-US"/>
    </w:rPr>
  </w:style>
  <w:style w:type="character" w:customStyle="1" w:styleId="36">
    <w:name w:val="Comment Text Char"/>
    <w:basedOn w:val="17"/>
    <w:link w:val="8"/>
    <w:qFormat/>
    <w:uiPriority w:val="0"/>
    <w:rPr>
      <w:rFonts w:ascii="CG Times (WN)" w:hAnsi="CG Times (WN)" w:eastAsia="宋体" w:cs="Times New Roman"/>
    </w:rPr>
  </w:style>
  <w:style w:type="character" w:customStyle="1" w:styleId="37">
    <w:name w:val="Comment Subject Char"/>
    <w:basedOn w:val="36"/>
    <w:link w:val="14"/>
    <w:semiHidden/>
    <w:qFormat/>
    <w:uiPriority w:val="99"/>
    <w:rPr>
      <w:rFonts w:ascii="CG Times (WN)" w:hAnsi="CG Times (WN)" w:eastAsia="宋体" w:cs="Times New Roman"/>
      <w:b/>
      <w:bCs/>
    </w:rPr>
  </w:style>
  <w:style w:type="character" w:customStyle="1" w:styleId="38">
    <w:name w:val="Document Map Char"/>
    <w:basedOn w:val="17"/>
    <w:link w:val="7"/>
    <w:semiHidden/>
    <w:qFormat/>
    <w:uiPriority w:val="99"/>
    <w:rPr>
      <w:rFonts w:ascii="宋体" w:hAnsi="CG Times (WN)" w:eastAsia="宋体" w:cs="Times New Roman"/>
      <w:sz w:val="18"/>
      <w:szCs w:val="18"/>
    </w:rPr>
  </w:style>
  <w:style w:type="character" w:customStyle="1" w:styleId="39">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0">
    <w:name w:val="List Paragraph Char"/>
    <w:link w:val="24"/>
    <w:qFormat/>
    <w:uiPriority w:val="34"/>
    <w:rPr>
      <w:rFonts w:ascii="CG Times (WN)" w:hAnsi="CG Times (WN)" w:eastAsia="宋体" w:cs="Times New Roma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2">
    <w:name w:val="Heading 2 Char"/>
    <w:basedOn w:val="17"/>
    <w:link w:val="3"/>
    <w:qFormat/>
    <w:uiPriority w:val="9"/>
    <w:rPr>
      <w:rFonts w:asciiTheme="majorHAnsi" w:hAnsiTheme="majorHAnsi" w:eastAsiaTheme="majorEastAsia" w:cstheme="majorBidi"/>
      <w:b/>
      <w:bCs/>
      <w:sz w:val="32"/>
      <w:szCs w:val="32"/>
    </w:rPr>
  </w:style>
  <w:style w:type="table" w:customStyle="1" w:styleId="43">
    <w:name w:val="网格型1"/>
    <w:basedOn w:val="15"/>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
    <w:name w:val="网格型2"/>
    <w:basedOn w:val="15"/>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5">
    <w:name w:val="Heading 3 Char"/>
    <w:basedOn w:val="17"/>
    <w:link w:val="4"/>
    <w:qFormat/>
    <w:uiPriority w:val="9"/>
    <w:rPr>
      <w:rFonts w:ascii="Arial" w:hAnsi="Arial" w:eastAsia="Arial Unicode MS" w:cs="Times New Roman"/>
      <w:bCs/>
      <w:sz w:val="30"/>
      <w:szCs w:val="32"/>
    </w:rPr>
  </w:style>
  <w:style w:type="table" w:customStyle="1" w:styleId="46">
    <w:name w:val="网格型3"/>
    <w:basedOn w:val="15"/>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Placeholder Text"/>
    <w:basedOn w:val="17"/>
    <w:semiHidden/>
    <w:qFormat/>
    <w:uiPriority w:val="99"/>
    <w:rPr>
      <w:color w:val="808080"/>
    </w:rPr>
  </w:style>
  <w:style w:type="table" w:customStyle="1" w:styleId="48">
    <w:name w:val="Table Grid1"/>
    <w:basedOn w:val="15"/>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9">
    <w:name w:val="Heading 5 Char"/>
    <w:basedOn w:val="17"/>
    <w:link w:val="5"/>
    <w:semiHidden/>
    <w:qFormat/>
    <w:uiPriority w:val="9"/>
    <w:rPr>
      <w:rFonts w:ascii="CG Times (WN)" w:hAnsi="CG Times (WN)" w:eastAsia="宋体" w:cs="Times New Roman"/>
      <w:b/>
      <w:bCs/>
      <w:sz w:val="28"/>
      <w:szCs w:val="28"/>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5</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2023-09-26T10:12:39Z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