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R4-2315195</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5.3.1.4.1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eastAsia="en-US"/>
        </w:rPr>
        <w:t>Dis</w:t>
      </w:r>
      <w:r>
        <w:rPr>
          <w:rFonts w:ascii="Arial" w:hAnsi="Arial" w:eastAsia="MS Mincho" w:cs="Arial"/>
          <w:b/>
          <w:sz w:val="24"/>
          <w:szCs w:val="24"/>
          <w:lang w:eastAsia="en-US"/>
        </w:rPr>
        <w:t>cussion on lower MSD capability</w:t>
      </w:r>
      <w:r>
        <w:rPr>
          <w:rFonts w:cs="Arial" w:asciiTheme="minorEastAsia" w:hAnsiTheme="minorEastAsia" w:eastAsiaTheme="minorEastAsia"/>
          <w:b/>
          <w:sz w:val="24"/>
          <w:szCs w:val="24"/>
        </w:rPr>
        <w:t xml:space="preserve"> </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ascii="Times New Roman" w:hAnsi="Times New Roman"/>
          <w:sz w:val="20"/>
        </w:rPr>
        <w:t>In last meeting, a WF on study for lower MSD signaling design has been approved [1]. In this contribution, we focus on remaining lower MSD capability 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keepNext/>
        <w:keepLines/>
        <w:spacing w:before="260" w:after="260" w:line="416" w:lineRule="auto"/>
        <w:outlineLvl w:val="1"/>
        <w:rPr>
          <w:rFonts w:asciiTheme="majorHAnsi" w:hAnsiTheme="majorHAnsi" w:eastAsiaTheme="majorEastAsia" w:cstheme="majorBidi"/>
          <w:b/>
          <w:bCs/>
          <w:sz w:val="32"/>
          <w:szCs w:val="32"/>
        </w:rPr>
      </w:pPr>
      <w:r>
        <w:rPr>
          <w:rFonts w:asciiTheme="majorHAnsi" w:hAnsiTheme="majorHAnsi" w:eastAsiaTheme="majorEastAsia" w:cstheme="majorBidi"/>
          <w:b/>
          <w:bCs/>
          <w:sz w:val="32"/>
          <w:szCs w:val="32"/>
        </w:rPr>
        <w:t>2.</w:t>
      </w:r>
      <w:r>
        <w:rPr>
          <w:rFonts w:hint="eastAsia" w:asciiTheme="majorHAnsi" w:hAnsiTheme="majorHAnsi" w:eastAsiaTheme="majorEastAsia" w:cstheme="majorBidi"/>
          <w:b/>
          <w:bCs/>
          <w:sz w:val="32"/>
          <w:szCs w:val="32"/>
          <w:lang w:val="en-US" w:eastAsia="zh-CN"/>
        </w:rPr>
        <w:t>1</w:t>
      </w:r>
      <w:r>
        <w:rPr>
          <w:rFonts w:asciiTheme="majorHAnsi" w:hAnsiTheme="majorHAnsi" w:eastAsiaTheme="majorEastAsia" w:cstheme="majorBidi"/>
          <w:b/>
          <w:bCs/>
          <w:sz w:val="32"/>
          <w:szCs w:val="32"/>
        </w:rPr>
        <w:t xml:space="preserve"> </w:t>
      </w:r>
      <w:r>
        <w:rPr>
          <w:rFonts w:hint="eastAsia" w:asciiTheme="majorHAnsi" w:hAnsiTheme="majorHAnsi" w:eastAsiaTheme="majorEastAsia" w:cstheme="majorBidi"/>
          <w:b/>
          <w:bCs/>
          <w:sz w:val="32"/>
          <w:szCs w:val="32"/>
          <w:lang w:val="en-US" w:eastAsia="zh-CN"/>
        </w:rPr>
        <w:t>H</w:t>
      </w:r>
      <w:r>
        <w:rPr>
          <w:rFonts w:asciiTheme="majorHAnsi" w:hAnsiTheme="majorHAnsi" w:eastAsiaTheme="majorEastAsia" w:cstheme="majorBidi"/>
          <w:b/>
          <w:bCs/>
          <w:sz w:val="32"/>
          <w:szCs w:val="32"/>
        </w:rPr>
        <w:t>ow to reduce capability overhead</w:t>
      </w:r>
    </w:p>
    <w:p>
      <w:pPr>
        <w:spacing w:after="120"/>
        <w:rPr>
          <w:rFonts w:ascii="Times New Roman" w:hAnsi="Times New Roman"/>
          <w:sz w:val="20"/>
          <w:szCs w:val="21"/>
        </w:rPr>
      </w:pPr>
      <w:r>
        <w:rPr>
          <w:rFonts w:ascii="Times New Roman" w:hAnsi="Times New Roman"/>
          <w:sz w:val="20"/>
          <w:szCs w:val="21"/>
        </w:rPr>
        <w:t xml:space="preserve">In </w:t>
      </w:r>
      <w:r>
        <w:rPr>
          <w:rFonts w:hint="eastAsia" w:ascii="Times New Roman" w:hAnsi="Times New Roman"/>
          <w:sz w:val="20"/>
          <w:szCs w:val="21"/>
          <w:lang w:val="en-US" w:eastAsia="zh-CN"/>
        </w:rPr>
        <w:t>previous</w:t>
      </w:r>
      <w:r>
        <w:rPr>
          <w:rFonts w:ascii="Times New Roman" w:hAnsi="Times New Roman"/>
          <w:sz w:val="20"/>
          <w:szCs w:val="21"/>
        </w:rPr>
        <w:t xml:space="preserve"> meeting, operator</w:t>
      </w:r>
      <w:r>
        <w:rPr>
          <w:rFonts w:hint="eastAsia" w:ascii="Times New Roman" w:hAnsi="Times New Roman"/>
          <w:sz w:val="20"/>
          <w:szCs w:val="21"/>
          <w:lang w:val="en-US" w:eastAsia="zh-CN"/>
        </w:rPr>
        <w:t>s</w:t>
      </w:r>
      <w:r>
        <w:rPr>
          <w:rFonts w:ascii="Times New Roman" w:hAnsi="Times New Roman"/>
          <w:sz w:val="20"/>
          <w:szCs w:val="21"/>
        </w:rPr>
        <w:t xml:space="preserve"> proposes that if MSD capability overhead is </w:t>
      </w:r>
      <w:r>
        <w:rPr>
          <w:rFonts w:hint="eastAsia" w:ascii="Times New Roman" w:hAnsi="Times New Roman"/>
          <w:sz w:val="20"/>
          <w:szCs w:val="21"/>
        </w:rPr>
        <w:t>heavy</w:t>
      </w:r>
      <w:r>
        <w:rPr>
          <w:rFonts w:ascii="Times New Roman" w:hAnsi="Times New Roman"/>
          <w:sz w:val="20"/>
          <w:szCs w:val="21"/>
        </w:rPr>
        <w:t>, this feature may not be used in commercial network.</w:t>
      </w:r>
      <w:r>
        <w:rPr>
          <w:rFonts w:hint="eastAsia" w:ascii="Times New Roman" w:hAnsi="Times New Roman"/>
          <w:sz w:val="20"/>
          <w:szCs w:val="21"/>
        </w:rPr>
        <w:t xml:space="preserve"> </w:t>
      </w:r>
      <w:r>
        <w:rPr>
          <w:rFonts w:ascii="Times New Roman" w:hAnsi="Times New Roman"/>
          <w:sz w:val="20"/>
          <w:szCs w:val="21"/>
        </w:rPr>
        <w:t>so it’s better to find out how to reduce capability overhead.</w:t>
      </w:r>
    </w:p>
    <w:p>
      <w:pPr>
        <w:spacing w:after="120"/>
        <w:rPr>
          <w:rFonts w:ascii="Times New Roman" w:hAnsi="Times New Roman"/>
          <w:sz w:val="20"/>
          <w:szCs w:val="21"/>
        </w:rPr>
      </w:pPr>
      <w:r>
        <w:rPr>
          <w:rFonts w:ascii="Times New Roman" w:hAnsi="Times New Roman"/>
          <w:sz w:val="20"/>
          <w:szCs w:val="21"/>
        </w:rPr>
        <w:t>One solution is to allow gNB query UE capability and UE only report certain capability filtered by gNB’s query information. Such query information may include following information</w:t>
      </w:r>
      <w:r>
        <w:rPr>
          <w:rFonts w:hint="eastAsia" w:ascii="Times New Roman" w:hAnsi="Times New Roman"/>
          <w:sz w:val="20"/>
          <w:szCs w:val="21"/>
          <w:lang w:val="en-US" w:eastAsia="zh-CN"/>
        </w:rPr>
        <w:t xml:space="preserve">, e.g. </w:t>
      </w:r>
      <w:r>
        <w:rPr>
          <w:rFonts w:ascii="Times New Roman" w:hAnsi="Times New Roman"/>
          <w:sz w:val="20"/>
          <w:szCs w:val="21"/>
        </w:rPr>
        <w:t>band combinations, Power class, Tx power, aggressor and victim CBW, victim operation band.</w:t>
      </w:r>
    </w:p>
    <w:p>
      <w:pPr>
        <w:spacing w:after="120"/>
        <w:rPr>
          <w:rFonts w:ascii="Times New Roman" w:hAnsi="Times New Roman"/>
          <w:b/>
          <w:bCs/>
          <w:sz w:val="20"/>
          <w:szCs w:val="21"/>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1</w:t>
      </w:r>
      <w:r>
        <w:rPr>
          <w:rFonts w:ascii="Times New Roman" w:hAnsi="Times New Roman"/>
          <w:b/>
          <w:bCs/>
          <w:sz w:val="20"/>
          <w:szCs w:val="21"/>
        </w:rPr>
        <w:t>: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w:t>
      </w:r>
    </w:p>
    <w:p>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2</w:t>
      </w:r>
      <w:r>
        <w:rPr>
          <w:rFonts w:asciiTheme="majorHAnsi" w:hAnsiTheme="majorHAnsi" w:eastAsiaTheme="majorEastAsia" w:cstheme="majorBidi"/>
          <w:b/>
          <w:bCs/>
          <w:sz w:val="32"/>
          <w:szCs w:val="32"/>
        </w:rPr>
        <w:t>.</w:t>
      </w:r>
      <w:r>
        <w:rPr>
          <w:rFonts w:hint="eastAsia" w:asciiTheme="majorHAnsi" w:hAnsiTheme="majorHAnsi" w:eastAsiaTheme="majorEastAsia" w:cstheme="majorBidi"/>
          <w:b/>
          <w:bCs/>
          <w:sz w:val="32"/>
          <w:szCs w:val="32"/>
          <w:lang w:val="en-US" w:eastAsia="zh-CN"/>
        </w:rPr>
        <w:t>2</w:t>
      </w:r>
      <w:r>
        <w:rPr>
          <w:rFonts w:asciiTheme="majorHAnsi" w:hAnsiTheme="majorHAnsi" w:eastAsiaTheme="majorEastAsia" w:cstheme="majorBidi"/>
          <w:b/>
          <w:bCs/>
          <w:sz w:val="32"/>
          <w:szCs w:val="32"/>
        </w:rPr>
        <w:t xml:space="preserve"> </w:t>
      </w:r>
      <w:r>
        <w:rPr>
          <w:rFonts w:hint="eastAsia" w:asciiTheme="majorHAnsi" w:hAnsiTheme="majorHAnsi" w:eastAsiaTheme="majorEastAsia" w:cstheme="majorBidi"/>
          <w:b/>
          <w:bCs/>
          <w:sz w:val="32"/>
          <w:szCs w:val="32"/>
          <w:lang w:val="en-US" w:eastAsia="zh-CN"/>
        </w:rPr>
        <w:t>P</w:t>
      </w:r>
      <w:r>
        <w:rPr>
          <w:rFonts w:asciiTheme="majorHAnsi" w:hAnsiTheme="majorHAnsi" w:eastAsiaTheme="majorEastAsia" w:cstheme="majorBidi"/>
          <w:b/>
          <w:bCs/>
          <w:sz w:val="32"/>
          <w:szCs w:val="32"/>
        </w:rPr>
        <w:t>ower related report for MSD</w:t>
      </w:r>
    </w:p>
    <w:p>
      <w:pPr>
        <w:spacing w:after="120"/>
        <w:rPr>
          <w:rFonts w:hint="default" w:ascii="Times New Roman" w:hAnsi="Times New Roman"/>
          <w:b w:val="0"/>
          <w:bCs w:val="0"/>
          <w:sz w:val="20"/>
          <w:szCs w:val="21"/>
          <w:lang w:val="en-US" w:eastAsia="zh-CN"/>
        </w:rPr>
      </w:pPr>
      <w:r>
        <w:rPr>
          <w:rFonts w:hint="eastAsia" w:ascii="Times New Roman" w:hAnsi="Times New Roman"/>
          <w:b w:val="0"/>
          <w:bCs w:val="0"/>
          <w:sz w:val="20"/>
          <w:szCs w:val="21"/>
          <w:lang w:val="en-US" w:eastAsia="zh-CN"/>
        </w:rPr>
        <w:t>In last meeting, the agreement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20" w:afterLines="50" w:line="280" w:lineRule="atLeast"/>
              <w:rPr>
                <w:rFonts w:hint="default" w:ascii="Times New Roman" w:hAnsi="Times New Roman" w:cs="Times New Roman"/>
                <w:sz w:val="20"/>
                <w:szCs w:val="21"/>
                <w:highlight w:val="none"/>
                <w:lang w:eastAsia="zh-CN"/>
              </w:rPr>
            </w:pPr>
            <w:r>
              <w:rPr>
                <w:rFonts w:hint="default" w:ascii="Times New Roman" w:hAnsi="Times New Roman" w:cs="Times New Roman"/>
                <w:sz w:val="20"/>
                <w:szCs w:val="21"/>
                <w:highlight w:val="none"/>
                <w:lang w:eastAsia="zh-CN"/>
              </w:rPr>
              <w:t xml:space="preserve">Agreement: </w:t>
            </w:r>
          </w:p>
          <w:p>
            <w:pPr>
              <w:pStyle w:val="23"/>
              <w:numPr>
                <w:ilvl w:val="0"/>
                <w:numId w:val="1"/>
              </w:numPr>
              <w:spacing w:before="120" w:after="120" w:afterLines="50" w:line="280" w:lineRule="atLeast"/>
              <w:ind w:firstLineChars="0"/>
              <w:rPr>
                <w:rFonts w:hint="default" w:ascii="Times New Roman" w:hAnsi="Times New Roman" w:cs="Times New Roman"/>
                <w:sz w:val="20"/>
                <w:szCs w:val="21"/>
                <w:highlight w:val="none"/>
                <w:lang w:eastAsia="zh-CN"/>
              </w:rPr>
            </w:pPr>
            <w:r>
              <w:rPr>
                <w:rFonts w:hint="default" w:ascii="Times New Roman" w:hAnsi="Times New Roman" w:cs="Times New Roman"/>
                <w:sz w:val="20"/>
                <w:szCs w:val="22"/>
                <w:highlight w:val="none"/>
                <w:lang w:eastAsia="zh-CN"/>
              </w:rPr>
              <w:t>CBW of aggressor UL and victim DL are not necessary to be included in the essential information for lower MSD capability</w:t>
            </w:r>
          </w:p>
          <w:p>
            <w:pPr>
              <w:pStyle w:val="23"/>
              <w:numPr>
                <w:ilvl w:val="1"/>
                <w:numId w:val="1"/>
              </w:numPr>
              <w:spacing w:before="120" w:after="120" w:afterLines="50" w:line="280" w:lineRule="atLeast"/>
              <w:ind w:firstLineChars="0"/>
              <w:rPr>
                <w:rFonts w:hint="default" w:ascii="Times New Roman" w:hAnsi="Times New Roman" w:cs="Times New Roman"/>
                <w:sz w:val="20"/>
                <w:szCs w:val="21"/>
                <w:highlight w:val="none"/>
                <w:lang w:eastAsia="zh-CN"/>
              </w:rPr>
            </w:pPr>
            <w:r>
              <w:rPr>
                <w:rFonts w:hint="default" w:ascii="Times New Roman" w:hAnsi="Times New Roman" w:cs="Times New Roman"/>
                <w:sz w:val="20"/>
                <w:szCs w:val="22"/>
                <w:highlight w:val="none"/>
                <w:lang w:eastAsia="zh-CN"/>
              </w:rPr>
              <w:t>FFS on the rule for test condition</w:t>
            </w:r>
          </w:p>
          <w:p>
            <w:pPr>
              <w:pStyle w:val="23"/>
              <w:numPr>
                <w:ilvl w:val="1"/>
                <w:numId w:val="1"/>
              </w:numPr>
              <w:spacing w:before="120" w:after="120" w:afterLines="50" w:line="280" w:lineRule="atLeast"/>
              <w:ind w:firstLineChars="0"/>
              <w:rPr>
                <w:rFonts w:hint="default" w:ascii="Times New Roman" w:hAnsi="Times New Roman"/>
                <w:b/>
                <w:bCs/>
                <w:sz w:val="20"/>
                <w:szCs w:val="21"/>
                <w:vertAlign w:val="baseline"/>
                <w:lang w:val="en-US" w:eastAsia="zh-CN"/>
              </w:rPr>
            </w:pPr>
            <w:r>
              <w:rPr>
                <w:rFonts w:hint="default" w:ascii="Times New Roman" w:hAnsi="Times New Roman" w:cs="Times New Roman"/>
                <w:sz w:val="20"/>
                <w:szCs w:val="22"/>
                <w:highlight w:val="none"/>
                <w:lang w:eastAsia="zh-CN"/>
              </w:rPr>
              <w:t>With understanding that CBW of aggressor UL and victim DL is known to both UE and TE during test</w:t>
            </w:r>
          </w:p>
          <w:p>
            <w:pPr>
              <w:pStyle w:val="23"/>
              <w:numPr>
                <w:ilvl w:val="0"/>
                <w:numId w:val="1"/>
              </w:numPr>
              <w:spacing w:before="120" w:after="120" w:afterLines="50" w:line="280" w:lineRule="atLeast"/>
              <w:ind w:left="420" w:leftChars="0" w:hanging="420" w:firstLineChars="0"/>
              <w:rPr>
                <w:rFonts w:hint="default" w:ascii="Times New Roman" w:hAnsi="Times New Roman"/>
                <w:b w:val="0"/>
                <w:bCs w:val="0"/>
                <w:sz w:val="20"/>
                <w:szCs w:val="21"/>
                <w:vertAlign w:val="baseline"/>
                <w:lang w:val="en-US" w:eastAsia="zh-CN"/>
              </w:rPr>
            </w:pPr>
            <w:r>
              <w:rPr>
                <w:rFonts w:hint="default" w:ascii="Times New Roman" w:hAnsi="Times New Roman"/>
                <w:b w:val="0"/>
                <w:bCs w:val="0"/>
                <w:sz w:val="20"/>
                <w:szCs w:val="21"/>
                <w:vertAlign w:val="baseline"/>
                <w:lang w:val="en-US" w:eastAsia="zh-CN"/>
              </w:rPr>
              <w:t>The UE reports the MSD class per MSD types for the highest supported power class for the band combination</w:t>
            </w:r>
          </w:p>
          <w:p>
            <w:pPr>
              <w:pStyle w:val="23"/>
              <w:numPr>
                <w:ilvl w:val="1"/>
                <w:numId w:val="1"/>
              </w:numPr>
              <w:spacing w:before="120" w:after="120" w:afterLines="50" w:line="280" w:lineRule="atLeast"/>
              <w:ind w:left="840" w:leftChars="0" w:hanging="420" w:firstLineChars="0"/>
              <w:rPr>
                <w:rFonts w:hint="default" w:ascii="Times New Roman" w:hAnsi="Times New Roman"/>
                <w:b w:val="0"/>
                <w:bCs w:val="0"/>
                <w:sz w:val="20"/>
                <w:szCs w:val="21"/>
                <w:vertAlign w:val="baseline"/>
                <w:lang w:val="en-US" w:eastAsia="zh-CN"/>
              </w:rPr>
            </w:pPr>
            <w:r>
              <w:rPr>
                <w:rFonts w:hint="default" w:ascii="Times New Roman" w:hAnsi="Times New Roman"/>
                <w:b w:val="0"/>
                <w:bCs w:val="0"/>
                <w:sz w:val="20"/>
                <w:szCs w:val="21"/>
                <w:vertAlign w:val="baseline"/>
                <w:lang w:val="en-US" w:eastAsia="zh-CN"/>
              </w:rPr>
              <w:t xml:space="preserve">UE can additionally report lower MSD for other PCs if NW/regulator requested </w:t>
            </w:r>
          </w:p>
          <w:p>
            <w:pPr>
              <w:pStyle w:val="23"/>
              <w:numPr>
                <w:ilvl w:val="1"/>
                <w:numId w:val="1"/>
              </w:numPr>
              <w:spacing w:before="120" w:after="120" w:afterLines="50" w:line="280" w:lineRule="atLeast"/>
              <w:ind w:left="840" w:leftChars="0" w:hanging="420" w:firstLineChars="0"/>
              <w:rPr>
                <w:rFonts w:hint="default" w:ascii="Times New Roman" w:hAnsi="Times New Roman"/>
                <w:b w:val="0"/>
                <w:bCs w:val="0"/>
                <w:sz w:val="20"/>
                <w:szCs w:val="21"/>
                <w:vertAlign w:val="baseline"/>
                <w:lang w:val="en-US" w:eastAsia="zh-CN"/>
              </w:rPr>
            </w:pPr>
            <w:r>
              <w:rPr>
                <w:rFonts w:hint="default" w:ascii="Times New Roman" w:hAnsi="Times New Roman"/>
                <w:b w:val="0"/>
                <w:bCs w:val="0"/>
                <w:sz w:val="20"/>
                <w:szCs w:val="21"/>
                <w:vertAlign w:val="baseline"/>
                <w:lang w:val="en-US" w:eastAsia="zh-CN"/>
              </w:rPr>
              <w:t>Conformance test is only performed for the highest supported power class</w:t>
            </w:r>
          </w:p>
          <w:p>
            <w:pPr>
              <w:pStyle w:val="23"/>
              <w:numPr>
                <w:ilvl w:val="1"/>
                <w:numId w:val="1"/>
              </w:numPr>
              <w:spacing w:before="120" w:after="120" w:afterLines="50" w:line="280" w:lineRule="atLeast"/>
              <w:ind w:left="840" w:leftChars="0" w:hanging="420" w:firstLineChars="0"/>
              <w:rPr>
                <w:rFonts w:hint="default" w:ascii="Times New Roman" w:hAnsi="Times New Roman"/>
                <w:b/>
                <w:bCs/>
                <w:sz w:val="20"/>
                <w:szCs w:val="21"/>
                <w:vertAlign w:val="baseline"/>
                <w:lang w:val="en-US" w:eastAsia="zh-CN"/>
              </w:rPr>
            </w:pPr>
            <w:r>
              <w:rPr>
                <w:rFonts w:hint="default" w:ascii="Times New Roman" w:hAnsi="Times New Roman"/>
                <w:b w:val="0"/>
                <w:bCs w:val="0"/>
                <w:sz w:val="20"/>
                <w:szCs w:val="21"/>
                <w:vertAlign w:val="baseline"/>
                <w:lang w:val="en-US" w:eastAsia="zh-CN"/>
              </w:rPr>
              <w:t xml:space="preserve">Lower MSD reported for lower power class does not need to be tested </w:t>
            </w:r>
          </w:p>
        </w:tc>
      </w:tr>
    </w:tbl>
    <w:p>
      <w:pPr>
        <w:spacing w:after="120"/>
        <w:rPr>
          <w:rFonts w:ascii="Times New Roman" w:hAnsi="Times New Roman"/>
          <w:sz w:val="20"/>
          <w:szCs w:val="21"/>
        </w:rPr>
      </w:pPr>
      <w:r>
        <w:rPr>
          <w:rFonts w:ascii="Times New Roman" w:hAnsi="Times New Roman"/>
          <w:sz w:val="20"/>
          <w:szCs w:val="21"/>
        </w:rPr>
        <w:t xml:space="preserve">MSD performance is related to Tx power, </w:t>
      </w:r>
      <w:r>
        <w:rPr>
          <w:rFonts w:hint="eastAsia" w:ascii="Times New Roman" w:hAnsi="Times New Roman"/>
          <w:sz w:val="20"/>
          <w:szCs w:val="21"/>
        </w:rPr>
        <w:t>fo</w:t>
      </w:r>
      <w:r>
        <w:rPr>
          <w:rFonts w:ascii="Times New Roman" w:hAnsi="Times New Roman"/>
          <w:sz w:val="20"/>
          <w:szCs w:val="21"/>
        </w:rPr>
        <w:t>r example, 3dB max output power difference may lead to max 10dB MSD difference. Larger Tx power at UE side, better throughput for UL but may lead to worse MSD for DL. in some extreme case, when UE transmit with max power to maximize UL performance, certain DL victim RB can’t be allocated due to much severe MSD. Therefore, gNB needs the relationship between UL Tx power and DL MSD performance to trade off UL and DL performance.</w:t>
      </w:r>
    </w:p>
    <w:p>
      <w:pPr>
        <w:spacing w:after="120"/>
        <w:rPr>
          <w:rFonts w:ascii="Times New Roman" w:hAnsi="Times New Roman"/>
          <w:b/>
          <w:bCs/>
          <w:sz w:val="20"/>
          <w:szCs w:val="21"/>
        </w:rPr>
      </w:pPr>
      <w:r>
        <w:rPr>
          <w:rFonts w:ascii="Times New Roman" w:hAnsi="Times New Roman"/>
          <w:b/>
          <w:bCs/>
          <w:sz w:val="20"/>
          <w:szCs w:val="21"/>
        </w:rPr>
        <w:t xml:space="preserve">Observation </w:t>
      </w:r>
      <w:r>
        <w:rPr>
          <w:rFonts w:hint="eastAsia" w:ascii="Times New Roman" w:hAnsi="Times New Roman"/>
          <w:b/>
          <w:bCs/>
          <w:sz w:val="20"/>
          <w:szCs w:val="21"/>
          <w:lang w:val="en-US" w:eastAsia="zh-CN"/>
        </w:rPr>
        <w:t>1</w:t>
      </w:r>
      <w:r>
        <w:rPr>
          <w:rFonts w:ascii="Times New Roman" w:hAnsi="Times New Roman"/>
          <w:b/>
          <w:bCs/>
          <w:sz w:val="20"/>
          <w:szCs w:val="21"/>
        </w:rPr>
        <w:t>: gNB needs the relationship between UL Tx power and DL MSD performance to trade off UL and DL performance.</w:t>
      </w:r>
    </w:p>
    <w:p>
      <w:pPr>
        <w:spacing w:after="120"/>
        <w:rPr>
          <w:rFonts w:ascii="Times New Roman" w:hAnsi="Times New Roman"/>
          <w:sz w:val="20"/>
          <w:szCs w:val="21"/>
        </w:rPr>
      </w:pPr>
      <w:r>
        <w:rPr>
          <w:rFonts w:ascii="Times New Roman" w:hAnsi="Times New Roman"/>
          <w:sz w:val="20"/>
          <w:szCs w:val="21"/>
        </w:rPr>
        <w:t>Following list several solutions for relationship between MSD capability and Tx power:</w:t>
      </w:r>
    </w:p>
    <w:p>
      <w:pPr>
        <w:pStyle w:val="23"/>
        <w:numPr>
          <w:ilvl w:val="0"/>
          <w:numId w:val="2"/>
        </w:numPr>
        <w:spacing w:after="120"/>
        <w:ind w:firstLineChars="0"/>
        <w:rPr>
          <w:rFonts w:ascii="Times New Roman" w:hAnsi="Times New Roman"/>
          <w:sz w:val="20"/>
          <w:szCs w:val="21"/>
        </w:rPr>
      </w:pPr>
      <w:r>
        <w:rPr>
          <w:rFonts w:ascii="Times New Roman" w:hAnsi="Times New Roman"/>
          <w:sz w:val="20"/>
          <w:szCs w:val="21"/>
        </w:rPr>
        <w:t xml:space="preserve">Solution 1: categorize MSD with several typical Tx power level. But this method requires UE to have the information for different Tx power levels, heavy workload at UE side. </w:t>
      </w:r>
    </w:p>
    <w:p>
      <w:pPr>
        <w:pStyle w:val="23"/>
        <w:numPr>
          <w:ilvl w:val="0"/>
          <w:numId w:val="2"/>
        </w:numPr>
        <w:spacing w:after="120"/>
        <w:ind w:firstLineChars="0"/>
        <w:rPr>
          <w:rFonts w:ascii="Times New Roman" w:hAnsi="Times New Roman"/>
          <w:sz w:val="20"/>
          <w:szCs w:val="21"/>
        </w:rPr>
      </w:pPr>
      <w:r>
        <w:rPr>
          <w:rFonts w:ascii="Times New Roman" w:hAnsi="Times New Roman"/>
          <w:sz w:val="20"/>
          <w:szCs w:val="21"/>
        </w:rPr>
        <w:t>Solution 2: filter MSD for different power with filtering parameter when query UE capability. Same shortcoming as solution1, heavy workload at UE side to find out the relationship between MSD and Tx power</w:t>
      </w:r>
    </w:p>
    <w:p>
      <w:pPr>
        <w:pStyle w:val="23"/>
        <w:numPr>
          <w:ilvl w:val="0"/>
          <w:numId w:val="2"/>
        </w:numPr>
        <w:spacing w:after="120"/>
        <w:ind w:firstLineChars="0"/>
        <w:rPr>
          <w:rFonts w:ascii="Times New Roman" w:hAnsi="Times New Roman"/>
          <w:b/>
          <w:bCs/>
          <w:sz w:val="20"/>
          <w:szCs w:val="21"/>
        </w:rPr>
      </w:pPr>
      <w:r>
        <w:rPr>
          <w:rFonts w:ascii="Times New Roman" w:hAnsi="Times New Roman"/>
          <w:b/>
          <w:bCs/>
          <w:sz w:val="20"/>
          <w:szCs w:val="21"/>
        </w:rPr>
        <w:t>Solution 3: additional information to show under which Tx power, all MSD</w:t>
      </w:r>
      <w:r>
        <w:rPr>
          <w:rFonts w:hint="eastAsia" w:ascii="Times New Roman" w:hAnsi="Times New Roman"/>
          <w:b/>
          <w:bCs/>
          <w:sz w:val="20"/>
          <w:szCs w:val="21"/>
          <w:lang w:val="en-US" w:eastAsia="zh-CN"/>
        </w:rPr>
        <w:t xml:space="preserve"> would be negligible/acceptable</w:t>
      </w:r>
      <w:r>
        <w:rPr>
          <w:rFonts w:ascii="Times New Roman" w:hAnsi="Times New Roman"/>
          <w:b/>
          <w:bCs/>
          <w:sz w:val="20"/>
          <w:szCs w:val="21"/>
        </w:rPr>
        <w:t>.</w:t>
      </w:r>
      <w:r>
        <w:rPr>
          <w:rFonts w:hint="eastAsia" w:ascii="Times New Roman" w:hAnsi="Times New Roman"/>
          <w:b/>
          <w:bCs/>
          <w:sz w:val="20"/>
          <w:szCs w:val="21"/>
          <w:lang w:val="en-US" w:eastAsia="zh-CN"/>
        </w:rPr>
        <w:t xml:space="preserve"> </w:t>
      </w:r>
      <w:r>
        <w:rPr>
          <w:rFonts w:ascii="Times New Roman" w:hAnsi="Times New Roman"/>
          <w:b/>
          <w:bCs/>
          <w:sz w:val="20"/>
          <w:szCs w:val="21"/>
        </w:rPr>
        <w:t xml:space="preserve">gNB could use this information for final UE scheduling algorithm </w:t>
      </w:r>
      <w:r>
        <w:rPr>
          <w:rFonts w:hint="eastAsia" w:ascii="Times New Roman" w:hAnsi="Times New Roman"/>
          <w:b/>
          <w:bCs/>
          <w:sz w:val="20"/>
          <w:szCs w:val="21"/>
          <w:lang w:val="en-US" w:eastAsia="zh-CN"/>
        </w:rPr>
        <w:t>and</w:t>
      </w:r>
      <w:r>
        <w:rPr>
          <w:rFonts w:ascii="Times New Roman" w:hAnsi="Times New Roman"/>
          <w:b/>
          <w:bCs/>
          <w:sz w:val="20"/>
          <w:szCs w:val="21"/>
        </w:rPr>
        <w:t xml:space="preserve"> deciding final UE Tx power</w:t>
      </w:r>
    </w:p>
    <w:p>
      <w:pPr>
        <w:pStyle w:val="23"/>
        <w:numPr>
          <w:ilvl w:val="1"/>
          <w:numId w:val="2"/>
        </w:numPr>
        <w:spacing w:after="120"/>
        <w:ind w:firstLineChars="0"/>
        <w:rPr>
          <w:rFonts w:ascii="Times New Roman" w:hAnsi="Times New Roman"/>
          <w:sz w:val="20"/>
          <w:szCs w:val="21"/>
        </w:rPr>
      </w:pPr>
      <w:r>
        <w:rPr>
          <w:rFonts w:ascii="Times New Roman" w:hAnsi="Times New Roman"/>
          <w:sz w:val="20"/>
          <w:szCs w:val="21"/>
        </w:rPr>
        <w:t xml:space="preserve">This information help gNB to know which UE could be allocated to MSD-victim RB since the MSD is negligible for this UE when it is at </w:t>
      </w:r>
      <w:r>
        <w:rPr>
          <w:rFonts w:hint="eastAsia" w:ascii="Times New Roman" w:hAnsi="Times New Roman"/>
          <w:sz w:val="20"/>
          <w:szCs w:val="21"/>
          <w:lang w:val="en-US" w:eastAsia="zh-CN"/>
        </w:rPr>
        <w:t>cell center</w:t>
      </w:r>
      <w:r>
        <w:rPr>
          <w:rFonts w:ascii="Times New Roman" w:hAnsi="Times New Roman"/>
          <w:sz w:val="20"/>
          <w:szCs w:val="21"/>
        </w:rPr>
        <w:t xml:space="preserve"> with less </w:t>
      </w:r>
      <w:r>
        <w:rPr>
          <w:rFonts w:hint="eastAsia" w:ascii="Times New Roman" w:hAnsi="Times New Roman"/>
          <w:sz w:val="20"/>
          <w:szCs w:val="21"/>
          <w:lang w:val="en-US" w:eastAsia="zh-CN"/>
        </w:rPr>
        <w:t xml:space="preserve">target </w:t>
      </w:r>
      <w:r>
        <w:rPr>
          <w:rFonts w:ascii="Times New Roman" w:hAnsi="Times New Roman"/>
          <w:sz w:val="20"/>
          <w:szCs w:val="21"/>
        </w:rPr>
        <w:t xml:space="preserve">Tx power. </w:t>
      </w:r>
    </w:p>
    <w:p>
      <w:pPr>
        <w:pStyle w:val="23"/>
        <w:numPr>
          <w:ilvl w:val="1"/>
          <w:numId w:val="2"/>
        </w:numPr>
        <w:spacing w:after="120"/>
        <w:ind w:firstLineChars="0"/>
        <w:rPr>
          <w:rFonts w:hint="eastAsia" w:ascii="Times New Roman" w:hAnsi="Times New Roman"/>
          <w:b w:val="0"/>
          <w:bCs w:val="0"/>
          <w:sz w:val="20"/>
          <w:szCs w:val="21"/>
          <w:lang w:val="en-US" w:eastAsia="zh-CN"/>
        </w:rPr>
      </w:pPr>
      <w:r>
        <w:rPr>
          <w:rFonts w:ascii="Times New Roman" w:hAnsi="Times New Roman"/>
          <w:sz w:val="20"/>
          <w:szCs w:val="21"/>
        </w:rPr>
        <w:t xml:space="preserve">in some cases when DL throughput is bottleneck, gNB could reduce UE Tx power to make the MSD acceptable for DL. </w:t>
      </w:r>
      <w:r>
        <w:rPr>
          <w:rFonts w:hint="eastAsia" w:ascii="Times New Roman" w:hAnsi="Times New Roman"/>
          <w:sz w:val="20"/>
          <w:szCs w:val="21"/>
          <w:lang w:val="en-US" w:eastAsia="zh-CN"/>
        </w:rPr>
        <w:t>T</w:t>
      </w:r>
      <w:r>
        <w:rPr>
          <w:rFonts w:ascii="Times New Roman" w:hAnsi="Times New Roman"/>
          <w:sz w:val="20"/>
          <w:szCs w:val="21"/>
        </w:rPr>
        <w:t>his MSD information help gNB fully utilize all RBs even for the RB with severe MSD</w:t>
      </w:r>
      <w:r>
        <w:rPr>
          <w:rFonts w:hint="eastAsia" w:ascii="Times New Roman" w:hAnsi="Times New Roman"/>
          <w:sz w:val="20"/>
          <w:szCs w:val="21"/>
          <w:lang w:val="en-US" w:eastAsia="zh-CN"/>
        </w:rPr>
        <w:t xml:space="preserve"> by sacrificing UE Tx power</w:t>
      </w:r>
      <w:r>
        <w:rPr>
          <w:rFonts w:ascii="Times New Roman" w:hAnsi="Times New Roman"/>
          <w:sz w:val="20"/>
          <w:szCs w:val="21"/>
        </w:rPr>
        <w:t>.</w:t>
      </w:r>
    </w:p>
    <w:p>
      <w:pPr>
        <w:pStyle w:val="23"/>
        <w:numPr>
          <w:ilvl w:val="1"/>
          <w:numId w:val="2"/>
        </w:numPr>
        <w:spacing w:after="120"/>
        <w:ind w:firstLineChars="0"/>
        <w:rPr>
          <w:rFonts w:ascii="Times New Roman" w:hAnsi="Times New Roman"/>
          <w:sz w:val="20"/>
          <w:szCs w:val="21"/>
        </w:rPr>
      </w:pPr>
      <w:r>
        <w:rPr>
          <w:rFonts w:hint="eastAsia" w:ascii="Times New Roman" w:hAnsi="Times New Roman"/>
          <w:sz w:val="20"/>
          <w:szCs w:val="21"/>
          <w:lang w:val="en-US" w:eastAsia="zh-CN"/>
        </w:rPr>
        <w:t xml:space="preserve">Regarding how to identify MSD is negligible/acceptable, one solution is when MSD is less than lowest MSD threshold among UE capability, then MSD is assumed as negligible. </w:t>
      </w:r>
      <w:r>
        <w:rPr>
          <w:rFonts w:hint="eastAsia" w:ascii="Times New Roman" w:hAnsi="Times New Roman"/>
          <w:b w:val="0"/>
          <w:bCs w:val="0"/>
          <w:sz w:val="20"/>
          <w:szCs w:val="21"/>
          <w:lang w:val="en-US" w:eastAsia="zh-CN"/>
        </w:rPr>
        <w:t>For example when the lower MSD threshold is defined as 3dB, the UE could report corresponding Tx power under which condition all types and orders MSD could be less than 3dB.</w:t>
      </w:r>
    </w:p>
    <w:p>
      <w:pPr>
        <w:spacing w:after="120"/>
        <w:rPr>
          <w:rFonts w:ascii="Times New Roman" w:hAnsi="Times New Roman"/>
          <w:sz w:val="20"/>
          <w:szCs w:val="21"/>
        </w:rPr>
      </w:pPr>
      <w:r>
        <w:rPr>
          <w:rFonts w:ascii="Times New Roman" w:hAnsi="Times New Roman"/>
          <w:sz w:val="20"/>
          <w:szCs w:val="21"/>
        </w:rPr>
        <w:t>According to above analysis, solution 3 is more preferred.</w:t>
      </w:r>
    </w:p>
    <w:p>
      <w:pPr>
        <w:spacing w:after="120"/>
        <w:rPr>
          <w:rFonts w:hint="eastAsia" w:ascii="Times New Roman" w:hAnsi="Times New Roman"/>
          <w:b w:val="0"/>
          <w:bCs w:val="0"/>
          <w:sz w:val="20"/>
          <w:szCs w:val="21"/>
          <w:lang w:val="en-US" w:eastAsia="zh-CN"/>
        </w:rPr>
      </w:pPr>
      <w:r>
        <w:rPr>
          <w:rFonts w:hint="eastAsia" w:ascii="Times New Roman" w:hAnsi="Times New Roman"/>
          <w:b w:val="0"/>
          <w:bCs w:val="0"/>
          <w:sz w:val="20"/>
          <w:szCs w:val="21"/>
          <w:lang w:val="en-US" w:eastAsia="zh-CN"/>
        </w:rPr>
        <w:t xml:space="preserve">In last meeting, a new MSD type </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ALL</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 xml:space="preserve"> is approved. The Solution 3 is much like the enhancement for the type </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ALL</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 xml:space="preserve"> with Tx power information to show under which Tx power, all MSD is acceptable. </w:t>
      </w:r>
    </w:p>
    <w:p>
      <w:pPr>
        <w:spacing w:after="120"/>
        <w:rPr>
          <w:rFonts w:hint="eastAsia" w:ascii="Times New Roman" w:hAnsi="Times New Roman"/>
          <w:b/>
          <w:bCs/>
          <w:sz w:val="20"/>
          <w:szCs w:val="21"/>
          <w:lang w:val="en-US" w:eastAsia="zh-CN"/>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2</w:t>
      </w:r>
      <w:r>
        <w:rPr>
          <w:rFonts w:ascii="Times New Roman" w:hAnsi="Times New Roman"/>
          <w:b/>
          <w:bCs/>
          <w:sz w:val="20"/>
          <w:szCs w:val="21"/>
        </w:rPr>
        <w:t xml:space="preserve">: it’s suggested to allow UE report under which Tx power all the MSD values would be </w:t>
      </w:r>
      <w:r>
        <w:rPr>
          <w:rFonts w:hint="eastAsia" w:ascii="Times New Roman" w:hAnsi="Times New Roman"/>
          <w:b/>
          <w:bCs/>
          <w:sz w:val="20"/>
          <w:szCs w:val="21"/>
          <w:lang w:val="en-US" w:eastAsia="zh-CN"/>
        </w:rPr>
        <w:t>negligible/acceptable. This information</w:t>
      </w:r>
      <w:r>
        <w:rPr>
          <w:rFonts w:ascii="Times New Roman" w:hAnsi="Times New Roman"/>
          <w:b/>
          <w:bCs/>
          <w:sz w:val="20"/>
          <w:szCs w:val="21"/>
        </w:rPr>
        <w:t xml:space="preserve"> could help gNB to know which UE could be allocated to MSD-victim RB since the MSD is negligible for this UE when it is at </w:t>
      </w:r>
      <w:r>
        <w:rPr>
          <w:rFonts w:hint="eastAsia" w:ascii="Times New Roman" w:hAnsi="Times New Roman"/>
          <w:b/>
          <w:bCs/>
          <w:sz w:val="20"/>
          <w:szCs w:val="21"/>
          <w:lang w:val="en-US" w:eastAsia="zh-CN"/>
        </w:rPr>
        <w:t>cell center</w:t>
      </w:r>
      <w:r>
        <w:rPr>
          <w:rFonts w:ascii="Times New Roman" w:hAnsi="Times New Roman"/>
          <w:b/>
          <w:bCs/>
          <w:sz w:val="20"/>
          <w:szCs w:val="21"/>
        </w:rPr>
        <w:t xml:space="preserve"> with less </w:t>
      </w:r>
      <w:r>
        <w:rPr>
          <w:rFonts w:hint="eastAsia" w:ascii="Times New Roman" w:hAnsi="Times New Roman"/>
          <w:b/>
          <w:bCs/>
          <w:sz w:val="20"/>
          <w:szCs w:val="21"/>
          <w:lang w:val="en-US" w:eastAsia="zh-CN"/>
        </w:rPr>
        <w:t xml:space="preserve">target </w:t>
      </w:r>
      <w:r>
        <w:rPr>
          <w:rFonts w:ascii="Times New Roman" w:hAnsi="Times New Roman"/>
          <w:b/>
          <w:bCs/>
          <w:sz w:val="20"/>
          <w:szCs w:val="21"/>
        </w:rPr>
        <w:t>Tx power</w:t>
      </w:r>
      <w:r>
        <w:rPr>
          <w:rFonts w:hint="eastAsia" w:ascii="Times New Roman" w:hAnsi="Times New Roman"/>
          <w:b/>
          <w:bCs/>
          <w:sz w:val="20"/>
          <w:szCs w:val="21"/>
          <w:lang w:val="en-US" w:eastAsia="zh-CN"/>
        </w:rPr>
        <w:t>.</w:t>
      </w:r>
    </w:p>
    <w:p>
      <w:pPr>
        <w:pStyle w:val="2"/>
        <w:bidi w:val="0"/>
        <w:rPr>
          <w:rFonts w:hint="eastAsia"/>
          <w:lang w:val="en-US" w:eastAsia="zh-CN"/>
        </w:rPr>
      </w:pPr>
      <w:r>
        <w:rPr>
          <w:rFonts w:hint="eastAsia"/>
          <w:lang w:val="en-US" w:eastAsia="zh-CN"/>
        </w:rPr>
        <w:t>2.3 MSD types and order</w:t>
      </w:r>
    </w:p>
    <w:p>
      <w:pPr>
        <w:spacing w:after="156" w:afterLines="50"/>
        <w:rPr>
          <w:rFonts w:hint="eastAsia" w:ascii="Times New Roman" w:hAnsi="Times New Roman" w:cs="Times New Roman"/>
          <w:lang w:val="en-US" w:eastAsia="zh-CN"/>
        </w:rPr>
      </w:pPr>
      <w:r>
        <w:rPr>
          <w:rFonts w:hint="eastAsia" w:ascii="Times New Roman" w:hAnsi="Times New Roman" w:cs="Times New Roman"/>
          <w:lang w:val="en-US" w:eastAsia="zh-CN"/>
        </w:rPr>
        <w:t>Previous meeting agreements are listed as below for information:</w:t>
      </w:r>
    </w:p>
    <w:p>
      <w:pPr>
        <w:spacing w:after="156" w:afterLines="50"/>
        <w:rPr>
          <w:rFonts w:hint="default" w:ascii="Times New Roman" w:hAnsi="Times New Roman" w:cs="Times New Roman"/>
          <w:lang w:val="en-US" w:eastAsia="zh-CN"/>
        </w:rPr>
      </w:pPr>
      <w:r>
        <w:rPr>
          <w:rFonts w:hint="default" w:ascii="Times New Roman" w:hAnsi="Times New Roman" w:cs="Times New Roman"/>
          <w:lang w:val="en-US" w:eastAsia="zh-CN"/>
        </w:rPr>
        <w:t>The reported MSD types decided at last RAN4 meeting as follows and new MSD types will be further discussed in Rel-19.</w:t>
      </w:r>
    </w:p>
    <w:p>
      <w:pPr>
        <w:numPr>
          <w:ilvl w:val="0"/>
          <w:numId w:val="3"/>
        </w:numPr>
        <w:spacing w:after="156" w:afterLines="5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The following MSD type will be defined in Rel-18</w:t>
      </w:r>
    </w:p>
    <w:p>
      <w:pPr>
        <w:numPr>
          <w:ilvl w:val="1"/>
          <w:numId w:val="3"/>
        </w:numPr>
        <w:spacing w:after="156" w:afterLines="50"/>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Harmonic</w:t>
      </w:r>
    </w:p>
    <w:p>
      <w:pPr>
        <w:numPr>
          <w:ilvl w:val="1"/>
          <w:numId w:val="3"/>
        </w:numPr>
        <w:spacing w:after="156" w:afterLines="50"/>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Harmonic mixing</w:t>
      </w:r>
    </w:p>
    <w:p>
      <w:pPr>
        <w:numPr>
          <w:ilvl w:val="1"/>
          <w:numId w:val="3"/>
        </w:numPr>
        <w:spacing w:after="156" w:afterLines="50"/>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Cross band isolation</w:t>
      </w:r>
    </w:p>
    <w:p>
      <w:pPr>
        <w:numPr>
          <w:ilvl w:val="1"/>
          <w:numId w:val="3"/>
        </w:numPr>
        <w:spacing w:after="156" w:afterLines="50"/>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IMD 2/3/4/5</w:t>
      </w:r>
    </w:p>
    <w:p>
      <w:pPr>
        <w:numPr>
          <w:ilvl w:val="0"/>
          <w:numId w:val="3"/>
        </w:numPr>
        <w:spacing w:after="156" w:afterLines="5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New type will be further discussed in Rel-19 i.e. IMD6/7/8/9 </w:t>
      </w:r>
    </w:p>
    <w:p>
      <w:pPr>
        <w:spacing w:after="156"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previous meeting, there is the discussion of whether to report MSD types per UL configuration or report MSD type per victim band. Table 1 in [3] show the summary of all MSD types for total four kind of UL configurations. We find for following two UL configurations, the same order IMD fall into the same victim band for the same band combinations. </w:t>
      </w:r>
    </w:p>
    <w:p>
      <w:pPr>
        <w:numPr>
          <w:ilvl w:val="0"/>
          <w:numId w:val="4"/>
        </w:numPr>
        <w:spacing w:after="156" w:afterLines="50"/>
        <w:ind w:left="420" w:leftChars="0" w:hanging="420" w:firstLineChars="0"/>
        <w:rPr>
          <w:rFonts w:hint="default" w:ascii="Times New Roman" w:hAnsi="Times New Roman" w:cs="Times New Roman"/>
          <w:lang w:val="en-US" w:eastAsia="zh-CN"/>
        </w:rPr>
      </w:pPr>
      <w:r>
        <w:rPr>
          <w:rFonts w:hint="eastAsia" w:ascii="Times New Roman" w:hAnsi="Times New Roman" w:cs="Times New Roman"/>
          <w:lang w:val="en-US" w:eastAsia="zh-CN"/>
        </w:rPr>
        <w:t>UL configuration 1: 1 UL band with 2 non-contiguous UL CC</w:t>
      </w:r>
    </w:p>
    <w:p>
      <w:pPr>
        <w:numPr>
          <w:ilvl w:val="0"/>
          <w:numId w:val="4"/>
        </w:numPr>
        <w:spacing w:after="156" w:afterLines="50"/>
        <w:ind w:left="420" w:leftChars="0" w:hanging="420" w:firstLineChars="0"/>
        <w:rPr>
          <w:rFonts w:hint="default" w:ascii="Times New Roman" w:hAnsi="Times New Roman" w:cs="Times New Roman"/>
          <w:lang w:val="en-US" w:eastAsia="zh-CN"/>
        </w:rPr>
      </w:pPr>
      <w:r>
        <w:rPr>
          <w:rFonts w:hint="eastAsia" w:ascii="Times New Roman" w:hAnsi="Times New Roman" w:cs="Times New Roman"/>
          <w:lang w:val="en-US" w:eastAsia="zh-CN"/>
        </w:rPr>
        <w:t xml:space="preserve">UL configuration 2: 1 CC per UL band and total 2 UL bands </w:t>
      </w:r>
    </w:p>
    <w:p>
      <w:pPr>
        <w:widowControl w:val="0"/>
        <w:numPr>
          <w:ilvl w:val="0"/>
          <w:numId w:val="0"/>
        </w:numPr>
        <w:spacing w:after="156" w:afterLines="50"/>
        <w:jc w:val="both"/>
        <w:rPr>
          <w:rFonts w:hint="default" w:ascii="Times New Roman" w:hAnsi="Times New Roman" w:cs="Times New Roman"/>
          <w:lang w:val="en-US" w:eastAsia="zh-CN"/>
        </w:rPr>
      </w:pPr>
      <w:r>
        <w:rPr>
          <w:rFonts w:hint="eastAsia" w:ascii="Times New Roman" w:hAnsi="Times New Roman" w:cs="Times New Roman"/>
          <w:lang w:val="en-US" w:eastAsia="zh-CN"/>
        </w:rPr>
        <w:t>CA_n5-n77 is the only example band in current 38101-1 spec. For this n5+n77 IMD4 falls into victim band 5 and at the same time n77+n77 non-contiguous IMD4 falls into victim band n5. besides, the MSD is very similar for this two test points, i.e. 8.3dB and 8.6dB.</w:t>
      </w:r>
    </w:p>
    <w:tbl>
      <w:tblPr>
        <w:tblStyle w:val="1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nil"/>
              <w:right w:val="single" w:color="auto" w:sz="4" w:space="0"/>
            </w:tcBorders>
            <w:shd w:val="clear" w:color="auto" w:fill="auto"/>
          </w:tcPr>
          <w:p>
            <w:pPr>
              <w:pStyle w:val="26"/>
              <w:spacing w:line="260" w:lineRule="auto"/>
              <w:rPr>
                <w:rFonts w:hint="eastAsia"/>
                <w:szCs w:val="18"/>
                <w:highlight w:val="none"/>
                <w:lang w:val="en-US" w:eastAsia="zh-CN"/>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tcPr>
          <w:p>
            <w:pPr>
              <w:pStyle w:val="26"/>
              <w:spacing w:line="260" w:lineRule="auto"/>
              <w:rPr>
                <w:rFonts w:hint="eastAsia"/>
                <w:highlight w:val="none"/>
                <w:lang w:eastAsia="zh-CN"/>
              </w:rPr>
            </w:pPr>
            <w:r>
              <w:rPr>
                <w:rFonts w:hint="eastAsia"/>
                <w:highlight w:val="none"/>
                <w:lang w:eastAsia="zh-CN"/>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25"/>
              <w:rPr>
                <w:szCs w:val="18"/>
                <w:highlight w:val="none"/>
              </w:rPr>
            </w:pPr>
            <w:r>
              <w:rPr>
                <w:highlight w:val="none"/>
                <w:lang w:eastAsia="ja-JP"/>
              </w:rPr>
              <w:t>NR</w:t>
            </w:r>
            <w:r>
              <w:rPr>
                <w:highlight w:val="none"/>
              </w:rPr>
              <w:t xml:space="preserve"> </w:t>
            </w:r>
            <w:r>
              <w:rPr>
                <w:highlight w:val="none"/>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vAlign w:val="top"/>
          </w:tcPr>
          <w:p>
            <w:pPr>
              <w:pStyle w:val="25"/>
              <w:rPr>
                <w:szCs w:val="18"/>
                <w:highlight w:val="none"/>
              </w:rPr>
            </w:pPr>
            <w:r>
              <w:rPr>
                <w:highlight w:val="none"/>
                <w:lang w:eastAsia="ja-JP"/>
              </w:rPr>
              <w:t>NR</w:t>
            </w:r>
            <w:r>
              <w:rPr>
                <w:highlight w:val="none"/>
              </w:rPr>
              <w:t xml:space="preserve"> band</w:t>
            </w:r>
          </w:p>
        </w:tc>
        <w:tc>
          <w:tcPr>
            <w:tcW w:w="975" w:type="dxa"/>
            <w:tcBorders>
              <w:top w:val="single" w:color="auto" w:sz="4" w:space="0"/>
              <w:left w:val="single" w:color="auto" w:sz="4" w:space="0"/>
              <w:bottom w:val="single" w:color="auto" w:sz="4" w:space="0"/>
              <w:right w:val="single" w:color="auto" w:sz="4" w:space="0"/>
            </w:tcBorders>
            <w:vAlign w:val="top"/>
          </w:tcPr>
          <w:p>
            <w:pPr>
              <w:pStyle w:val="25"/>
              <w:rPr>
                <w:rFonts w:hint="eastAsia"/>
                <w:szCs w:val="18"/>
                <w:highlight w:val="none"/>
                <w:lang w:val="en-US" w:eastAsia="zh-CN"/>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1012" w:type="dxa"/>
            <w:tcBorders>
              <w:top w:val="single" w:color="auto" w:sz="4" w:space="0"/>
              <w:left w:val="single" w:color="auto" w:sz="4" w:space="0"/>
              <w:bottom w:val="single" w:color="auto" w:sz="4" w:space="0"/>
              <w:right w:val="single" w:color="auto" w:sz="4" w:space="0"/>
            </w:tcBorders>
            <w:vAlign w:val="top"/>
          </w:tcPr>
          <w:p>
            <w:pPr>
              <w:pStyle w:val="25"/>
              <w:rPr>
                <w:rFonts w:hint="eastAsia"/>
                <w:szCs w:val="18"/>
                <w:highlight w:val="none"/>
                <w:lang w:val="en-US" w:eastAsia="zh-CN"/>
              </w:rPr>
            </w:pPr>
            <w:r>
              <w:rPr>
                <w:highlight w:val="none"/>
              </w:rPr>
              <w:t xml:space="preserve">UL/DL BW </w:t>
            </w:r>
            <w:r>
              <w:rPr>
                <w:highlight w:val="none"/>
              </w:rPr>
              <w:br w:type="textWrapping"/>
            </w:r>
            <w:r>
              <w:rPr>
                <w:highlight w:val="none"/>
              </w:rPr>
              <w:t>(MHz)</w:t>
            </w:r>
          </w:p>
        </w:tc>
        <w:tc>
          <w:tcPr>
            <w:tcW w:w="1379" w:type="dxa"/>
            <w:tcBorders>
              <w:top w:val="single" w:color="auto" w:sz="4" w:space="0"/>
              <w:left w:val="single" w:color="auto" w:sz="4" w:space="0"/>
              <w:bottom w:val="single" w:color="auto" w:sz="4" w:space="0"/>
              <w:right w:val="single" w:color="auto" w:sz="4" w:space="0"/>
            </w:tcBorders>
            <w:vAlign w:val="top"/>
          </w:tcPr>
          <w:p>
            <w:pPr>
              <w:pStyle w:val="25"/>
              <w:rPr>
                <w:rFonts w:hint="eastAsia"/>
                <w:szCs w:val="18"/>
                <w:highlight w:val="none"/>
                <w:lang w:val="en-US" w:eastAsia="zh-CN"/>
              </w:rPr>
            </w:pPr>
            <w:r>
              <w:rPr>
                <w:highlight w:val="none"/>
              </w:rPr>
              <w:t xml:space="preserve">UL </w:t>
            </w:r>
            <w:r>
              <w:rPr>
                <w:highlight w:val="none"/>
              </w:rPr>
              <w:br w:type="textWrapping"/>
            </w:r>
            <w:r>
              <w:rPr>
                <w:highlight w:val="none"/>
              </w:rPr>
              <w:t>C</w:t>
            </w:r>
            <w:r>
              <w:rPr>
                <w:highlight w:val="none"/>
                <w:vertAlign w:val="subscript"/>
              </w:rPr>
              <w:t>LRB</w:t>
            </w:r>
          </w:p>
        </w:tc>
        <w:tc>
          <w:tcPr>
            <w:tcW w:w="881" w:type="dxa"/>
            <w:tcBorders>
              <w:top w:val="single" w:color="auto" w:sz="4" w:space="0"/>
              <w:left w:val="single" w:color="auto" w:sz="4" w:space="0"/>
              <w:bottom w:val="single" w:color="auto" w:sz="4" w:space="0"/>
              <w:right w:val="single" w:color="auto" w:sz="4" w:space="0"/>
            </w:tcBorders>
            <w:vAlign w:val="top"/>
          </w:tcPr>
          <w:p>
            <w:pPr>
              <w:pStyle w:val="25"/>
              <w:rPr>
                <w:rFonts w:hint="eastAsia"/>
                <w:szCs w:val="18"/>
                <w:highlight w:val="none"/>
                <w:lang w:val="en-US" w:eastAsia="zh-CN"/>
              </w:rPr>
            </w:pPr>
            <w:r>
              <w:rPr>
                <w:highlight w:val="none"/>
              </w:rPr>
              <w:t>DL F</w:t>
            </w:r>
            <w:r>
              <w:rPr>
                <w:highlight w:val="none"/>
                <w:vertAlign w:val="subscript"/>
              </w:rPr>
              <w:t>c</w:t>
            </w:r>
            <w:r>
              <w:rPr>
                <w:highlight w:val="none"/>
              </w:rPr>
              <w:t xml:space="preserve"> (MHz)</w:t>
            </w:r>
          </w:p>
        </w:tc>
        <w:tc>
          <w:tcPr>
            <w:tcW w:w="797" w:type="dxa"/>
            <w:tcBorders>
              <w:top w:val="single" w:color="auto" w:sz="4" w:space="0"/>
              <w:left w:val="single" w:color="auto" w:sz="4" w:space="0"/>
              <w:bottom w:val="single" w:color="auto" w:sz="4" w:space="0"/>
              <w:right w:val="single" w:color="auto" w:sz="4" w:space="0"/>
            </w:tcBorders>
            <w:vAlign w:val="top"/>
          </w:tcPr>
          <w:p>
            <w:pPr>
              <w:pStyle w:val="25"/>
              <w:rPr>
                <w:rFonts w:hint="eastAsia"/>
                <w:szCs w:val="18"/>
                <w:highlight w:val="none"/>
                <w:lang w:val="en-US" w:eastAsia="zh-CN"/>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top"/>
          </w:tcPr>
          <w:p>
            <w:pPr>
              <w:pStyle w:val="25"/>
              <w:rPr>
                <w:rFonts w:hint="eastAsia"/>
                <w:szCs w:val="18"/>
                <w:highlight w:val="none"/>
                <w:lang w:val="en-US" w:eastAsia="zh-CN"/>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26"/>
              <w:spacing w:line="260" w:lineRule="auto"/>
              <w:rPr>
                <w:rFonts w:hint="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26"/>
              <w:spacing w:line="260" w:lineRule="auto"/>
              <w:rPr>
                <w:szCs w:val="18"/>
                <w:highlight w:val="none"/>
              </w:rPr>
            </w:pPr>
            <w:r>
              <w:rPr>
                <w:szCs w:val="18"/>
                <w:highlight w:val="none"/>
              </w:rPr>
              <w:t>CA_n</w:t>
            </w:r>
            <w:r>
              <w:rPr>
                <w:rFonts w:hint="eastAsia"/>
                <w:szCs w:val="18"/>
                <w:highlight w:val="none"/>
              </w:rPr>
              <w:t>5</w:t>
            </w:r>
            <w:r>
              <w:rPr>
                <w:rFonts w:hint="eastAsia"/>
                <w:szCs w:val="18"/>
                <w:highlight w:val="none"/>
                <w:lang w:val="en-US" w:eastAsia="zh-CN"/>
              </w:rPr>
              <w:t>-</w:t>
            </w:r>
            <w:r>
              <w:rPr>
                <w:rFonts w:hint="eastAsia"/>
                <w:szCs w:val="18"/>
                <w:highlight w:val="none"/>
              </w:rPr>
              <w:t>n7</w:t>
            </w:r>
            <w:r>
              <w:rPr>
                <w:szCs w:val="18"/>
                <w:highlight w:val="none"/>
              </w:rPr>
              <w:t>7</w:t>
            </w:r>
            <w:r>
              <w:rPr>
                <w:szCs w:val="18"/>
                <w:highlight w:val="none"/>
                <w:vertAlign w:val="superscript"/>
              </w:rPr>
              <w:t>13</w:t>
            </w:r>
          </w:p>
        </w:tc>
        <w:tc>
          <w:tcPr>
            <w:tcW w:w="923"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szCs w:val="18"/>
                <w:highlight w:val="none"/>
              </w:rPr>
              <w:t>n</w:t>
            </w:r>
            <w:r>
              <w:rPr>
                <w:rFonts w:hint="eastAsia"/>
                <w:szCs w:val="18"/>
                <w:highlight w:val="none"/>
              </w:rPr>
              <w:t>5</w:t>
            </w:r>
          </w:p>
        </w:tc>
        <w:tc>
          <w:tcPr>
            <w:tcW w:w="975"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lang w:val="en-US" w:eastAsia="zh-CN"/>
              </w:rPr>
            </w:pPr>
            <w:r>
              <w:rPr>
                <w:rFonts w:hint="eastAsia"/>
                <w:szCs w:val="18"/>
                <w:highlight w:val="none"/>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highlight w:val="none"/>
                <w:lang w:eastAsia="zh-CN"/>
              </w:rPr>
              <w:t>IMD2</w:t>
            </w:r>
            <w:r>
              <w:rPr>
                <w:highlight w:val="none"/>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szCs w:val="18"/>
                <w:highlight w:val="none"/>
              </w:rPr>
            </w:pPr>
          </w:p>
        </w:tc>
        <w:tc>
          <w:tcPr>
            <w:tcW w:w="923"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highlight w:val="none"/>
                <w:lang w:val="en-US" w:eastAsia="zh-CN"/>
              </w:rPr>
              <w:t>n</w:t>
            </w:r>
            <w:r>
              <w:rPr>
                <w:rFonts w:hint="eastAsia"/>
                <w:highlight w:val="none"/>
                <w:lang w:val="en-US" w:eastAsia="zh-CN"/>
              </w:rPr>
              <w:t>77</w:t>
            </w:r>
            <w:r>
              <w:rPr>
                <w:highlight w:val="none"/>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rPr>
            </w:pPr>
            <w:r>
              <w:rPr>
                <w:rFonts w:hint="eastAsia"/>
                <w:szCs w:val="18"/>
                <w:highlight w:val="none"/>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26"/>
              <w:spacing w:line="260" w:lineRule="auto"/>
              <w:rPr>
                <w:szCs w:val="18"/>
                <w:highlight w:val="none"/>
                <w:lang w:val="en-US" w:eastAsia="zh-CN"/>
              </w:rPr>
            </w:pPr>
            <w:r>
              <w:rPr>
                <w:rFonts w:hint="eastAsia"/>
                <w:szCs w:val="18"/>
                <w:highlight w:val="no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highlight w:val="none"/>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color w:val="FF0000"/>
                <w:szCs w:val="18"/>
                <w:highlight w:val="none"/>
              </w:rPr>
              <w:t>n</w:t>
            </w:r>
            <w:r>
              <w:rPr>
                <w:rFonts w:hint="eastAsia"/>
                <w:color w:val="FF0000"/>
                <w:szCs w:val="18"/>
                <w:highlight w:val="none"/>
              </w:rPr>
              <w:t>5</w:t>
            </w:r>
          </w:p>
        </w:tc>
        <w:tc>
          <w:tcPr>
            <w:tcW w:w="975"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rFonts w:hint="eastAsia"/>
                <w:color w:val="FF0000"/>
                <w:szCs w:val="18"/>
                <w:highlight w:val="none"/>
              </w:rPr>
              <w:t>844</w:t>
            </w:r>
          </w:p>
        </w:tc>
        <w:tc>
          <w:tcPr>
            <w:tcW w:w="1012"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rFonts w:hint="eastAsia"/>
                <w:color w:val="FF0000"/>
                <w:szCs w:val="18"/>
                <w:highlight w:val="none"/>
              </w:rPr>
              <w:t>5</w:t>
            </w:r>
          </w:p>
        </w:tc>
        <w:tc>
          <w:tcPr>
            <w:tcW w:w="1379"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rFonts w:hint="eastAsia"/>
                <w:color w:val="FF0000"/>
                <w:szCs w:val="18"/>
                <w:highlight w:val="none"/>
              </w:rPr>
              <w:t>25</w:t>
            </w:r>
          </w:p>
        </w:tc>
        <w:tc>
          <w:tcPr>
            <w:tcW w:w="881"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rFonts w:hint="eastAsia"/>
                <w:color w:val="FF0000"/>
                <w:szCs w:val="18"/>
                <w:highlight w:val="none"/>
              </w:rPr>
              <w:t>889</w:t>
            </w:r>
          </w:p>
        </w:tc>
        <w:tc>
          <w:tcPr>
            <w:tcW w:w="797"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rFonts w:hint="eastAsia"/>
                <w:color w:val="FF0000"/>
                <w:szCs w:val="18"/>
                <w:highlight w:val="none"/>
              </w:rPr>
              <w:t>8.3</w:t>
            </w:r>
          </w:p>
        </w:tc>
        <w:tc>
          <w:tcPr>
            <w:tcW w:w="828"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val="en-US" w:eastAsia="zh-CN"/>
              </w:rPr>
            </w:pPr>
            <w:r>
              <w:rPr>
                <w:rFonts w:hint="eastAsia"/>
                <w:color w:val="FF0000"/>
                <w:highlight w:val="none"/>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26"/>
              <w:spacing w:line="260" w:lineRule="auto"/>
              <w:rPr>
                <w:color w:val="FF0000"/>
                <w:highlight w:val="none"/>
                <w:lang w:eastAsia="zh-CN"/>
              </w:rPr>
            </w:pPr>
            <w:r>
              <w:rPr>
                <w:rFonts w:hint="eastAsia"/>
                <w:color w:val="FF0000"/>
                <w:szCs w:val="18"/>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highlight w:val="none"/>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n77</w:t>
            </w:r>
          </w:p>
        </w:tc>
        <w:tc>
          <w:tcPr>
            <w:tcW w:w="975"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3421</w:t>
            </w:r>
          </w:p>
        </w:tc>
        <w:tc>
          <w:tcPr>
            <w:tcW w:w="1012"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10</w:t>
            </w:r>
          </w:p>
        </w:tc>
        <w:tc>
          <w:tcPr>
            <w:tcW w:w="1379"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5</w:t>
            </w:r>
            <w:r>
              <w:rPr>
                <w:szCs w:val="18"/>
                <w:highlight w:val="none"/>
              </w:rPr>
              <w:t>0</w:t>
            </w:r>
          </w:p>
        </w:tc>
        <w:tc>
          <w:tcPr>
            <w:tcW w:w="881"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3421</w:t>
            </w:r>
          </w:p>
        </w:tc>
        <w:tc>
          <w:tcPr>
            <w:tcW w:w="797"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eastAsia="zh-CN"/>
              </w:rPr>
            </w:pPr>
            <w:r>
              <w:rPr>
                <w:rFonts w:hint="eastAsia"/>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highlight w:val="none"/>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szCs w:val="18"/>
                <w:highlight w:val="none"/>
              </w:rPr>
              <w:t>n</w:t>
            </w:r>
            <w:r>
              <w:rPr>
                <w:rFonts w:hint="eastAsia"/>
                <w:szCs w:val="18"/>
                <w:highlight w:val="none"/>
              </w:rPr>
              <w:t>5</w:t>
            </w:r>
          </w:p>
        </w:tc>
        <w:tc>
          <w:tcPr>
            <w:tcW w:w="975"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szCs w:val="18"/>
                <w:highlight w:val="none"/>
              </w:rPr>
              <w:t>829</w:t>
            </w:r>
          </w:p>
        </w:tc>
        <w:tc>
          <w:tcPr>
            <w:tcW w:w="1012"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5</w:t>
            </w:r>
          </w:p>
        </w:tc>
        <w:tc>
          <w:tcPr>
            <w:tcW w:w="1379"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szCs w:val="18"/>
                <w:highlight w:val="none"/>
              </w:rPr>
              <w:t>25</w:t>
            </w:r>
          </w:p>
        </w:tc>
        <w:tc>
          <w:tcPr>
            <w:tcW w:w="881"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szCs w:val="18"/>
                <w:highlight w:val="none"/>
              </w:rPr>
              <w:t>874</w:t>
            </w:r>
          </w:p>
        </w:tc>
        <w:tc>
          <w:tcPr>
            <w:tcW w:w="797"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szCs w:val="18"/>
                <w:highlight w:val="none"/>
              </w:rPr>
              <w:t>5.5</w:t>
            </w:r>
          </w:p>
        </w:tc>
        <w:tc>
          <w:tcPr>
            <w:tcW w:w="828"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26"/>
              <w:spacing w:line="260" w:lineRule="auto"/>
              <w:rPr>
                <w:highlight w:val="none"/>
                <w:lang w:eastAsia="zh-CN"/>
              </w:rPr>
            </w:pPr>
            <w:r>
              <w:rPr>
                <w:rFonts w:hint="eastAsia"/>
                <w:szCs w:val="18"/>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highlight w:val="none"/>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lang w:eastAsia="zh-CN"/>
              </w:rPr>
            </w:pPr>
            <w:r>
              <w:rPr>
                <w:color w:val="FF0000"/>
                <w:highlight w:val="none"/>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lang w:val="en-US" w:eastAsia="zh-CN"/>
              </w:rPr>
            </w:pPr>
            <w:r>
              <w:rPr>
                <w:rFonts w:cs="Arial"/>
                <w:color w:val="FF0000"/>
                <w:szCs w:val="18"/>
                <w:highlight w:val="none"/>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rPr>
            </w:pPr>
            <w:r>
              <w:rPr>
                <w:rFonts w:cs="Arial"/>
                <w:color w:val="FF0000"/>
                <w:szCs w:val="18"/>
                <w:highlight w:val="none"/>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rPr>
            </w:pPr>
            <w:r>
              <w:rPr>
                <w:rFonts w:cs="Arial"/>
                <w:color w:val="FF0000"/>
                <w:szCs w:val="18"/>
                <w:highlight w:val="none"/>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lang w:val="en-US" w:eastAsia="zh-CN"/>
              </w:rPr>
            </w:pPr>
            <w:r>
              <w:rPr>
                <w:rFonts w:cs="Arial"/>
                <w:color w:val="FF0000"/>
                <w:szCs w:val="18"/>
                <w:highlight w:val="none"/>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lang w:eastAsia="zh-CN"/>
              </w:rPr>
            </w:pPr>
            <w:r>
              <w:rPr>
                <w:rFonts w:cs="Arial"/>
                <w:color w:val="FF0000"/>
                <w:szCs w:val="18"/>
                <w:highlight w:val="none"/>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26"/>
              <w:rPr>
                <w:color w:val="FF0000"/>
                <w:highlight w:val="none"/>
                <w:lang w:val="en-US" w:eastAsia="zh-CN"/>
              </w:rPr>
            </w:pPr>
            <w:r>
              <w:rPr>
                <w:rFonts w:cs="Arial"/>
                <w:color w:val="FF0000"/>
                <w:szCs w:val="18"/>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26"/>
              <w:rPr>
                <w:color w:val="FF0000"/>
                <w:highlight w:val="none"/>
                <w:lang w:eastAsia="zh-CN"/>
              </w:rPr>
            </w:pPr>
            <w:r>
              <w:rPr>
                <w:rFonts w:cs="Arial"/>
                <w:color w:val="FF0000"/>
                <w:highlight w:val="none"/>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highlight w:val="none"/>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26"/>
              <w:rPr>
                <w:highlight w:val="none"/>
                <w:lang w:eastAsia="zh-CN"/>
              </w:rPr>
            </w:pPr>
            <w:r>
              <w:rPr>
                <w:highlight w:val="none"/>
                <w:lang w:eastAsia="zh-CN"/>
              </w:rPr>
              <w:t>n77</w:t>
            </w:r>
            <w:r>
              <w:rPr>
                <w:highlight w:val="none"/>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26"/>
              <w:rPr>
                <w:highlight w:val="none"/>
                <w:lang w:val="en-US" w:eastAsia="zh-CN"/>
              </w:rPr>
            </w:pPr>
            <w:r>
              <w:rPr>
                <w:rFonts w:cs="Arial"/>
                <w:color w:val="000000"/>
                <w:szCs w:val="18"/>
                <w:highlight w:val="none"/>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26"/>
              <w:rPr>
                <w:highlight w:val="none"/>
                <w:lang w:eastAsia="zh-CN"/>
              </w:rPr>
            </w:pPr>
            <w:r>
              <w:rPr>
                <w:rFonts w:cs="Arial"/>
                <w:color w:val="000000"/>
                <w:szCs w:val="18"/>
                <w:highlight w:val="none"/>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26"/>
              <w:rPr>
                <w:highlight w:val="none"/>
                <w:lang w:val="en-US" w:eastAsia="zh-CN"/>
              </w:rPr>
            </w:pPr>
            <w:r>
              <w:rPr>
                <w:highlight w:val="none"/>
              </w:rPr>
              <w:t>1 RB</w:t>
            </w:r>
            <w:r>
              <w:rPr>
                <w:highlight w:val="none"/>
                <w:vertAlign w:val="subscript"/>
              </w:rPr>
              <w:t>START</w:t>
            </w:r>
            <w:r>
              <w:rPr>
                <w:highlight w:val="none"/>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26"/>
              <w:rPr>
                <w:highlight w:val="none"/>
                <w:lang w:eastAsia="zh-CN"/>
              </w:rPr>
            </w:pPr>
            <w:r>
              <w:rPr>
                <w:rFonts w:cs="Arial"/>
                <w:color w:val="000000"/>
                <w:szCs w:val="18"/>
                <w:highlight w:val="none"/>
              </w:rPr>
              <w:t>3410</w:t>
            </w:r>
          </w:p>
        </w:tc>
        <w:tc>
          <w:tcPr>
            <w:tcW w:w="797" w:type="dxa"/>
            <w:tcBorders>
              <w:top w:val="single" w:color="auto" w:sz="4" w:space="0"/>
              <w:left w:val="single" w:color="auto" w:sz="4" w:space="0"/>
              <w:bottom w:val="nil"/>
              <w:right w:val="single" w:color="auto" w:sz="4" w:space="0"/>
            </w:tcBorders>
            <w:vAlign w:val="center"/>
          </w:tcPr>
          <w:p>
            <w:pPr>
              <w:pStyle w:val="26"/>
              <w:rPr>
                <w:highlight w:val="none"/>
              </w:rPr>
            </w:pPr>
            <w:r>
              <w:rPr>
                <w:rFonts w:cs="Arial"/>
                <w:color w:val="000000"/>
                <w:szCs w:val="18"/>
                <w:highlight w:val="none"/>
              </w:rPr>
              <w:t>N/A</w:t>
            </w:r>
          </w:p>
        </w:tc>
        <w:tc>
          <w:tcPr>
            <w:tcW w:w="828" w:type="dxa"/>
            <w:tcBorders>
              <w:top w:val="single" w:color="auto" w:sz="4" w:space="0"/>
              <w:left w:val="single" w:color="auto" w:sz="4" w:space="0"/>
              <w:bottom w:val="nil"/>
              <w:right w:val="single" w:color="auto" w:sz="4" w:space="0"/>
            </w:tcBorders>
            <w:vAlign w:val="center"/>
          </w:tcPr>
          <w:p>
            <w:pPr>
              <w:pStyle w:val="26"/>
              <w:rPr>
                <w:highlight w:val="none"/>
                <w:lang w:val="en-US" w:eastAsia="zh-CN"/>
              </w:rPr>
            </w:pPr>
            <w:r>
              <w:rPr>
                <w:rFonts w:cs="Arial"/>
                <w:color w:val="000000"/>
                <w:szCs w:val="18"/>
                <w:highlight w:val="none"/>
              </w:rPr>
              <w:t>TDD</w:t>
            </w:r>
          </w:p>
        </w:tc>
        <w:tc>
          <w:tcPr>
            <w:tcW w:w="1057" w:type="dxa"/>
            <w:tcBorders>
              <w:top w:val="single" w:color="auto" w:sz="4" w:space="0"/>
              <w:left w:val="single" w:color="auto" w:sz="4" w:space="0"/>
              <w:bottom w:val="nil"/>
              <w:right w:val="single" w:color="auto" w:sz="4" w:space="0"/>
            </w:tcBorders>
          </w:tcPr>
          <w:p>
            <w:pPr>
              <w:pStyle w:val="26"/>
              <w:rPr>
                <w:highlight w:val="none"/>
              </w:rPr>
            </w:pPr>
            <w:r>
              <w:rPr>
                <w:rFonts w:cs="Arial"/>
                <w:highlight w:val="none"/>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6"/>
              <w:spacing w:line="260" w:lineRule="auto"/>
              <w:rPr>
                <w:highlight w:val="none"/>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26"/>
              <w:rPr>
                <w:highlight w:val="none"/>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26"/>
              <w:rPr>
                <w:rFonts w:cs="Arial"/>
                <w:highlight w:val="none"/>
                <w:lang w:eastAsia="ko-KR"/>
              </w:rPr>
            </w:pPr>
            <w:r>
              <w:rPr>
                <w:rFonts w:hint="eastAsia" w:eastAsia="PMingLiU" w:cs="Arial"/>
                <w:color w:val="000000"/>
                <w:szCs w:val="18"/>
                <w:highlight w:val="none"/>
                <w:lang w:eastAsia="zh-TW"/>
              </w:rPr>
              <w:t>3</w:t>
            </w:r>
            <w:r>
              <w:rPr>
                <w:rFonts w:eastAsia="PMingLiU" w:cs="Arial"/>
                <w:color w:val="000000"/>
                <w:szCs w:val="18"/>
                <w:highlight w:val="none"/>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26"/>
              <w:rPr>
                <w:rFonts w:cs="Arial"/>
                <w:highlight w:val="none"/>
                <w:lang w:eastAsia="ko-KR"/>
              </w:rPr>
            </w:pPr>
            <w:r>
              <w:rPr>
                <w:rFonts w:cs="Arial"/>
                <w:color w:val="000000"/>
                <w:szCs w:val="18"/>
                <w:highlight w:val="none"/>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26"/>
              <w:rPr>
                <w:highlight w:val="none"/>
                <w:lang w:eastAsia="ko-KR"/>
              </w:rPr>
            </w:pPr>
            <w:r>
              <w:rPr>
                <w:highlight w:val="none"/>
              </w:rPr>
              <w:t>1 RB</w:t>
            </w:r>
            <w:r>
              <w:rPr>
                <w:highlight w:val="none"/>
                <w:vertAlign w:val="subscript"/>
              </w:rPr>
              <w:t>START</w:t>
            </w:r>
            <w:r>
              <w:rPr>
                <w:highlight w:val="none"/>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26"/>
              <w:rPr>
                <w:rFonts w:cs="Arial"/>
                <w:highlight w:val="none"/>
                <w:lang w:eastAsia="ko-KR"/>
              </w:rPr>
            </w:pPr>
            <w:r>
              <w:rPr>
                <w:rFonts w:hint="eastAsia" w:eastAsia="PMingLiU" w:cs="Arial"/>
                <w:color w:val="000000"/>
                <w:szCs w:val="18"/>
                <w:highlight w:val="none"/>
                <w:lang w:eastAsia="zh-TW"/>
              </w:rPr>
              <w:t>3</w:t>
            </w:r>
            <w:r>
              <w:rPr>
                <w:rFonts w:eastAsia="PMingLiU" w:cs="Arial"/>
                <w:color w:val="000000"/>
                <w:szCs w:val="18"/>
                <w:highlight w:val="none"/>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26"/>
              <w:rPr>
                <w:rFonts w:cs="Arial"/>
                <w:highlight w:val="none"/>
                <w:lang w:eastAsia="ko-KR"/>
              </w:rPr>
            </w:pPr>
          </w:p>
        </w:tc>
        <w:tc>
          <w:tcPr>
            <w:tcW w:w="828" w:type="dxa"/>
            <w:tcBorders>
              <w:top w:val="nil"/>
              <w:left w:val="single" w:color="auto" w:sz="4" w:space="0"/>
              <w:bottom w:val="single" w:color="auto" w:sz="4" w:space="0"/>
              <w:right w:val="single" w:color="auto" w:sz="4" w:space="0"/>
            </w:tcBorders>
            <w:vAlign w:val="center"/>
          </w:tcPr>
          <w:p>
            <w:pPr>
              <w:pStyle w:val="26"/>
              <w:rPr>
                <w:rFonts w:cs="Arial"/>
                <w:highlight w:val="none"/>
                <w:lang w:val="en-US" w:eastAsia="zh-CN"/>
              </w:rPr>
            </w:pPr>
          </w:p>
        </w:tc>
        <w:tc>
          <w:tcPr>
            <w:tcW w:w="1057" w:type="dxa"/>
            <w:tcBorders>
              <w:top w:val="nil"/>
              <w:left w:val="single" w:color="auto" w:sz="4" w:space="0"/>
              <w:bottom w:val="single" w:color="auto" w:sz="4" w:space="0"/>
              <w:right w:val="single" w:color="auto" w:sz="4" w:space="0"/>
            </w:tcBorders>
          </w:tcPr>
          <w:p>
            <w:pPr>
              <w:pStyle w:val="26"/>
              <w:rPr>
                <w:rFonts w:cs="Arial"/>
                <w:highlight w:val="none"/>
                <w:lang w:eastAsia="ko-KR"/>
              </w:rPr>
            </w:pPr>
          </w:p>
        </w:tc>
      </w:tr>
    </w:tbl>
    <w:p>
      <w:pPr>
        <w:spacing w:after="156" w:afterLines="50"/>
        <w:rPr>
          <w:rFonts w:hint="eastAsia" w:ascii="Times New Roman" w:hAnsi="Times New Roman" w:cs="Times New Roman"/>
          <w:lang w:val="en-US" w:eastAsia="zh-CN"/>
        </w:rPr>
      </w:pPr>
    </w:p>
    <w:p>
      <w:pPr>
        <w:spacing w:after="156" w:afterLines="50"/>
        <w:rPr>
          <w:rFonts w:hint="default" w:ascii="Times New Roman" w:hAnsi="Times New Roman" w:eastAsia="宋体" w:cs="Times New Roman"/>
          <w:lang w:val="en-US" w:eastAsia="zh-CN"/>
        </w:rPr>
      </w:pPr>
      <w:r>
        <w:rPr>
          <w:rFonts w:hint="eastAsia" w:ascii="Times New Roman" w:hAnsi="Times New Roman" w:cs="Times New Roman"/>
          <w:b/>
          <w:bCs/>
          <w:lang w:val="en-US" w:eastAsia="zh-CN"/>
        </w:rPr>
        <w:t xml:space="preserve">Observation 2: For specific band combinations, the same order IMD generated by different uplink (UL) configurations will fall within the same victim band with similar values. In current spec, the only example band combination is CA_n5-n77 which have very similar MSD for IMD4 from n5+n77 and non contiguous n77+n77 UL configurations, i.e. 8.3dB and 8.6dB respectively. </w:t>
      </w:r>
      <w:r>
        <w:rPr>
          <w:rFonts w:hint="eastAsia" w:ascii="Times New Roman" w:hAnsi="Times New Roman" w:cs="Times New Roman"/>
          <w:lang w:val="en-US" w:eastAsia="zh-CN"/>
        </w:rPr>
        <w:t xml:space="preserve"> </w:t>
      </w:r>
    </w:p>
    <w:p>
      <w:pPr>
        <w:spacing w:after="156" w:afterLines="50"/>
        <w:rPr>
          <w:rFonts w:hint="eastAsia" w:ascii="Times New Roman" w:hAnsi="Times New Roman" w:cs="Times New Roman"/>
          <w:lang w:val="en-US" w:eastAsia="zh-CN"/>
        </w:rPr>
      </w:pPr>
      <w:r>
        <w:rPr>
          <w:rFonts w:hint="eastAsia" w:ascii="Times New Roman" w:hAnsi="Times New Roman" w:cs="Times New Roman"/>
          <w:lang w:val="en-US" w:eastAsia="zh-CN"/>
        </w:rPr>
        <w:t>As show in above table, these two different UL configurations may lead to very similar MSD. It</w:t>
      </w:r>
      <w:r>
        <w:rPr>
          <w:rFonts w:hint="default" w:ascii="Times New Roman" w:hAnsi="Times New Roman" w:cs="Times New Roman"/>
          <w:lang w:val="en-US" w:eastAsia="zh-CN"/>
        </w:rPr>
        <w:t>’</w:t>
      </w:r>
      <w:r>
        <w:rPr>
          <w:rFonts w:hint="eastAsia" w:ascii="Times New Roman" w:hAnsi="Times New Roman" w:cs="Times New Roman"/>
          <w:lang w:val="en-US" w:eastAsia="zh-CN"/>
        </w:rPr>
        <w:t>s reasonable to assume finally enhanced MSD may also be very similar for these two kind of UL configurations and there is no need to further explicitly differentiate different UL configurations at gNB side.</w:t>
      </w:r>
    </w:p>
    <w:p>
      <w:pPr>
        <w:spacing w:after="156" w:afterLines="50"/>
        <w:rPr>
          <w:rFonts w:hint="eastAsia" w:ascii="Times New Roman" w:hAnsi="Times New Roman" w:cs="Times New Roman"/>
          <w:lang w:val="en-US" w:eastAsia="zh-CN"/>
        </w:rPr>
      </w:pPr>
      <w:r>
        <w:rPr>
          <w:rFonts w:hint="eastAsia" w:ascii="Times New Roman" w:hAnsi="Times New Roman" w:cs="Times New Roman"/>
          <w:lang w:val="en-US" w:eastAsia="zh-CN"/>
        </w:rPr>
        <w:t>Compared with max 8 MSD types report per victim band, per UL configuration report will require max 3 MSD types. But for one band combinations, all UL configurations should report capability. So total MSD capability report among all UL configurations per victim will lead to much overhead compared with report per victim band.</w:t>
      </w:r>
    </w:p>
    <w:p>
      <w:pPr>
        <w:spacing w:after="156"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Besides, another backwards of UL configuration report is that we have to update MSD capability when new UL configurations are introduced. </w:t>
      </w:r>
    </w:p>
    <w:p>
      <w:pPr>
        <w:spacing w:after="156" w:afterLines="50"/>
        <w:rPr>
          <w:rFonts w:hint="eastAsia" w:ascii="Times New Roman" w:hAnsi="Times New Roman" w:cs="Times New Roman"/>
          <w:lang w:val="en-US" w:eastAsia="zh-CN"/>
        </w:rPr>
      </w:pPr>
      <w:r>
        <w:rPr>
          <w:rFonts w:hint="eastAsia" w:ascii="Times New Roman" w:hAnsi="Times New Roman" w:cs="Times New Roman"/>
          <w:lang w:val="en-US" w:eastAsia="zh-CN"/>
        </w:rPr>
        <w:t>In conclusion, it</w:t>
      </w:r>
      <w:r>
        <w:rPr>
          <w:rFonts w:hint="default" w:ascii="Times New Roman" w:hAnsi="Times New Roman" w:cs="Times New Roman"/>
          <w:lang w:val="en-US" w:eastAsia="zh-CN"/>
        </w:rPr>
        <w:t>’</w:t>
      </w:r>
      <w:r>
        <w:rPr>
          <w:rFonts w:hint="eastAsia" w:ascii="Times New Roman" w:hAnsi="Times New Roman" w:cs="Times New Roman"/>
          <w:lang w:val="en-US" w:eastAsia="zh-CN"/>
        </w:rPr>
        <w:t>s suggested to report MSD types per victim band per band combination rather than per UL configuration per victim band per band combinations.</w:t>
      </w:r>
    </w:p>
    <w:p>
      <w:pPr>
        <w:spacing w:after="156" w:afterLines="50"/>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3: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suggested to report MSD types per victim band per band combination rather than per UL configuration per victim band per band combinations.</w:t>
      </w:r>
    </w:p>
    <w:p>
      <w:pPr>
        <w:pStyle w:val="2"/>
        <w:bidi w:val="0"/>
        <w:rPr>
          <w:rFonts w:hint="eastAsia"/>
          <w:lang w:val="en-US" w:eastAsia="zh-CN"/>
        </w:rPr>
      </w:pPr>
      <w:r>
        <w:rPr>
          <w:rFonts w:hint="eastAsia"/>
          <w:lang w:val="en-US" w:eastAsia="zh-CN"/>
        </w:rPr>
        <w:t>2.4 lower MSD capability for higher order combination</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Final agreement is not reached in last meeting: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rFonts w:hint="default" w:ascii="Times New Roman" w:hAnsi="Times New Roman" w:cs="Times New Roman"/>
                <w:i/>
                <w:color w:val="0070C0"/>
                <w:sz w:val="20"/>
                <w:szCs w:val="20"/>
                <w:lang w:val="en-US" w:eastAsia="zh-CN"/>
              </w:rPr>
            </w:pPr>
            <w:r>
              <w:rPr>
                <w:rFonts w:hint="default" w:ascii="Times New Roman" w:hAnsi="Times New Roman" w:cs="Times New Roman"/>
                <w:i/>
                <w:color w:val="0070C0"/>
                <w:sz w:val="20"/>
                <w:szCs w:val="20"/>
                <w:lang w:val="en-US" w:eastAsia="zh-CN"/>
              </w:rPr>
              <w:t>Open issues and candidate options before meeting:</w:t>
            </w:r>
          </w:p>
          <w:p>
            <w:pPr>
              <w:pStyle w:val="23"/>
              <w:numPr>
                <w:ilvl w:val="0"/>
                <w:numId w:val="5"/>
              </w:numPr>
              <w:overflowPunct/>
              <w:autoSpaceDE/>
              <w:autoSpaceDN/>
              <w:adjustRightInd/>
              <w:spacing w:after="120"/>
              <w:ind w:left="720" w:firstLineChars="0"/>
              <w:jc w:val="both"/>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w:t>
            </w:r>
          </w:p>
          <w:p>
            <w:pPr>
              <w:pStyle w:val="23"/>
              <w:numPr>
                <w:ilvl w:val="1"/>
                <w:numId w:val="5"/>
              </w:numPr>
              <w:overflowPunct/>
              <w:autoSpaceDE/>
              <w:autoSpaceDN/>
              <w:adjustRightInd/>
              <w:spacing w:after="120"/>
              <w:ind w:left="144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w:t>
            </w:r>
            <w:r>
              <w:rPr>
                <w:rFonts w:hint="default" w:ascii="Times New Roman" w:hAnsi="Times New Roman" w:cs="Times New Roman"/>
                <w:bCs/>
                <w:sz w:val="20"/>
                <w:szCs w:val="20"/>
                <w:lang w:eastAsia="ko-KR"/>
              </w:rPr>
              <w:t>No need to change or discuss what RAN4 agreed before, i.e., “lower MSD capability for higher order combination is inherited from lower order fallback combinations”, unless RAN4 receives an LS from RAN2 to ask RAN4 to take a specific action on the agreement.</w:t>
            </w:r>
            <w:r>
              <w:rPr>
                <w:rFonts w:hint="default" w:ascii="Times New Roman" w:hAnsi="Times New Roman" w:eastAsia="宋体" w:cs="Times New Roman"/>
                <w:sz w:val="20"/>
                <w:szCs w:val="20"/>
                <w:lang w:eastAsia="zh-CN"/>
              </w:rPr>
              <w:t xml:space="preserve"> (Nokia, vivo, Skyworks, Samsung)</w:t>
            </w:r>
          </w:p>
          <w:p>
            <w:pPr>
              <w:pStyle w:val="23"/>
              <w:numPr>
                <w:ilvl w:val="1"/>
                <w:numId w:val="5"/>
              </w:numPr>
              <w:overflowPunct/>
              <w:autoSpaceDE/>
              <w:autoSpaceDN/>
              <w:adjustRightInd/>
              <w:spacing w:after="0"/>
              <w:ind w:left="1434" w:hanging="357"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2: </w:t>
            </w:r>
            <w:r>
              <w:rPr>
                <w:rFonts w:hint="default" w:ascii="Times New Roman" w:hAnsi="Times New Roman" w:cs="Times New Roman"/>
                <w:sz w:val="20"/>
                <w:szCs w:val="20"/>
              </w:rPr>
              <w:t>Reply RAN2 with the clarification on RAN4’s assumptions on MSD requirements for higher order combinations together with other agreements in this meeting.</w:t>
            </w:r>
            <w:r>
              <w:rPr>
                <w:rFonts w:hint="default" w:ascii="Times New Roman" w:hAnsi="Times New Roman" w:eastAsia="宋体" w:cs="Times New Roman"/>
                <w:sz w:val="20"/>
                <w:szCs w:val="20"/>
                <w:lang w:eastAsia="zh-CN"/>
              </w:rPr>
              <w:t xml:space="preserve"> (Huawei)</w:t>
            </w:r>
          </w:p>
          <w:p>
            <w:pPr>
              <w:pStyle w:val="23"/>
              <w:numPr>
                <w:ilvl w:val="2"/>
                <w:numId w:val="5"/>
              </w:numPr>
              <w:overflowPunct/>
              <w:autoSpaceDE/>
              <w:autoSpaceDN/>
              <w:adjustRightInd/>
              <w:spacing w:after="0"/>
              <w:ind w:hanging="357"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defines the MSD requirements using band combinations consisting of 2 or 3 bands. UEs supporting high order band combinations shall meet the same MSD requirements as the fallbacks. When reporting the lower-MSD capability, the indicated MSD improvement shall be maintained regardless of the order of band combinations, and no new test points would be added.</w:t>
            </w:r>
          </w:p>
          <w:p>
            <w:pPr>
              <w:rPr>
                <w:rFonts w:hint="default" w:ascii="Times New Roman" w:hAnsi="Times New Roman" w:cs="Times New Roman"/>
                <w:sz w:val="20"/>
                <w:szCs w:val="20"/>
                <w:vertAlign w:val="baseline"/>
                <w:lang w:val="en-US" w:eastAsia="zh-CN"/>
              </w:rPr>
            </w:pPr>
          </w:p>
        </w:tc>
      </w:tr>
    </w:tbl>
    <w:p>
      <w:pPr>
        <w:rPr>
          <w:rFonts w:hint="default" w:ascii="Times New Roman" w:hAnsi="Times New Roman" w:cs="Times New Roman"/>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In RAN2, they may don’t know how many DL bands per BC has been specified into RAN4. so our preference is also to show more explanation for RAN2 to help them have a better understanding. Therefore, above option 2 is more preferred.</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sz w:val="20"/>
          <w:szCs w:val="21"/>
          <w:lang w:val="en-US" w:eastAsia="zh-CN"/>
        </w:rPr>
      </w:pPr>
      <w:r>
        <w:rPr>
          <w:rFonts w:hint="default" w:ascii="Times New Roman" w:hAnsi="Times New Roman" w:cs="Times New Roman"/>
          <w:b/>
          <w:bCs/>
          <w:sz w:val="20"/>
          <w:szCs w:val="21"/>
          <w:lang w:val="en-US" w:eastAsia="zh-CN"/>
        </w:rPr>
        <w:t>Proposal</w:t>
      </w:r>
      <w:r>
        <w:rPr>
          <w:rFonts w:hint="eastAsia" w:ascii="Times New Roman" w:hAnsi="Times New Roman" w:cs="Times New Roman"/>
          <w:b/>
          <w:bCs/>
          <w:sz w:val="20"/>
          <w:szCs w:val="21"/>
          <w:lang w:val="en-US" w:eastAsia="zh-CN"/>
        </w:rPr>
        <w:t xml:space="preserve"> 4</w:t>
      </w:r>
      <w:r>
        <w:rPr>
          <w:rFonts w:hint="default" w:ascii="Times New Roman" w:hAnsi="Times New Roman" w:cs="Times New Roman"/>
          <w:b/>
          <w:bCs/>
          <w:sz w:val="20"/>
          <w:szCs w:val="21"/>
          <w:lang w:val="en-US" w:eastAsia="zh-CN"/>
        </w:rPr>
        <w:t>: it’s suggested to reply RAN2 with the clarification for higher order combinations.</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MSD capability related issues are</w:t>
      </w:r>
      <w:r>
        <w:rPr>
          <w:rFonts w:hint="eastAsia" w:ascii="Times New Roman" w:hAnsi="Times New Roman"/>
          <w:sz w:val="20"/>
          <w:szCs w:val="20"/>
        </w:rPr>
        <w:t xml:space="preserve"> discussed </w:t>
      </w:r>
      <w:r>
        <w:rPr>
          <w:rFonts w:ascii="Times New Roman" w:hAnsi="Times New Roman"/>
          <w:sz w:val="20"/>
          <w:szCs w:val="20"/>
        </w:rPr>
        <w:t>with following observations and proposals:</w:t>
      </w:r>
    </w:p>
    <w:p>
      <w:pPr>
        <w:spacing w:after="120"/>
        <w:rPr>
          <w:rFonts w:ascii="Times New Roman" w:hAnsi="Times New Roman"/>
          <w:b/>
          <w:bCs/>
          <w:sz w:val="20"/>
          <w:szCs w:val="21"/>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1</w:t>
      </w:r>
      <w:r>
        <w:rPr>
          <w:rFonts w:ascii="Times New Roman" w:hAnsi="Times New Roman"/>
          <w:b/>
          <w:bCs/>
          <w:sz w:val="20"/>
          <w:szCs w:val="21"/>
        </w:rPr>
        <w:t>: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w:t>
      </w:r>
    </w:p>
    <w:p>
      <w:pPr>
        <w:spacing w:after="120"/>
        <w:rPr>
          <w:rFonts w:ascii="Times New Roman" w:hAnsi="Times New Roman"/>
          <w:b/>
          <w:bCs/>
          <w:sz w:val="20"/>
          <w:szCs w:val="21"/>
        </w:rPr>
      </w:pPr>
      <w:r>
        <w:rPr>
          <w:rFonts w:ascii="Times New Roman" w:hAnsi="Times New Roman"/>
          <w:b/>
          <w:bCs/>
          <w:sz w:val="20"/>
          <w:szCs w:val="21"/>
        </w:rPr>
        <w:t xml:space="preserve">Observation </w:t>
      </w:r>
      <w:r>
        <w:rPr>
          <w:rFonts w:hint="eastAsia" w:ascii="Times New Roman" w:hAnsi="Times New Roman"/>
          <w:b/>
          <w:bCs/>
          <w:sz w:val="20"/>
          <w:szCs w:val="21"/>
          <w:lang w:val="en-US" w:eastAsia="zh-CN"/>
        </w:rPr>
        <w:t>1</w:t>
      </w:r>
      <w:r>
        <w:rPr>
          <w:rFonts w:ascii="Times New Roman" w:hAnsi="Times New Roman"/>
          <w:b/>
          <w:bCs/>
          <w:sz w:val="20"/>
          <w:szCs w:val="21"/>
        </w:rPr>
        <w:t>: gNB needs the relationship between UL Tx power and DL MSD performance to trade off UL and DL performance.</w:t>
      </w:r>
    </w:p>
    <w:p>
      <w:pPr>
        <w:spacing w:after="120"/>
        <w:rPr>
          <w:rFonts w:hint="eastAsia" w:ascii="Times New Roman" w:hAnsi="Times New Roman"/>
          <w:b/>
          <w:bCs/>
          <w:sz w:val="20"/>
          <w:szCs w:val="21"/>
          <w:lang w:val="en-US" w:eastAsia="zh-CN"/>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2</w:t>
      </w:r>
      <w:r>
        <w:rPr>
          <w:rFonts w:ascii="Times New Roman" w:hAnsi="Times New Roman"/>
          <w:b/>
          <w:bCs/>
          <w:sz w:val="20"/>
          <w:szCs w:val="21"/>
        </w:rPr>
        <w:t xml:space="preserve">: it’s suggested to allow UE report under which Tx power all the MSD values would be </w:t>
      </w:r>
      <w:r>
        <w:rPr>
          <w:rFonts w:hint="eastAsia" w:ascii="Times New Roman" w:hAnsi="Times New Roman"/>
          <w:b/>
          <w:bCs/>
          <w:sz w:val="20"/>
          <w:szCs w:val="21"/>
          <w:lang w:val="en-US" w:eastAsia="zh-CN"/>
        </w:rPr>
        <w:t>negligible/acceptable. This information</w:t>
      </w:r>
      <w:r>
        <w:rPr>
          <w:rFonts w:ascii="Times New Roman" w:hAnsi="Times New Roman"/>
          <w:b/>
          <w:bCs/>
          <w:sz w:val="20"/>
          <w:szCs w:val="21"/>
        </w:rPr>
        <w:t xml:space="preserve"> could help gNB to know which UE could be allocated to MSD-victim RB since the MSD is negligible for this UE when it is at </w:t>
      </w:r>
      <w:r>
        <w:rPr>
          <w:rFonts w:hint="eastAsia" w:ascii="Times New Roman" w:hAnsi="Times New Roman"/>
          <w:b/>
          <w:bCs/>
          <w:sz w:val="20"/>
          <w:szCs w:val="21"/>
          <w:lang w:val="en-US" w:eastAsia="zh-CN"/>
        </w:rPr>
        <w:t>cell center</w:t>
      </w:r>
      <w:r>
        <w:rPr>
          <w:rFonts w:ascii="Times New Roman" w:hAnsi="Times New Roman"/>
          <w:b/>
          <w:bCs/>
          <w:sz w:val="20"/>
          <w:szCs w:val="21"/>
        </w:rPr>
        <w:t xml:space="preserve"> with less </w:t>
      </w:r>
      <w:r>
        <w:rPr>
          <w:rFonts w:hint="eastAsia" w:ascii="Times New Roman" w:hAnsi="Times New Roman"/>
          <w:b/>
          <w:bCs/>
          <w:sz w:val="20"/>
          <w:szCs w:val="21"/>
          <w:lang w:val="en-US" w:eastAsia="zh-CN"/>
        </w:rPr>
        <w:t xml:space="preserve">target </w:t>
      </w:r>
      <w:r>
        <w:rPr>
          <w:rFonts w:ascii="Times New Roman" w:hAnsi="Times New Roman"/>
          <w:b/>
          <w:bCs/>
          <w:sz w:val="20"/>
          <w:szCs w:val="21"/>
        </w:rPr>
        <w:t>Tx power</w:t>
      </w:r>
      <w:r>
        <w:rPr>
          <w:rFonts w:hint="eastAsia" w:ascii="Times New Roman" w:hAnsi="Times New Roman"/>
          <w:b/>
          <w:bCs/>
          <w:sz w:val="20"/>
          <w:szCs w:val="21"/>
          <w:lang w:val="en-US" w:eastAsia="zh-CN"/>
        </w:rPr>
        <w:t>.</w:t>
      </w:r>
    </w:p>
    <w:p>
      <w:pPr>
        <w:spacing w:after="156" w:afterLines="50"/>
        <w:rPr>
          <w:rFonts w:hint="default" w:ascii="Times New Roman" w:hAnsi="Times New Roman" w:eastAsia="宋体" w:cs="Times New Roman"/>
          <w:lang w:val="en-US" w:eastAsia="zh-CN"/>
        </w:rPr>
      </w:pPr>
      <w:r>
        <w:rPr>
          <w:rFonts w:hint="eastAsia" w:ascii="Times New Roman" w:hAnsi="Times New Roman" w:cs="Times New Roman"/>
          <w:b/>
          <w:bCs/>
          <w:lang w:val="en-US" w:eastAsia="zh-CN"/>
        </w:rPr>
        <w:t xml:space="preserve">Observation 2: For specific band combinations, the same order IMD generated by different uplink (UL) configurations will fall within the same victim band with similar values. In current spec, the only example band combination is CA_n5-n77 which have very similar MSD for IMD4 from n5+n77 and non contiguous n77+n77 UL configurations, i.e. 8.3dB and 8.6dB respectively. </w:t>
      </w:r>
      <w:r>
        <w:rPr>
          <w:rFonts w:hint="eastAsia" w:ascii="Times New Roman" w:hAnsi="Times New Roman" w:cs="Times New Roman"/>
          <w:lang w:val="en-US" w:eastAsia="zh-CN"/>
        </w:rPr>
        <w:t xml:space="preserve"> </w:t>
      </w:r>
    </w:p>
    <w:p>
      <w:pPr>
        <w:spacing w:after="156" w:afterLines="50"/>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3: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suggested to report MSD types per victim band per band combination rather than per UL configuration per victim band per band combinations.</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sz w:val="20"/>
          <w:szCs w:val="21"/>
          <w:lang w:val="en-US" w:eastAsia="zh-CN"/>
        </w:rPr>
      </w:pPr>
      <w:r>
        <w:rPr>
          <w:rFonts w:hint="default" w:ascii="Times New Roman" w:hAnsi="Times New Roman" w:cs="Times New Roman"/>
          <w:b/>
          <w:bCs/>
          <w:sz w:val="20"/>
          <w:szCs w:val="21"/>
          <w:lang w:val="en-US" w:eastAsia="zh-CN"/>
        </w:rPr>
        <w:t>Proposal</w:t>
      </w:r>
      <w:r>
        <w:rPr>
          <w:rFonts w:hint="eastAsia" w:ascii="Times New Roman" w:hAnsi="Times New Roman" w:cs="Times New Roman"/>
          <w:b/>
          <w:bCs/>
          <w:sz w:val="20"/>
          <w:szCs w:val="21"/>
          <w:lang w:val="en-US" w:eastAsia="zh-CN"/>
        </w:rPr>
        <w:t xml:space="preserve"> 4</w:t>
      </w:r>
      <w:r>
        <w:rPr>
          <w:rFonts w:hint="default" w:ascii="Times New Roman" w:hAnsi="Times New Roman" w:cs="Times New Roman"/>
          <w:b/>
          <w:bCs/>
          <w:sz w:val="20"/>
          <w:szCs w:val="21"/>
          <w:lang w:val="en-US" w:eastAsia="zh-CN"/>
        </w:rPr>
        <w:t>: it’s suggested to reply RAN2 with the clarification for higher order combinations.</w:t>
      </w:r>
    </w:p>
    <w:p>
      <w:pPr>
        <w:spacing w:after="120"/>
        <w:rPr>
          <w:rFonts w:ascii="Times New Roman" w:hAnsi="Times New Roman"/>
          <w:b/>
          <w:bCs/>
          <w:sz w:val="20"/>
          <w:szCs w:val="21"/>
        </w:rPr>
      </w:pPr>
      <w:bookmarkStart w:id="0" w:name="_GoBack"/>
      <w:bookmarkEnd w:id="0"/>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 xml:space="preserve">1] </w:t>
      </w:r>
      <w:r>
        <w:rPr>
          <w:rFonts w:ascii="Times New Roman" w:hAnsi="Times New Roman"/>
          <w:sz w:val="20"/>
          <w:szCs w:val="20"/>
          <w:lang w:eastAsia="zh-CN"/>
        </w:rPr>
        <w:t>R4-2314923</w:t>
      </w:r>
      <w:r>
        <w:rPr>
          <w:rFonts w:ascii="Times New Roman" w:hAnsi="Times New Roman"/>
          <w:sz w:val="20"/>
          <w:szCs w:val="20"/>
        </w:rPr>
        <w:t>, WF on lower MSD, Huawei, HiSilicon</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2] R4-2220513, TP for TR 38.881: Feasibility study from companies and conclusion for lower MSD improvement, Huawei, HiSilicon</w:t>
      </w:r>
    </w:p>
    <w:p>
      <w:pPr>
        <w:widowControl/>
        <w:overflowPunct w:val="0"/>
        <w:autoSpaceDE w:val="0"/>
        <w:autoSpaceDN w:val="0"/>
        <w:adjustRightInd w:val="0"/>
        <w:spacing w:after="180"/>
        <w:jc w:val="left"/>
        <w:textAlignment w:val="baseline"/>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[3] R4-2307476,</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6B7073"/>
    <w:multiLevelType w:val="multilevel"/>
    <w:tmpl w:val="986B70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DFA1C65"/>
    <w:multiLevelType w:val="multilevel"/>
    <w:tmpl w:val="2DFA1C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7F47BEC"/>
    <w:multiLevelType w:val="singleLevel"/>
    <w:tmpl w:val="57F47BEC"/>
    <w:lvl w:ilvl="0" w:tentative="0">
      <w:start w:val="1"/>
      <w:numFmt w:val="bullet"/>
      <w:lvlText w:val=""/>
      <w:lvlJc w:val="left"/>
      <w:pPr>
        <w:ind w:left="42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48D0DCF"/>
    <w:multiLevelType w:val="multilevel"/>
    <w:tmpl w:val="748D0DC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5E"/>
    <w:rsid w:val="00000BE6"/>
    <w:rsid w:val="00001E66"/>
    <w:rsid w:val="00002C4E"/>
    <w:rsid w:val="00002DFE"/>
    <w:rsid w:val="00003434"/>
    <w:rsid w:val="0000389F"/>
    <w:rsid w:val="000041CA"/>
    <w:rsid w:val="00004218"/>
    <w:rsid w:val="0000477F"/>
    <w:rsid w:val="00005C73"/>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1CAA"/>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601B"/>
    <w:rsid w:val="00057657"/>
    <w:rsid w:val="0005789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3F35"/>
    <w:rsid w:val="00075657"/>
    <w:rsid w:val="00076555"/>
    <w:rsid w:val="00076807"/>
    <w:rsid w:val="00077008"/>
    <w:rsid w:val="0007788D"/>
    <w:rsid w:val="000803EE"/>
    <w:rsid w:val="000811BE"/>
    <w:rsid w:val="000811CA"/>
    <w:rsid w:val="00081EC1"/>
    <w:rsid w:val="000821A7"/>
    <w:rsid w:val="00082505"/>
    <w:rsid w:val="000826EF"/>
    <w:rsid w:val="00082B6E"/>
    <w:rsid w:val="00083941"/>
    <w:rsid w:val="000843EB"/>
    <w:rsid w:val="000849ED"/>
    <w:rsid w:val="00084B99"/>
    <w:rsid w:val="00084C93"/>
    <w:rsid w:val="00085793"/>
    <w:rsid w:val="0008586E"/>
    <w:rsid w:val="00085BA6"/>
    <w:rsid w:val="00085D8F"/>
    <w:rsid w:val="00085E61"/>
    <w:rsid w:val="00086A1F"/>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1FE"/>
    <w:rsid w:val="00097FBD"/>
    <w:rsid w:val="000A01AE"/>
    <w:rsid w:val="000A0963"/>
    <w:rsid w:val="000A0AE8"/>
    <w:rsid w:val="000A0AF7"/>
    <w:rsid w:val="000A0F64"/>
    <w:rsid w:val="000A1716"/>
    <w:rsid w:val="000A1BD7"/>
    <w:rsid w:val="000A2385"/>
    <w:rsid w:val="000A2EF0"/>
    <w:rsid w:val="000A3424"/>
    <w:rsid w:val="000A3F70"/>
    <w:rsid w:val="000A49BA"/>
    <w:rsid w:val="000A57C5"/>
    <w:rsid w:val="000A645B"/>
    <w:rsid w:val="000A6969"/>
    <w:rsid w:val="000A7904"/>
    <w:rsid w:val="000B032D"/>
    <w:rsid w:val="000B2B56"/>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4810"/>
    <w:rsid w:val="000D52DA"/>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54B1"/>
    <w:rsid w:val="000E6251"/>
    <w:rsid w:val="000E7663"/>
    <w:rsid w:val="000E784B"/>
    <w:rsid w:val="000E7F07"/>
    <w:rsid w:val="000F0B4E"/>
    <w:rsid w:val="000F115E"/>
    <w:rsid w:val="000F145F"/>
    <w:rsid w:val="000F15DF"/>
    <w:rsid w:val="000F41BC"/>
    <w:rsid w:val="000F448A"/>
    <w:rsid w:val="000F4F18"/>
    <w:rsid w:val="000F57C5"/>
    <w:rsid w:val="000F5E62"/>
    <w:rsid w:val="000F6C2C"/>
    <w:rsid w:val="000F700F"/>
    <w:rsid w:val="000F70C1"/>
    <w:rsid w:val="000F70C8"/>
    <w:rsid w:val="000F750E"/>
    <w:rsid w:val="000F78E3"/>
    <w:rsid w:val="000F7D73"/>
    <w:rsid w:val="000F7E4D"/>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174"/>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5E52"/>
    <w:rsid w:val="001560D6"/>
    <w:rsid w:val="001563D0"/>
    <w:rsid w:val="00156DAC"/>
    <w:rsid w:val="00157E37"/>
    <w:rsid w:val="001606D6"/>
    <w:rsid w:val="00160888"/>
    <w:rsid w:val="001611C4"/>
    <w:rsid w:val="00161662"/>
    <w:rsid w:val="00161ABF"/>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3DED"/>
    <w:rsid w:val="00194755"/>
    <w:rsid w:val="00194EBD"/>
    <w:rsid w:val="00195377"/>
    <w:rsid w:val="00196EDF"/>
    <w:rsid w:val="00197252"/>
    <w:rsid w:val="00197697"/>
    <w:rsid w:val="00197F64"/>
    <w:rsid w:val="001A08E2"/>
    <w:rsid w:val="001A0B1F"/>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17E97"/>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9AA"/>
    <w:rsid w:val="00287B65"/>
    <w:rsid w:val="0029022F"/>
    <w:rsid w:val="002922BF"/>
    <w:rsid w:val="00292FC0"/>
    <w:rsid w:val="00292FD3"/>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7DC"/>
    <w:rsid w:val="002A7ED3"/>
    <w:rsid w:val="002B0EF7"/>
    <w:rsid w:val="002B1386"/>
    <w:rsid w:val="002B1981"/>
    <w:rsid w:val="002B241D"/>
    <w:rsid w:val="002B2707"/>
    <w:rsid w:val="002B2CAD"/>
    <w:rsid w:val="002B2F56"/>
    <w:rsid w:val="002B3197"/>
    <w:rsid w:val="002B3896"/>
    <w:rsid w:val="002B3F1E"/>
    <w:rsid w:val="002B5B3F"/>
    <w:rsid w:val="002B715D"/>
    <w:rsid w:val="002B76C8"/>
    <w:rsid w:val="002C098A"/>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513"/>
    <w:rsid w:val="00301B1D"/>
    <w:rsid w:val="00301E73"/>
    <w:rsid w:val="00302114"/>
    <w:rsid w:val="00302C9A"/>
    <w:rsid w:val="003042F7"/>
    <w:rsid w:val="0030517F"/>
    <w:rsid w:val="003052A2"/>
    <w:rsid w:val="0030539A"/>
    <w:rsid w:val="00305566"/>
    <w:rsid w:val="00306853"/>
    <w:rsid w:val="00307676"/>
    <w:rsid w:val="003102A7"/>
    <w:rsid w:val="00310A06"/>
    <w:rsid w:val="00310B4B"/>
    <w:rsid w:val="0031152E"/>
    <w:rsid w:val="003118A2"/>
    <w:rsid w:val="003119B8"/>
    <w:rsid w:val="00312136"/>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57465"/>
    <w:rsid w:val="00360585"/>
    <w:rsid w:val="003607F6"/>
    <w:rsid w:val="00363ABA"/>
    <w:rsid w:val="003641E4"/>
    <w:rsid w:val="00364EBA"/>
    <w:rsid w:val="00364F85"/>
    <w:rsid w:val="00365004"/>
    <w:rsid w:val="0036541A"/>
    <w:rsid w:val="00366467"/>
    <w:rsid w:val="0036723A"/>
    <w:rsid w:val="0036727B"/>
    <w:rsid w:val="00367312"/>
    <w:rsid w:val="0036745D"/>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37ED"/>
    <w:rsid w:val="003841DE"/>
    <w:rsid w:val="00384DEC"/>
    <w:rsid w:val="00385B7F"/>
    <w:rsid w:val="00387DE0"/>
    <w:rsid w:val="0039099D"/>
    <w:rsid w:val="003916B5"/>
    <w:rsid w:val="003925A8"/>
    <w:rsid w:val="00392BAD"/>
    <w:rsid w:val="003934F2"/>
    <w:rsid w:val="00394CDD"/>
    <w:rsid w:val="00395100"/>
    <w:rsid w:val="00395B8C"/>
    <w:rsid w:val="00396539"/>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0A8E"/>
    <w:rsid w:val="003C24C4"/>
    <w:rsid w:val="003C258B"/>
    <w:rsid w:val="003C261C"/>
    <w:rsid w:val="003C27C4"/>
    <w:rsid w:val="003C28A5"/>
    <w:rsid w:val="003C2F55"/>
    <w:rsid w:val="003C347D"/>
    <w:rsid w:val="003C36FB"/>
    <w:rsid w:val="003C39A7"/>
    <w:rsid w:val="003C466D"/>
    <w:rsid w:val="003C57A7"/>
    <w:rsid w:val="003C6757"/>
    <w:rsid w:val="003C6A82"/>
    <w:rsid w:val="003C7A12"/>
    <w:rsid w:val="003C7B4D"/>
    <w:rsid w:val="003D2ADD"/>
    <w:rsid w:val="003D2BC1"/>
    <w:rsid w:val="003D38C7"/>
    <w:rsid w:val="003D3A57"/>
    <w:rsid w:val="003D3A7F"/>
    <w:rsid w:val="003E0160"/>
    <w:rsid w:val="003E10D8"/>
    <w:rsid w:val="003E17AD"/>
    <w:rsid w:val="003E277F"/>
    <w:rsid w:val="003E2DD6"/>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4B5"/>
    <w:rsid w:val="004206E1"/>
    <w:rsid w:val="004207F8"/>
    <w:rsid w:val="00421911"/>
    <w:rsid w:val="004220D7"/>
    <w:rsid w:val="00422DCE"/>
    <w:rsid w:val="00422E4F"/>
    <w:rsid w:val="00423805"/>
    <w:rsid w:val="004259E8"/>
    <w:rsid w:val="00425EB3"/>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59A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698"/>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1F7"/>
    <w:rsid w:val="004B0211"/>
    <w:rsid w:val="004B1424"/>
    <w:rsid w:val="004B179D"/>
    <w:rsid w:val="004B1C55"/>
    <w:rsid w:val="004B2330"/>
    <w:rsid w:val="004B2E50"/>
    <w:rsid w:val="004B3ACD"/>
    <w:rsid w:val="004B3F71"/>
    <w:rsid w:val="004B4E16"/>
    <w:rsid w:val="004B6C9D"/>
    <w:rsid w:val="004B7ECF"/>
    <w:rsid w:val="004C0275"/>
    <w:rsid w:val="004C046C"/>
    <w:rsid w:val="004C04CB"/>
    <w:rsid w:val="004C0923"/>
    <w:rsid w:val="004C2097"/>
    <w:rsid w:val="004C27F1"/>
    <w:rsid w:val="004C3A97"/>
    <w:rsid w:val="004C4033"/>
    <w:rsid w:val="004C513A"/>
    <w:rsid w:val="004C5C91"/>
    <w:rsid w:val="004D14B5"/>
    <w:rsid w:val="004D185F"/>
    <w:rsid w:val="004D1EF3"/>
    <w:rsid w:val="004D36E6"/>
    <w:rsid w:val="004D3E30"/>
    <w:rsid w:val="004D40A1"/>
    <w:rsid w:val="004D4695"/>
    <w:rsid w:val="004D5F7E"/>
    <w:rsid w:val="004D6171"/>
    <w:rsid w:val="004D6FD2"/>
    <w:rsid w:val="004D7559"/>
    <w:rsid w:val="004E0F79"/>
    <w:rsid w:val="004E11C5"/>
    <w:rsid w:val="004E12A8"/>
    <w:rsid w:val="004E1789"/>
    <w:rsid w:val="004E199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12E6"/>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313"/>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5D53"/>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720"/>
    <w:rsid w:val="005A7C55"/>
    <w:rsid w:val="005B0BB8"/>
    <w:rsid w:val="005B10D7"/>
    <w:rsid w:val="005B1A94"/>
    <w:rsid w:val="005B1AA8"/>
    <w:rsid w:val="005B2A74"/>
    <w:rsid w:val="005B32AA"/>
    <w:rsid w:val="005B368A"/>
    <w:rsid w:val="005B44DF"/>
    <w:rsid w:val="005B4A79"/>
    <w:rsid w:val="005B7524"/>
    <w:rsid w:val="005B75A2"/>
    <w:rsid w:val="005B7DE2"/>
    <w:rsid w:val="005C0DC7"/>
    <w:rsid w:val="005C6372"/>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516B"/>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C7A"/>
    <w:rsid w:val="005E7DAC"/>
    <w:rsid w:val="005F099F"/>
    <w:rsid w:val="005F0C6B"/>
    <w:rsid w:val="005F110B"/>
    <w:rsid w:val="005F1C9C"/>
    <w:rsid w:val="005F22C2"/>
    <w:rsid w:val="005F2A4A"/>
    <w:rsid w:val="005F38EE"/>
    <w:rsid w:val="005F3B84"/>
    <w:rsid w:val="005F4056"/>
    <w:rsid w:val="005F4F59"/>
    <w:rsid w:val="005F5651"/>
    <w:rsid w:val="005F5885"/>
    <w:rsid w:val="005F5A22"/>
    <w:rsid w:val="005F745A"/>
    <w:rsid w:val="00600F55"/>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8AD"/>
    <w:rsid w:val="00636978"/>
    <w:rsid w:val="00637349"/>
    <w:rsid w:val="006402FA"/>
    <w:rsid w:val="006407FC"/>
    <w:rsid w:val="00640AE4"/>
    <w:rsid w:val="00640FF0"/>
    <w:rsid w:val="0064113E"/>
    <w:rsid w:val="006412C2"/>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1C4"/>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894"/>
    <w:rsid w:val="006A2E24"/>
    <w:rsid w:val="006A4E40"/>
    <w:rsid w:val="006A571E"/>
    <w:rsid w:val="006A57EA"/>
    <w:rsid w:val="006A68B0"/>
    <w:rsid w:val="006A6B04"/>
    <w:rsid w:val="006A6FE3"/>
    <w:rsid w:val="006A750A"/>
    <w:rsid w:val="006A7954"/>
    <w:rsid w:val="006A7EBB"/>
    <w:rsid w:val="006B014E"/>
    <w:rsid w:val="006B039D"/>
    <w:rsid w:val="006B06CA"/>
    <w:rsid w:val="006B0BB5"/>
    <w:rsid w:val="006B0C19"/>
    <w:rsid w:val="006B101D"/>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11DF"/>
    <w:rsid w:val="006D314F"/>
    <w:rsid w:val="006D317A"/>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78B"/>
    <w:rsid w:val="006E7B77"/>
    <w:rsid w:val="006F0917"/>
    <w:rsid w:val="006F0920"/>
    <w:rsid w:val="006F0C64"/>
    <w:rsid w:val="006F1C31"/>
    <w:rsid w:val="006F2B18"/>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92"/>
    <w:rsid w:val="007230FF"/>
    <w:rsid w:val="00724EF7"/>
    <w:rsid w:val="00725311"/>
    <w:rsid w:val="00725C2F"/>
    <w:rsid w:val="0072669A"/>
    <w:rsid w:val="0073058E"/>
    <w:rsid w:val="007309C0"/>
    <w:rsid w:val="00730F30"/>
    <w:rsid w:val="007321B4"/>
    <w:rsid w:val="00732476"/>
    <w:rsid w:val="00732831"/>
    <w:rsid w:val="00732F2E"/>
    <w:rsid w:val="007334C3"/>
    <w:rsid w:val="00733F7E"/>
    <w:rsid w:val="00734A0E"/>
    <w:rsid w:val="00734BE4"/>
    <w:rsid w:val="00735679"/>
    <w:rsid w:val="00740339"/>
    <w:rsid w:val="007407E2"/>
    <w:rsid w:val="00742665"/>
    <w:rsid w:val="00742930"/>
    <w:rsid w:val="00743202"/>
    <w:rsid w:val="00743F77"/>
    <w:rsid w:val="0074547A"/>
    <w:rsid w:val="00745D91"/>
    <w:rsid w:val="0074649D"/>
    <w:rsid w:val="00750FFA"/>
    <w:rsid w:val="00751BDD"/>
    <w:rsid w:val="00753050"/>
    <w:rsid w:val="007533D9"/>
    <w:rsid w:val="0075342E"/>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5F25"/>
    <w:rsid w:val="00766235"/>
    <w:rsid w:val="00766289"/>
    <w:rsid w:val="0076776F"/>
    <w:rsid w:val="00767B9C"/>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77A75"/>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5DFE"/>
    <w:rsid w:val="007A6BD0"/>
    <w:rsid w:val="007A6CF2"/>
    <w:rsid w:val="007A7156"/>
    <w:rsid w:val="007A73CF"/>
    <w:rsid w:val="007A75DB"/>
    <w:rsid w:val="007A7617"/>
    <w:rsid w:val="007A7CC2"/>
    <w:rsid w:val="007B1AEA"/>
    <w:rsid w:val="007B2F1E"/>
    <w:rsid w:val="007B336D"/>
    <w:rsid w:val="007B4381"/>
    <w:rsid w:val="007B4889"/>
    <w:rsid w:val="007B5D88"/>
    <w:rsid w:val="007B6F5A"/>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1A5F"/>
    <w:rsid w:val="007D23DC"/>
    <w:rsid w:val="007D4B4F"/>
    <w:rsid w:val="007D516C"/>
    <w:rsid w:val="007D6A53"/>
    <w:rsid w:val="007D7BFA"/>
    <w:rsid w:val="007D7C8D"/>
    <w:rsid w:val="007E3AD6"/>
    <w:rsid w:val="007E421F"/>
    <w:rsid w:val="007E43BA"/>
    <w:rsid w:val="007E44CC"/>
    <w:rsid w:val="007E4646"/>
    <w:rsid w:val="007E5162"/>
    <w:rsid w:val="007E555D"/>
    <w:rsid w:val="007E63C9"/>
    <w:rsid w:val="007E6785"/>
    <w:rsid w:val="007E76F8"/>
    <w:rsid w:val="007E78E7"/>
    <w:rsid w:val="007F08DF"/>
    <w:rsid w:val="007F1B38"/>
    <w:rsid w:val="007F1BFD"/>
    <w:rsid w:val="007F1E29"/>
    <w:rsid w:val="007F2265"/>
    <w:rsid w:val="007F29B8"/>
    <w:rsid w:val="007F2AA5"/>
    <w:rsid w:val="007F39E8"/>
    <w:rsid w:val="007F4113"/>
    <w:rsid w:val="007F4FE8"/>
    <w:rsid w:val="007F614C"/>
    <w:rsid w:val="007F69A1"/>
    <w:rsid w:val="007F6ADD"/>
    <w:rsid w:val="007F6EDB"/>
    <w:rsid w:val="007F721E"/>
    <w:rsid w:val="007F7716"/>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96B"/>
    <w:rsid w:val="00816DD4"/>
    <w:rsid w:val="00817449"/>
    <w:rsid w:val="0081788F"/>
    <w:rsid w:val="00817915"/>
    <w:rsid w:val="008179E7"/>
    <w:rsid w:val="00817B5D"/>
    <w:rsid w:val="00817F8B"/>
    <w:rsid w:val="00820630"/>
    <w:rsid w:val="00820CC2"/>
    <w:rsid w:val="008224E6"/>
    <w:rsid w:val="008227A6"/>
    <w:rsid w:val="00824080"/>
    <w:rsid w:val="00824152"/>
    <w:rsid w:val="00824178"/>
    <w:rsid w:val="00824BCB"/>
    <w:rsid w:val="00824E14"/>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1DFD"/>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621"/>
    <w:rsid w:val="00891D3D"/>
    <w:rsid w:val="008937F8"/>
    <w:rsid w:val="00893DD5"/>
    <w:rsid w:val="00895047"/>
    <w:rsid w:val="00895331"/>
    <w:rsid w:val="00895C68"/>
    <w:rsid w:val="0089606D"/>
    <w:rsid w:val="0089678D"/>
    <w:rsid w:val="00896BAB"/>
    <w:rsid w:val="00896BFA"/>
    <w:rsid w:val="0089701B"/>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43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39B"/>
    <w:rsid w:val="008C659D"/>
    <w:rsid w:val="008D07C3"/>
    <w:rsid w:val="008D2904"/>
    <w:rsid w:val="008D30A3"/>
    <w:rsid w:val="008D3C99"/>
    <w:rsid w:val="008D3ECE"/>
    <w:rsid w:val="008D46CE"/>
    <w:rsid w:val="008D49B0"/>
    <w:rsid w:val="008D5365"/>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620"/>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206B"/>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27DAA"/>
    <w:rsid w:val="00930D84"/>
    <w:rsid w:val="00931FE0"/>
    <w:rsid w:val="0093223F"/>
    <w:rsid w:val="00932F45"/>
    <w:rsid w:val="00933126"/>
    <w:rsid w:val="009333AF"/>
    <w:rsid w:val="00934C2C"/>
    <w:rsid w:val="009352E1"/>
    <w:rsid w:val="00935C4C"/>
    <w:rsid w:val="00935D91"/>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3399"/>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0C86"/>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4BF9"/>
    <w:rsid w:val="009D5C8C"/>
    <w:rsid w:val="009D6114"/>
    <w:rsid w:val="009D6BED"/>
    <w:rsid w:val="009D7E18"/>
    <w:rsid w:val="009D7F03"/>
    <w:rsid w:val="009E0162"/>
    <w:rsid w:val="009E0C00"/>
    <w:rsid w:val="009E1DF0"/>
    <w:rsid w:val="009E25C2"/>
    <w:rsid w:val="009E266F"/>
    <w:rsid w:val="009E2A01"/>
    <w:rsid w:val="009E31BE"/>
    <w:rsid w:val="009E3544"/>
    <w:rsid w:val="009E36A8"/>
    <w:rsid w:val="009E5CE7"/>
    <w:rsid w:val="009E5DF4"/>
    <w:rsid w:val="009E6064"/>
    <w:rsid w:val="009E75B5"/>
    <w:rsid w:val="009E7D05"/>
    <w:rsid w:val="009F0643"/>
    <w:rsid w:val="009F075D"/>
    <w:rsid w:val="009F0C3A"/>
    <w:rsid w:val="009F143F"/>
    <w:rsid w:val="009F152E"/>
    <w:rsid w:val="009F1FCB"/>
    <w:rsid w:val="009F2056"/>
    <w:rsid w:val="009F2894"/>
    <w:rsid w:val="009F3277"/>
    <w:rsid w:val="009F3F3B"/>
    <w:rsid w:val="009F5A97"/>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080"/>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46EB6"/>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667A8"/>
    <w:rsid w:val="00A70F14"/>
    <w:rsid w:val="00A71B7E"/>
    <w:rsid w:val="00A71E1F"/>
    <w:rsid w:val="00A7270F"/>
    <w:rsid w:val="00A727A4"/>
    <w:rsid w:val="00A72EBF"/>
    <w:rsid w:val="00A737B3"/>
    <w:rsid w:val="00A73990"/>
    <w:rsid w:val="00A74469"/>
    <w:rsid w:val="00A75ADE"/>
    <w:rsid w:val="00A764CF"/>
    <w:rsid w:val="00A767DF"/>
    <w:rsid w:val="00A776C7"/>
    <w:rsid w:val="00A803F2"/>
    <w:rsid w:val="00A80EA8"/>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019F"/>
    <w:rsid w:val="00AA1108"/>
    <w:rsid w:val="00AA257D"/>
    <w:rsid w:val="00AA2A02"/>
    <w:rsid w:val="00AA307C"/>
    <w:rsid w:val="00AA3782"/>
    <w:rsid w:val="00AA4DC5"/>
    <w:rsid w:val="00AA565D"/>
    <w:rsid w:val="00AA5C3E"/>
    <w:rsid w:val="00AA69EA"/>
    <w:rsid w:val="00AA6BF3"/>
    <w:rsid w:val="00AA727D"/>
    <w:rsid w:val="00AA7C27"/>
    <w:rsid w:val="00AB0E49"/>
    <w:rsid w:val="00AB1972"/>
    <w:rsid w:val="00AB19C7"/>
    <w:rsid w:val="00AB2A0E"/>
    <w:rsid w:val="00AB3997"/>
    <w:rsid w:val="00AB58F9"/>
    <w:rsid w:val="00AB5C2A"/>
    <w:rsid w:val="00AB5C94"/>
    <w:rsid w:val="00AB72EA"/>
    <w:rsid w:val="00AB755E"/>
    <w:rsid w:val="00AB75E0"/>
    <w:rsid w:val="00AB7DE4"/>
    <w:rsid w:val="00AC03F9"/>
    <w:rsid w:val="00AC15BB"/>
    <w:rsid w:val="00AC1CAB"/>
    <w:rsid w:val="00AC1F16"/>
    <w:rsid w:val="00AC2788"/>
    <w:rsid w:val="00AC2905"/>
    <w:rsid w:val="00AC37B8"/>
    <w:rsid w:val="00AC384E"/>
    <w:rsid w:val="00AC3CB0"/>
    <w:rsid w:val="00AC4FE7"/>
    <w:rsid w:val="00AC552D"/>
    <w:rsid w:val="00AC5CC9"/>
    <w:rsid w:val="00AC7124"/>
    <w:rsid w:val="00AC7C2E"/>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34"/>
    <w:rsid w:val="00AE2D8D"/>
    <w:rsid w:val="00AE2E55"/>
    <w:rsid w:val="00AE3031"/>
    <w:rsid w:val="00AE30B8"/>
    <w:rsid w:val="00AE3A35"/>
    <w:rsid w:val="00AE4849"/>
    <w:rsid w:val="00AE4BB9"/>
    <w:rsid w:val="00AE4CCB"/>
    <w:rsid w:val="00AE5335"/>
    <w:rsid w:val="00AE6994"/>
    <w:rsid w:val="00AE72DB"/>
    <w:rsid w:val="00AE730D"/>
    <w:rsid w:val="00AE7326"/>
    <w:rsid w:val="00AF050F"/>
    <w:rsid w:val="00AF08DE"/>
    <w:rsid w:val="00AF1FAA"/>
    <w:rsid w:val="00AF4202"/>
    <w:rsid w:val="00AF522D"/>
    <w:rsid w:val="00AF6BF3"/>
    <w:rsid w:val="00B008D3"/>
    <w:rsid w:val="00B00A7B"/>
    <w:rsid w:val="00B00B11"/>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2FCF"/>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73A"/>
    <w:rsid w:val="00B5289C"/>
    <w:rsid w:val="00B52B42"/>
    <w:rsid w:val="00B53CF8"/>
    <w:rsid w:val="00B540A0"/>
    <w:rsid w:val="00B5443A"/>
    <w:rsid w:val="00B54BFC"/>
    <w:rsid w:val="00B54DC1"/>
    <w:rsid w:val="00B5545D"/>
    <w:rsid w:val="00B5573E"/>
    <w:rsid w:val="00B559E5"/>
    <w:rsid w:val="00B55BFB"/>
    <w:rsid w:val="00B563F8"/>
    <w:rsid w:val="00B5655E"/>
    <w:rsid w:val="00B570C0"/>
    <w:rsid w:val="00B5780D"/>
    <w:rsid w:val="00B57983"/>
    <w:rsid w:val="00B6054F"/>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3D43"/>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5A8C"/>
    <w:rsid w:val="00BC67DC"/>
    <w:rsid w:val="00BC71D8"/>
    <w:rsid w:val="00BC75C2"/>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02F"/>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376"/>
    <w:rsid w:val="00C3096D"/>
    <w:rsid w:val="00C3233C"/>
    <w:rsid w:val="00C334F3"/>
    <w:rsid w:val="00C339EF"/>
    <w:rsid w:val="00C33BD2"/>
    <w:rsid w:val="00C34B93"/>
    <w:rsid w:val="00C35037"/>
    <w:rsid w:val="00C37A93"/>
    <w:rsid w:val="00C412C3"/>
    <w:rsid w:val="00C41313"/>
    <w:rsid w:val="00C41873"/>
    <w:rsid w:val="00C418E8"/>
    <w:rsid w:val="00C42308"/>
    <w:rsid w:val="00C446D7"/>
    <w:rsid w:val="00C51075"/>
    <w:rsid w:val="00C510E0"/>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912"/>
    <w:rsid w:val="00C60A78"/>
    <w:rsid w:val="00C612FA"/>
    <w:rsid w:val="00C62120"/>
    <w:rsid w:val="00C62AAE"/>
    <w:rsid w:val="00C62CB0"/>
    <w:rsid w:val="00C63A08"/>
    <w:rsid w:val="00C63E5C"/>
    <w:rsid w:val="00C63E64"/>
    <w:rsid w:val="00C64C4F"/>
    <w:rsid w:val="00C65985"/>
    <w:rsid w:val="00C65EF7"/>
    <w:rsid w:val="00C71100"/>
    <w:rsid w:val="00C71AFB"/>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256E"/>
    <w:rsid w:val="00C93184"/>
    <w:rsid w:val="00C968C3"/>
    <w:rsid w:val="00C970DC"/>
    <w:rsid w:val="00C97103"/>
    <w:rsid w:val="00C97896"/>
    <w:rsid w:val="00C97E18"/>
    <w:rsid w:val="00CA0847"/>
    <w:rsid w:val="00CA09D3"/>
    <w:rsid w:val="00CA1788"/>
    <w:rsid w:val="00CA1E69"/>
    <w:rsid w:val="00CA2A8B"/>
    <w:rsid w:val="00CA2C7A"/>
    <w:rsid w:val="00CA2DFD"/>
    <w:rsid w:val="00CA3D6F"/>
    <w:rsid w:val="00CA3DAE"/>
    <w:rsid w:val="00CA5C9B"/>
    <w:rsid w:val="00CA5D5F"/>
    <w:rsid w:val="00CA6209"/>
    <w:rsid w:val="00CA7347"/>
    <w:rsid w:val="00CB112F"/>
    <w:rsid w:val="00CB14F6"/>
    <w:rsid w:val="00CB1CF1"/>
    <w:rsid w:val="00CB229A"/>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4FE7"/>
    <w:rsid w:val="00CC5284"/>
    <w:rsid w:val="00CC5EAF"/>
    <w:rsid w:val="00CC6750"/>
    <w:rsid w:val="00CC6A79"/>
    <w:rsid w:val="00CC6FEB"/>
    <w:rsid w:val="00CC7F5B"/>
    <w:rsid w:val="00CD0DDF"/>
    <w:rsid w:val="00CD167C"/>
    <w:rsid w:val="00CD1906"/>
    <w:rsid w:val="00CD21C9"/>
    <w:rsid w:val="00CD2AB4"/>
    <w:rsid w:val="00CD2C4A"/>
    <w:rsid w:val="00CD34B1"/>
    <w:rsid w:val="00CD381A"/>
    <w:rsid w:val="00CD5B89"/>
    <w:rsid w:val="00CD5BE2"/>
    <w:rsid w:val="00CD6A30"/>
    <w:rsid w:val="00CD6C68"/>
    <w:rsid w:val="00CD7F9B"/>
    <w:rsid w:val="00CD7FEA"/>
    <w:rsid w:val="00CE074C"/>
    <w:rsid w:val="00CE3D4E"/>
    <w:rsid w:val="00CE4085"/>
    <w:rsid w:val="00CE4474"/>
    <w:rsid w:val="00CE7379"/>
    <w:rsid w:val="00CF0C8F"/>
    <w:rsid w:val="00CF0EDF"/>
    <w:rsid w:val="00CF10DC"/>
    <w:rsid w:val="00CF12B7"/>
    <w:rsid w:val="00CF3694"/>
    <w:rsid w:val="00CF4B90"/>
    <w:rsid w:val="00CF4EB3"/>
    <w:rsid w:val="00CF52A2"/>
    <w:rsid w:val="00CF7148"/>
    <w:rsid w:val="00D01B04"/>
    <w:rsid w:val="00D032DC"/>
    <w:rsid w:val="00D03817"/>
    <w:rsid w:val="00D03B05"/>
    <w:rsid w:val="00D03D97"/>
    <w:rsid w:val="00D053F4"/>
    <w:rsid w:val="00D05EDE"/>
    <w:rsid w:val="00D0618E"/>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2522"/>
    <w:rsid w:val="00D234F7"/>
    <w:rsid w:val="00D23A2D"/>
    <w:rsid w:val="00D241FE"/>
    <w:rsid w:val="00D2530D"/>
    <w:rsid w:val="00D25C7F"/>
    <w:rsid w:val="00D25E40"/>
    <w:rsid w:val="00D26737"/>
    <w:rsid w:val="00D26F79"/>
    <w:rsid w:val="00D276EB"/>
    <w:rsid w:val="00D31606"/>
    <w:rsid w:val="00D31BF1"/>
    <w:rsid w:val="00D31C40"/>
    <w:rsid w:val="00D32FA4"/>
    <w:rsid w:val="00D33782"/>
    <w:rsid w:val="00D33E2E"/>
    <w:rsid w:val="00D34174"/>
    <w:rsid w:val="00D3452E"/>
    <w:rsid w:val="00D34866"/>
    <w:rsid w:val="00D36541"/>
    <w:rsid w:val="00D368B4"/>
    <w:rsid w:val="00D36E79"/>
    <w:rsid w:val="00D37333"/>
    <w:rsid w:val="00D3778F"/>
    <w:rsid w:val="00D37984"/>
    <w:rsid w:val="00D400B7"/>
    <w:rsid w:val="00D40CD8"/>
    <w:rsid w:val="00D40F34"/>
    <w:rsid w:val="00D42217"/>
    <w:rsid w:val="00D42366"/>
    <w:rsid w:val="00D42704"/>
    <w:rsid w:val="00D42985"/>
    <w:rsid w:val="00D430FC"/>
    <w:rsid w:val="00D438E1"/>
    <w:rsid w:val="00D43B8D"/>
    <w:rsid w:val="00D445C8"/>
    <w:rsid w:val="00D44E79"/>
    <w:rsid w:val="00D45B9B"/>
    <w:rsid w:val="00D4614A"/>
    <w:rsid w:val="00D46D8A"/>
    <w:rsid w:val="00D47084"/>
    <w:rsid w:val="00D474C1"/>
    <w:rsid w:val="00D47D8A"/>
    <w:rsid w:val="00D500B1"/>
    <w:rsid w:val="00D5098B"/>
    <w:rsid w:val="00D509B3"/>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1704"/>
    <w:rsid w:val="00D623A7"/>
    <w:rsid w:val="00D62D2C"/>
    <w:rsid w:val="00D63816"/>
    <w:rsid w:val="00D655C4"/>
    <w:rsid w:val="00D66293"/>
    <w:rsid w:val="00D670F7"/>
    <w:rsid w:val="00D675A7"/>
    <w:rsid w:val="00D70CE5"/>
    <w:rsid w:val="00D70E23"/>
    <w:rsid w:val="00D7102E"/>
    <w:rsid w:val="00D72B83"/>
    <w:rsid w:val="00D731AC"/>
    <w:rsid w:val="00D73B02"/>
    <w:rsid w:val="00D749AF"/>
    <w:rsid w:val="00D74DA9"/>
    <w:rsid w:val="00D74F9A"/>
    <w:rsid w:val="00D752B5"/>
    <w:rsid w:val="00D754AF"/>
    <w:rsid w:val="00D75DD8"/>
    <w:rsid w:val="00D76B6F"/>
    <w:rsid w:val="00D76C3F"/>
    <w:rsid w:val="00D804AB"/>
    <w:rsid w:val="00D81178"/>
    <w:rsid w:val="00D815A0"/>
    <w:rsid w:val="00D81C03"/>
    <w:rsid w:val="00D81CC3"/>
    <w:rsid w:val="00D820D6"/>
    <w:rsid w:val="00D82265"/>
    <w:rsid w:val="00D824EC"/>
    <w:rsid w:val="00D82ED2"/>
    <w:rsid w:val="00D83375"/>
    <w:rsid w:val="00D8347A"/>
    <w:rsid w:val="00D83504"/>
    <w:rsid w:val="00D83850"/>
    <w:rsid w:val="00D84B73"/>
    <w:rsid w:val="00D84E95"/>
    <w:rsid w:val="00D85C9F"/>
    <w:rsid w:val="00D85EA0"/>
    <w:rsid w:val="00D86854"/>
    <w:rsid w:val="00D86DD0"/>
    <w:rsid w:val="00D87A91"/>
    <w:rsid w:val="00D87F67"/>
    <w:rsid w:val="00D87FD3"/>
    <w:rsid w:val="00D9085D"/>
    <w:rsid w:val="00D909D1"/>
    <w:rsid w:val="00D91758"/>
    <w:rsid w:val="00D91899"/>
    <w:rsid w:val="00D92134"/>
    <w:rsid w:val="00D9232D"/>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3E0"/>
    <w:rsid w:val="00DB56B3"/>
    <w:rsid w:val="00DB73EB"/>
    <w:rsid w:val="00DB79E3"/>
    <w:rsid w:val="00DC0331"/>
    <w:rsid w:val="00DC04D3"/>
    <w:rsid w:val="00DC0CA9"/>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2C29"/>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28D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3939"/>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2DF"/>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4C16"/>
    <w:rsid w:val="00E753F9"/>
    <w:rsid w:val="00E7666D"/>
    <w:rsid w:val="00E7720E"/>
    <w:rsid w:val="00E77928"/>
    <w:rsid w:val="00E80066"/>
    <w:rsid w:val="00E81935"/>
    <w:rsid w:val="00E8228B"/>
    <w:rsid w:val="00E84072"/>
    <w:rsid w:val="00E84F7F"/>
    <w:rsid w:val="00E85570"/>
    <w:rsid w:val="00E859A3"/>
    <w:rsid w:val="00E85AEE"/>
    <w:rsid w:val="00E86EA3"/>
    <w:rsid w:val="00E87009"/>
    <w:rsid w:val="00E87091"/>
    <w:rsid w:val="00E87900"/>
    <w:rsid w:val="00E9087D"/>
    <w:rsid w:val="00E910D5"/>
    <w:rsid w:val="00E92937"/>
    <w:rsid w:val="00E931C3"/>
    <w:rsid w:val="00E93A2C"/>
    <w:rsid w:val="00E93EF7"/>
    <w:rsid w:val="00E94174"/>
    <w:rsid w:val="00E95DE9"/>
    <w:rsid w:val="00E96141"/>
    <w:rsid w:val="00E96388"/>
    <w:rsid w:val="00E96623"/>
    <w:rsid w:val="00E97AA0"/>
    <w:rsid w:val="00EA0371"/>
    <w:rsid w:val="00EA0904"/>
    <w:rsid w:val="00EA3549"/>
    <w:rsid w:val="00EA3580"/>
    <w:rsid w:val="00EA399C"/>
    <w:rsid w:val="00EA4DBD"/>
    <w:rsid w:val="00EA6E84"/>
    <w:rsid w:val="00EB19AC"/>
    <w:rsid w:val="00EB1ADB"/>
    <w:rsid w:val="00EB1BF8"/>
    <w:rsid w:val="00EB2B08"/>
    <w:rsid w:val="00EB2CEE"/>
    <w:rsid w:val="00EB5E58"/>
    <w:rsid w:val="00EB60B3"/>
    <w:rsid w:val="00EC1F64"/>
    <w:rsid w:val="00EC2B1A"/>
    <w:rsid w:val="00EC4D82"/>
    <w:rsid w:val="00EC508A"/>
    <w:rsid w:val="00EC50F1"/>
    <w:rsid w:val="00EC518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3F"/>
    <w:rsid w:val="00EE5772"/>
    <w:rsid w:val="00EE5E2C"/>
    <w:rsid w:val="00EE61B3"/>
    <w:rsid w:val="00EE63BF"/>
    <w:rsid w:val="00EE658A"/>
    <w:rsid w:val="00EE6D9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50D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4C2"/>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11F"/>
    <w:rsid w:val="00F513E4"/>
    <w:rsid w:val="00F51421"/>
    <w:rsid w:val="00F516CA"/>
    <w:rsid w:val="00F523C9"/>
    <w:rsid w:val="00F539A0"/>
    <w:rsid w:val="00F540E5"/>
    <w:rsid w:val="00F549B5"/>
    <w:rsid w:val="00F5611F"/>
    <w:rsid w:val="00F5634A"/>
    <w:rsid w:val="00F56817"/>
    <w:rsid w:val="00F57131"/>
    <w:rsid w:val="00F60383"/>
    <w:rsid w:val="00F616F3"/>
    <w:rsid w:val="00F61EB9"/>
    <w:rsid w:val="00F621F6"/>
    <w:rsid w:val="00F62A97"/>
    <w:rsid w:val="00F64C52"/>
    <w:rsid w:val="00F64CDF"/>
    <w:rsid w:val="00F65E70"/>
    <w:rsid w:val="00F66940"/>
    <w:rsid w:val="00F66C3F"/>
    <w:rsid w:val="00F70206"/>
    <w:rsid w:val="00F710CE"/>
    <w:rsid w:val="00F722EE"/>
    <w:rsid w:val="00F730FE"/>
    <w:rsid w:val="00F73144"/>
    <w:rsid w:val="00F7425D"/>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58FC"/>
    <w:rsid w:val="00F95B7A"/>
    <w:rsid w:val="00F96C4E"/>
    <w:rsid w:val="00F97911"/>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4D84"/>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2AD8"/>
    <w:rsid w:val="00FF3815"/>
    <w:rsid w:val="00FF3EA9"/>
    <w:rsid w:val="00FF510D"/>
    <w:rsid w:val="00FF5B92"/>
    <w:rsid w:val="00FF5D78"/>
    <w:rsid w:val="00FF7034"/>
    <w:rsid w:val="01025A36"/>
    <w:rsid w:val="01305439"/>
    <w:rsid w:val="020970CA"/>
    <w:rsid w:val="028E1852"/>
    <w:rsid w:val="04157ADA"/>
    <w:rsid w:val="04BB1F4F"/>
    <w:rsid w:val="05972BB7"/>
    <w:rsid w:val="0769686A"/>
    <w:rsid w:val="07E80E47"/>
    <w:rsid w:val="08161CD1"/>
    <w:rsid w:val="0AAE61A2"/>
    <w:rsid w:val="0AB24B18"/>
    <w:rsid w:val="0B215535"/>
    <w:rsid w:val="0B537D7D"/>
    <w:rsid w:val="10FB7159"/>
    <w:rsid w:val="1200548C"/>
    <w:rsid w:val="12E83AF4"/>
    <w:rsid w:val="13EB6EE3"/>
    <w:rsid w:val="188127C0"/>
    <w:rsid w:val="19A366A1"/>
    <w:rsid w:val="1A8670A6"/>
    <w:rsid w:val="1AE532AF"/>
    <w:rsid w:val="1B00542F"/>
    <w:rsid w:val="1B3F3E40"/>
    <w:rsid w:val="1BF509C2"/>
    <w:rsid w:val="1BF95FEE"/>
    <w:rsid w:val="1D867707"/>
    <w:rsid w:val="1F770842"/>
    <w:rsid w:val="1FD8624A"/>
    <w:rsid w:val="203677B1"/>
    <w:rsid w:val="204E750E"/>
    <w:rsid w:val="21001530"/>
    <w:rsid w:val="21BC1622"/>
    <w:rsid w:val="21F872A0"/>
    <w:rsid w:val="228E3077"/>
    <w:rsid w:val="235E2230"/>
    <w:rsid w:val="24B84D56"/>
    <w:rsid w:val="254E0ABD"/>
    <w:rsid w:val="25A10883"/>
    <w:rsid w:val="25C6723D"/>
    <w:rsid w:val="26556842"/>
    <w:rsid w:val="27061DC1"/>
    <w:rsid w:val="282519EF"/>
    <w:rsid w:val="2A4D6A20"/>
    <w:rsid w:val="2A5B72BC"/>
    <w:rsid w:val="2D782F8C"/>
    <w:rsid w:val="2E0E3BA8"/>
    <w:rsid w:val="2E6C0366"/>
    <w:rsid w:val="2EC65EEE"/>
    <w:rsid w:val="2F7C71E7"/>
    <w:rsid w:val="2FCB6344"/>
    <w:rsid w:val="309767C4"/>
    <w:rsid w:val="30A20143"/>
    <w:rsid w:val="31CF1856"/>
    <w:rsid w:val="328578F4"/>
    <w:rsid w:val="349061CD"/>
    <w:rsid w:val="34C30CC3"/>
    <w:rsid w:val="34E87A0C"/>
    <w:rsid w:val="36BF35E1"/>
    <w:rsid w:val="371E7967"/>
    <w:rsid w:val="37726C9D"/>
    <w:rsid w:val="3A2A75FA"/>
    <w:rsid w:val="3A436689"/>
    <w:rsid w:val="3AE549BF"/>
    <w:rsid w:val="3EBA5A78"/>
    <w:rsid w:val="3ED33D0D"/>
    <w:rsid w:val="40022F93"/>
    <w:rsid w:val="410113A2"/>
    <w:rsid w:val="412E4C7F"/>
    <w:rsid w:val="41F643AB"/>
    <w:rsid w:val="42B32B34"/>
    <w:rsid w:val="43F11B33"/>
    <w:rsid w:val="44565A46"/>
    <w:rsid w:val="44EA0816"/>
    <w:rsid w:val="453134A7"/>
    <w:rsid w:val="45830A1B"/>
    <w:rsid w:val="466E7C68"/>
    <w:rsid w:val="46801C8B"/>
    <w:rsid w:val="498E69BD"/>
    <w:rsid w:val="49CD4BEA"/>
    <w:rsid w:val="4BF953FF"/>
    <w:rsid w:val="4DDC02BE"/>
    <w:rsid w:val="4FDF767E"/>
    <w:rsid w:val="509636E2"/>
    <w:rsid w:val="515A6B83"/>
    <w:rsid w:val="52FC46EA"/>
    <w:rsid w:val="53A33245"/>
    <w:rsid w:val="5403314B"/>
    <w:rsid w:val="55253F5D"/>
    <w:rsid w:val="5622235F"/>
    <w:rsid w:val="56784CEA"/>
    <w:rsid w:val="57E633A7"/>
    <w:rsid w:val="58A66116"/>
    <w:rsid w:val="5AA0313D"/>
    <w:rsid w:val="5BBD01B3"/>
    <w:rsid w:val="5C3C41E3"/>
    <w:rsid w:val="5CB86F3C"/>
    <w:rsid w:val="5D851C35"/>
    <w:rsid w:val="5DF41CC1"/>
    <w:rsid w:val="5EE54C18"/>
    <w:rsid w:val="5F222921"/>
    <w:rsid w:val="5FDC7E75"/>
    <w:rsid w:val="62030CDC"/>
    <w:rsid w:val="624A23CC"/>
    <w:rsid w:val="63CF2051"/>
    <w:rsid w:val="6566621E"/>
    <w:rsid w:val="65987EB1"/>
    <w:rsid w:val="660C4CA5"/>
    <w:rsid w:val="66FA79C0"/>
    <w:rsid w:val="6791283C"/>
    <w:rsid w:val="67A9335C"/>
    <w:rsid w:val="68AE414D"/>
    <w:rsid w:val="692F2F5C"/>
    <w:rsid w:val="6A1D5556"/>
    <w:rsid w:val="6AF9048F"/>
    <w:rsid w:val="6B736486"/>
    <w:rsid w:val="6DC953BB"/>
    <w:rsid w:val="6E3B72E7"/>
    <w:rsid w:val="6E527AC3"/>
    <w:rsid w:val="700A230E"/>
    <w:rsid w:val="711F47CD"/>
    <w:rsid w:val="737020CB"/>
    <w:rsid w:val="73CC19D5"/>
    <w:rsid w:val="73D16993"/>
    <w:rsid w:val="74681E3D"/>
    <w:rsid w:val="747A559E"/>
    <w:rsid w:val="78B9366E"/>
    <w:rsid w:val="792C25D8"/>
    <w:rsid w:val="79676F3A"/>
    <w:rsid w:val="79FC742D"/>
    <w:rsid w:val="7A6D0BE0"/>
    <w:rsid w:val="7A9523C9"/>
    <w:rsid w:val="7AC20826"/>
    <w:rsid w:val="7BC80470"/>
    <w:rsid w:val="7E750423"/>
    <w:rsid w:val="7E944638"/>
    <w:rsid w:val="7F23352A"/>
    <w:rsid w:val="7F2E4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Header Char"/>
    <w:basedOn w:val="16"/>
    <w:link w:val="10"/>
    <w:qFormat/>
    <w:uiPriority w:val="99"/>
    <w:rPr>
      <w:sz w:val="18"/>
      <w:szCs w:val="18"/>
    </w:rPr>
  </w:style>
  <w:style w:type="character" w:customStyle="1" w:styleId="20">
    <w:name w:val="Footer Char"/>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Balloon Text Char"/>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Comment Text Char"/>
    <w:basedOn w:val="16"/>
    <w:link w:val="7"/>
    <w:qFormat/>
    <w:uiPriority w:val="0"/>
    <w:rPr>
      <w:rFonts w:ascii="CG Times (WN)" w:hAnsi="CG Times (WN)" w:eastAsia="宋体" w:cs="Times New Roman"/>
    </w:rPr>
  </w:style>
  <w:style w:type="character" w:customStyle="1" w:styleId="36">
    <w:name w:val="Comment Subject Char"/>
    <w:basedOn w:val="35"/>
    <w:link w:val="13"/>
    <w:semiHidden/>
    <w:qFormat/>
    <w:uiPriority w:val="99"/>
    <w:rPr>
      <w:rFonts w:ascii="CG Times (WN)" w:hAnsi="CG Times (WN)" w:eastAsia="宋体" w:cs="Times New Roman"/>
      <w:b/>
      <w:bCs/>
    </w:rPr>
  </w:style>
  <w:style w:type="character" w:customStyle="1" w:styleId="37">
    <w:name w:val="Document Map Char"/>
    <w:basedOn w:val="16"/>
    <w:link w:val="6"/>
    <w:semiHidden/>
    <w:qFormat/>
    <w:uiPriority w:val="99"/>
    <w:rPr>
      <w:rFonts w:ascii="宋体" w:hAnsi="CG Times (WN)" w:eastAsia="宋体" w:cs="Times New Roman"/>
      <w:sz w:val="18"/>
      <w:szCs w:val="18"/>
    </w:rPr>
  </w:style>
  <w:style w:type="character" w:customStyle="1" w:styleId="38">
    <w:name w:val="Caption Char"/>
    <w:link w:val="5"/>
    <w:qFormat/>
    <w:uiPriority w:val="35"/>
    <w:rPr>
      <w:rFonts w:ascii="Times New Roman" w:hAnsi="Times New Roman" w:eastAsia="MS Mincho" w:cs="Times New Roman"/>
      <w:b/>
      <w:kern w:val="0"/>
      <w:sz w:val="20"/>
      <w:szCs w:val="20"/>
      <w:lang w:val="en-GB" w:eastAsia="en-US"/>
    </w:rPr>
  </w:style>
  <w:style w:type="character" w:customStyle="1" w:styleId="39">
    <w:name w:val="List Paragraph Char"/>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Heading 2 Char"/>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Heading 3 Char"/>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Heading 5 Char"/>
    <w:basedOn w:val="16"/>
    <w:link w:val="4"/>
    <w:semiHidden/>
    <w:qFormat/>
    <w:uiPriority w:val="9"/>
    <w:rPr>
      <w:rFonts w:ascii="CG Times (WN)" w:hAnsi="CG Times (WN)" w:eastAsia="宋体" w:cs="Times New Roman"/>
      <w:b/>
      <w:bCs/>
      <w:sz w:val="28"/>
      <w:szCs w:val="28"/>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table" w:customStyle="1" w:styleId="51">
    <w:name w:val="网格型11"/>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12"/>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21"/>
    <w:basedOn w:val="14"/>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Revision"/>
    <w:hidden/>
    <w:semiHidden/>
    <w:qFormat/>
    <w:uiPriority w:val="99"/>
    <w:rPr>
      <w:rFonts w:ascii="CG Times (WN)" w:hAnsi="CG Times (W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05761-AB0E-4BC4-B5E7-55F7865E20FB}">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1375</Words>
  <Characters>7843</Characters>
  <Lines>65</Lines>
  <Paragraphs>18</Paragraphs>
  <TotalTime>0</TotalTime>
  <ScaleCrop>false</ScaleCrop>
  <LinksUpToDate>false</LinksUpToDate>
  <CharactersWithSpaces>9200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2023-04-04T12:18:00Z</dcterms:created>
  <dc:creator>cmcc</dc:creator>
  <cp:lastModifiedBy>cmcc-chunxia Guo</cp:lastModifiedBy>
  <dcterms:modified xsi:type="dcterms:W3CDTF">2023-09-26T09:48:27Z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A10757A2B6A949B5B70D7271EFEC54F1</vt:lpwstr>
  </property>
</Properties>
</file>