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956"/>
          <w:tab w:val="right" w:pos="10440"/>
          <w:tab w:val="right" w:pos="13323"/>
        </w:tabs>
        <w:spacing w:before="60" w:after="60"/>
        <w:outlineLvl w:val="0"/>
        <w:rPr>
          <w:rFonts w:ascii="Arial" w:hAnsi="Arial" w:eastAsia="宋体" w:cs="Arial"/>
          <w:b/>
          <w:kern w:val="0"/>
          <w:sz w:val="24"/>
          <w:szCs w:val="24"/>
          <w:lang w:val="en-US" w:eastAsia="zh-CN" w:bidi="ar-SA"/>
        </w:rPr>
      </w:pPr>
      <w:r>
        <w:rPr>
          <w:rFonts w:ascii="Arial" w:hAnsi="Arial" w:eastAsia="MS Mincho" w:cs="Arial"/>
          <w:b/>
          <w:kern w:val="0"/>
          <w:sz w:val="24"/>
          <w:szCs w:val="24"/>
          <w:lang w:val="en-US" w:eastAsia="en-US" w:bidi="ar-SA"/>
        </w:rPr>
        <w:t>3GPP TSG-RAN WG4 Meeting #</w:t>
      </w:r>
      <w:r>
        <w:rPr>
          <w:rFonts w:ascii="Arial" w:hAnsi="Arial" w:eastAsia="MS Mincho" w:cs="Arial"/>
          <w:kern w:val="0"/>
          <w:sz w:val="20"/>
          <w:szCs w:val="20"/>
          <w:lang w:val="en-US" w:eastAsia="en-US" w:bidi="ar-SA"/>
        </w:rPr>
        <w:t xml:space="preserve"> </w:t>
      </w:r>
      <w:r>
        <w:rPr>
          <w:rFonts w:ascii="Arial" w:hAnsi="Arial" w:eastAsia="MS Mincho" w:cs="Arial"/>
          <w:b/>
          <w:kern w:val="0"/>
          <w:sz w:val="24"/>
          <w:szCs w:val="24"/>
          <w:lang w:val="en-US" w:eastAsia="en-US" w:bidi="ar-SA"/>
        </w:rPr>
        <w:t>108</w:t>
      </w:r>
      <w:r>
        <w:rPr>
          <w:rFonts w:ascii="Arial" w:hAnsi="Arial" w:eastAsia="MS Mincho" w:cs="Arial"/>
          <w:b/>
          <w:kern w:val="0"/>
          <w:sz w:val="24"/>
          <w:szCs w:val="24"/>
          <w:lang w:val="en-US" w:eastAsia="en-US" w:bidi="ar-SA"/>
        </w:rPr>
        <w:tab/>
      </w:r>
      <w:r>
        <w:rPr>
          <w:rFonts w:hint="eastAsia" w:ascii="Arial" w:hAnsi="Arial" w:eastAsia="宋体" w:cs="Arial"/>
          <w:b/>
          <w:kern w:val="0"/>
          <w:sz w:val="24"/>
          <w:szCs w:val="24"/>
          <w:lang w:val="en-US" w:eastAsia="zh-CN" w:bidi="ar-SA"/>
        </w:rPr>
        <w:t xml:space="preserve">      </w:t>
      </w:r>
      <w:r>
        <w:rPr>
          <w:rFonts w:hint="eastAsia" w:ascii="Arial" w:hAnsi="Arial" w:eastAsia="MS Mincho" w:cs="Arial"/>
          <w:b/>
          <w:kern w:val="0"/>
          <w:sz w:val="24"/>
          <w:szCs w:val="24"/>
          <w:lang w:val="en-US" w:eastAsia="en-US" w:bidi="ar-SA"/>
        </w:rPr>
        <w:t>R4-2311811</w:t>
      </w:r>
      <w:bookmarkStart w:id="0" w:name="_GoBack"/>
      <w:bookmarkEnd w:id="0"/>
    </w:p>
    <w:p>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Toulouse, France, August 21 – August 25, 2023</w:t>
      </w:r>
    </w:p>
    <w:p>
      <w:pPr>
        <w:tabs>
          <w:tab w:val="left" w:pos="1980"/>
        </w:tabs>
        <w:spacing w:after="180"/>
        <w:ind w:left="1980" w:hanging="1980"/>
        <w:rPr>
          <w:rFonts w:ascii="Arial" w:hAnsi="Arial" w:eastAsia="MS Mincho" w:cs="Arial"/>
          <w:b/>
          <w:sz w:val="24"/>
          <w:szCs w:val="24"/>
          <w:lang w:eastAsia="en-US"/>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8.4.1.3.1</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eastAsia="en-US"/>
        </w:rPr>
        <w:t>Dis</w:t>
      </w:r>
      <w:r>
        <w:rPr>
          <w:rFonts w:ascii="Arial" w:hAnsi="Arial" w:eastAsia="MS Mincho" w:cs="Arial"/>
          <w:b/>
          <w:sz w:val="24"/>
          <w:szCs w:val="24"/>
          <w:lang w:eastAsia="en-US"/>
        </w:rPr>
        <w:t>cussion on lower MSD capability</w:t>
      </w:r>
      <w:r>
        <w:rPr>
          <w:rFonts w:cs="Arial" w:asciiTheme="minorEastAsia" w:hAnsiTheme="minorEastAsia" w:eastAsiaTheme="minorEastAsia"/>
          <w:b/>
          <w:sz w:val="24"/>
          <w:szCs w:val="24"/>
        </w:rPr>
        <w:t xml:space="preserve"> </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ascii="Times New Roman" w:hAnsi="Times New Roman"/>
          <w:sz w:val="20"/>
        </w:rPr>
      </w:pPr>
      <w:r>
        <w:rPr>
          <w:rFonts w:ascii="Times New Roman" w:hAnsi="Times New Roman"/>
          <w:sz w:val="20"/>
        </w:rPr>
        <w:t>In last meeting, a WF on study for lower MSD signaling design has been approved [1]. In this contribution, we focus on remaining lower MSD capability 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 xml:space="preserve">2. </w:t>
      </w:r>
      <w:r>
        <w:rPr>
          <w:rFonts w:hint="eastAsia" w:ascii="Arial" w:hAnsi="Arial" w:eastAsiaTheme="minorEastAsia" w:cstheme="minorBidi"/>
          <w:sz w:val="32"/>
          <w:szCs w:val="36"/>
        </w:rPr>
        <w:t>Discussion</w:t>
      </w:r>
    </w:p>
    <w:p>
      <w:pPr>
        <w:keepNext/>
        <w:keepLines/>
        <w:spacing w:before="260" w:after="260" w:line="416" w:lineRule="auto"/>
        <w:outlineLvl w:val="1"/>
        <w:rPr>
          <w:rFonts w:asciiTheme="majorHAnsi" w:hAnsiTheme="majorHAnsi" w:eastAsiaTheme="majorEastAsia" w:cstheme="majorBidi"/>
          <w:b/>
          <w:bCs/>
          <w:sz w:val="32"/>
          <w:szCs w:val="32"/>
        </w:rPr>
      </w:pPr>
      <w:r>
        <w:rPr>
          <w:rFonts w:hint="eastAsia" w:asciiTheme="majorHAnsi" w:hAnsiTheme="majorHAnsi" w:eastAsiaTheme="majorEastAsia" w:cstheme="majorBidi"/>
          <w:b/>
          <w:bCs/>
          <w:sz w:val="32"/>
          <w:szCs w:val="32"/>
        </w:rPr>
        <w:t>2</w:t>
      </w:r>
      <w:r>
        <w:rPr>
          <w:rFonts w:asciiTheme="majorHAnsi" w:hAnsiTheme="majorHAnsi" w:eastAsiaTheme="majorEastAsia" w:cstheme="majorBidi"/>
          <w:b/>
          <w:bCs/>
          <w:sz w:val="32"/>
          <w:szCs w:val="32"/>
        </w:rPr>
        <w:t>.</w:t>
      </w:r>
      <w:r>
        <w:rPr>
          <w:rFonts w:hint="eastAsia" w:asciiTheme="majorHAnsi" w:hAnsiTheme="majorHAnsi" w:eastAsiaTheme="majorEastAsia" w:cstheme="majorBidi"/>
          <w:b/>
          <w:bCs/>
          <w:sz w:val="32"/>
          <w:szCs w:val="32"/>
          <w:lang w:val="en-US" w:eastAsia="zh-CN"/>
        </w:rPr>
        <w:t>1</w:t>
      </w:r>
      <w:r>
        <w:rPr>
          <w:rFonts w:asciiTheme="majorHAnsi" w:hAnsiTheme="majorHAnsi" w:eastAsiaTheme="majorEastAsia" w:cstheme="majorBidi"/>
          <w:b/>
          <w:bCs/>
          <w:sz w:val="32"/>
          <w:szCs w:val="32"/>
        </w:rPr>
        <w:t xml:space="preserve"> Conditions to indicate the lower MSD capability</w:t>
      </w:r>
    </w:p>
    <w:p>
      <w:pPr>
        <w:spacing w:after="120"/>
        <w:rPr>
          <w:rFonts w:hint="eastAsia" w:ascii="Times New Roman" w:hAnsi="Times New Roman"/>
          <w:sz w:val="20"/>
          <w:szCs w:val="21"/>
          <w:lang w:val="en-US" w:eastAsia="zh-CN"/>
        </w:rPr>
      </w:pPr>
      <w:r>
        <w:rPr>
          <w:rFonts w:hint="eastAsia" w:ascii="Times New Roman" w:hAnsi="Times New Roman"/>
          <w:sz w:val="20"/>
          <w:szCs w:val="21"/>
          <w:lang w:val="en-US" w:eastAsia="zh-CN"/>
        </w:rPr>
        <w:t>Candidate operations of conditions to indicate the lower MSD capability is listed as below: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3"/>
              <w:numPr>
                <w:ilvl w:val="1"/>
                <w:numId w:val="1"/>
              </w:numPr>
              <w:autoSpaceDN w:val="0"/>
              <w:spacing w:before="120" w:after="120" w:line="280" w:lineRule="atLeast"/>
              <w:ind w:left="1134" w:leftChars="540" w:firstLineChars="0"/>
              <w:jc w:val="both"/>
              <w:rPr>
                <w:szCs w:val="24"/>
                <w:lang w:eastAsia="zh-CN"/>
              </w:rPr>
            </w:pPr>
            <w:r>
              <w:rPr>
                <w:szCs w:val="24"/>
                <w:lang w:eastAsia="zh-CN"/>
              </w:rPr>
              <w:t xml:space="preserve">Option 1: </w:t>
            </w:r>
            <w:r>
              <w:rPr>
                <w:rFonts w:eastAsia="Yu Mincho"/>
              </w:rPr>
              <w:t xml:space="preserve">For the purpose of MSD improvement, if the minimum requirement for a given REFSENS exception case falls into the interval of MSD </w:t>
            </w:r>
            <w:r>
              <w:rPr>
                <w:rFonts w:hint="eastAsia" w:eastAsia="Yu Mincho"/>
                <w:lang w:val="en-US"/>
              </w:rPr>
              <w:t>≤</w:t>
            </w:r>
            <w:r>
              <w:rPr>
                <w:rFonts w:eastAsia="Yu Mincho"/>
                <w:lang w:val="en-US"/>
              </w:rPr>
              <w:t xml:space="preserve"> Th</w:t>
            </w:r>
            <w:r>
              <w:rPr>
                <w:rFonts w:eastAsia="Yu Mincho"/>
                <w:vertAlign w:val="subscript"/>
                <w:lang w:val="en-US"/>
              </w:rPr>
              <w:t>i</w:t>
            </w:r>
            <w:r>
              <w:rPr>
                <w:rFonts w:eastAsia="Yu Mincho"/>
                <w:lang w:val="en-US"/>
              </w:rPr>
              <w:t xml:space="preserve"> dB, the actual MSD should be at least one-level lower (i.e., actual </w:t>
            </w:r>
            <w:r>
              <w:rPr>
                <w:rFonts w:eastAsia="Yu Mincho"/>
                <w:sz w:val="21"/>
              </w:rPr>
              <w:t xml:space="preserve">MSD </w:t>
            </w:r>
            <w:r>
              <w:rPr>
                <w:rFonts w:hint="eastAsia" w:eastAsia="Yu Mincho"/>
                <w:lang w:val="en-US"/>
              </w:rPr>
              <w:t>≤</w:t>
            </w:r>
            <w:r>
              <w:rPr>
                <w:rFonts w:eastAsia="Yu Mincho"/>
                <w:lang w:val="en-US"/>
              </w:rPr>
              <w:t xml:space="preserve"> Th</w:t>
            </w:r>
            <w:r>
              <w:rPr>
                <w:rFonts w:eastAsia="Yu Mincho"/>
                <w:vertAlign w:val="subscript"/>
                <w:lang w:val="en-US"/>
              </w:rPr>
              <w:t>i-1</w:t>
            </w:r>
            <w:r>
              <w:rPr>
                <w:rFonts w:eastAsia="Yu Mincho"/>
                <w:lang w:val="en-US"/>
              </w:rPr>
              <w:t xml:space="preserve"> dB) in order for the UE to report the low-MSD capability. If the actual MSD is larger than the maximum threshold Th</w:t>
            </w:r>
            <w:r>
              <w:rPr>
                <w:rFonts w:eastAsia="Yu Mincho"/>
                <w:vertAlign w:val="subscript"/>
                <w:lang w:val="en-US"/>
              </w:rPr>
              <w:t>M-1</w:t>
            </w:r>
            <w:r>
              <w:rPr>
                <w:rFonts w:eastAsia="Yu Mincho"/>
                <w:lang w:val="en-US"/>
              </w:rPr>
              <w:t xml:space="preserve"> (i.e. out of range), the UE cannot report low-MSD capability for this REFSENS exception case. If UE reports the lower MSD capability, the reported MSD value should be improved at least by TBD dB against a specified MSD (Samsung, HW)</w:t>
            </w:r>
          </w:p>
          <w:p>
            <w:pPr>
              <w:pStyle w:val="23"/>
              <w:numPr>
                <w:ilvl w:val="2"/>
                <w:numId w:val="1"/>
              </w:numPr>
              <w:autoSpaceDN w:val="0"/>
              <w:spacing w:before="120" w:after="120" w:line="280" w:lineRule="atLeast"/>
              <w:ind w:leftChars="1008" w:firstLineChars="0"/>
              <w:jc w:val="both"/>
              <w:rPr>
                <w:szCs w:val="24"/>
                <w:lang w:eastAsia="zh-CN"/>
              </w:rPr>
            </w:pPr>
            <w:r>
              <w:rPr>
                <w:szCs w:val="24"/>
                <w:lang w:eastAsia="zh-CN"/>
              </w:rPr>
              <w:t>Option 1a: On top of option 1, some clarification of conditions to be reflected in the spec (Samsung)</w:t>
            </w:r>
          </w:p>
          <w:tbl>
            <w:tblPr>
              <w:tblStyle w:val="15"/>
              <w:tblW w:w="0" w:type="auto"/>
              <w:tblInd w:w="24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Borders>
                    <w:top w:val="single" w:color="auto" w:sz="4" w:space="0"/>
                    <w:left w:val="single" w:color="auto" w:sz="4" w:space="0"/>
                    <w:bottom w:val="single" w:color="auto" w:sz="4" w:space="0"/>
                    <w:right w:val="single" w:color="auto" w:sz="4" w:space="0"/>
                  </w:tcBorders>
                </w:tcPr>
                <w:p>
                  <w:pPr>
                    <w:snapToGrid w:val="0"/>
                    <w:spacing w:before="120" w:after="0" w:line="280" w:lineRule="atLeast"/>
                    <w:textAlignment w:val="baseline"/>
                    <w:rPr>
                      <w:rFonts w:eastAsia="Yu Mincho"/>
                      <w:b/>
                    </w:rPr>
                  </w:pPr>
                  <w:r>
                    <w:rPr>
                      <w:b/>
                    </w:rPr>
                    <w:t>Specified MSD</w:t>
                  </w:r>
                </w:p>
              </w:tc>
              <w:tc>
                <w:tcPr>
                  <w:tcW w:w="3969" w:type="dxa"/>
                  <w:tcBorders>
                    <w:top w:val="single" w:color="auto" w:sz="4" w:space="0"/>
                    <w:left w:val="single" w:color="auto" w:sz="4" w:space="0"/>
                    <w:bottom w:val="single" w:color="auto" w:sz="4" w:space="0"/>
                    <w:right w:val="single" w:color="auto" w:sz="4" w:space="0"/>
                  </w:tcBorders>
                </w:tcPr>
                <w:p>
                  <w:pPr>
                    <w:snapToGrid w:val="0"/>
                    <w:spacing w:before="120" w:after="0" w:line="280" w:lineRule="atLeast"/>
                    <w:textAlignment w:val="baseline"/>
                    <w:rPr>
                      <w:b/>
                    </w:rPr>
                  </w:pPr>
                  <w:r>
                    <w:rPr>
                      <w:b/>
                    </w:rPr>
                    <w:t>Condition to report lower MSD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Borders>
                    <w:top w:val="single" w:color="auto" w:sz="4" w:space="0"/>
                    <w:left w:val="single" w:color="auto" w:sz="4" w:space="0"/>
                    <w:bottom w:val="single" w:color="auto" w:sz="4" w:space="0"/>
                    <w:right w:val="single" w:color="auto" w:sz="4" w:space="0"/>
                  </w:tcBorders>
                </w:tcPr>
                <w:p>
                  <w:pPr>
                    <w:snapToGrid w:val="0"/>
                    <w:spacing w:before="120" w:after="0" w:line="280" w:lineRule="atLeast"/>
                    <w:textAlignment w:val="baseline"/>
                  </w:pPr>
                  <w:r>
                    <w:rPr>
                      <w:rFonts w:hint="eastAsia"/>
                      <w:lang w:val="en-US"/>
                    </w:rPr>
                    <w:t>＞</w:t>
                  </w:r>
                  <w:r>
                    <w:t>The maximum lower MSD threshold</w:t>
                  </w:r>
                </w:p>
              </w:tc>
              <w:tc>
                <w:tcPr>
                  <w:tcW w:w="3969" w:type="dxa"/>
                  <w:tcBorders>
                    <w:top w:val="single" w:color="auto" w:sz="4" w:space="0"/>
                    <w:left w:val="single" w:color="auto" w:sz="4" w:space="0"/>
                    <w:bottom w:val="single" w:color="auto" w:sz="4" w:space="0"/>
                    <w:right w:val="single" w:color="auto" w:sz="4" w:space="0"/>
                  </w:tcBorders>
                </w:tcPr>
                <w:p>
                  <w:pPr>
                    <w:pStyle w:val="23"/>
                    <w:widowControl w:val="0"/>
                    <w:numPr>
                      <w:ilvl w:val="0"/>
                      <w:numId w:val="2"/>
                    </w:numPr>
                    <w:autoSpaceDN w:val="0"/>
                    <w:snapToGrid w:val="0"/>
                    <w:spacing w:before="120" w:after="0" w:line="280" w:lineRule="atLeast"/>
                    <w:ind w:firstLineChars="0"/>
                    <w:jc w:val="both"/>
                  </w:pPr>
                  <w:r>
                    <w:t>The actual MSD should be at least less than the maximum lower MSD threshold</w:t>
                  </w:r>
                </w:p>
                <w:p>
                  <w:pPr>
                    <w:pStyle w:val="23"/>
                    <w:widowControl w:val="0"/>
                    <w:numPr>
                      <w:ilvl w:val="0"/>
                      <w:numId w:val="2"/>
                    </w:numPr>
                    <w:autoSpaceDN w:val="0"/>
                    <w:snapToGrid w:val="0"/>
                    <w:spacing w:before="120" w:after="0" w:line="280" w:lineRule="atLeast"/>
                    <w:ind w:firstLineChars="0"/>
                    <w:jc w:val="both"/>
                  </w:pPr>
                  <w:r>
                    <w:t>The actual MSD should be improved at least by X dB against a specified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Borders>
                    <w:top w:val="single" w:color="auto" w:sz="4" w:space="0"/>
                    <w:left w:val="single" w:color="auto" w:sz="4" w:space="0"/>
                    <w:bottom w:val="single" w:color="auto" w:sz="4" w:space="0"/>
                    <w:right w:val="single" w:color="auto" w:sz="4" w:space="0"/>
                  </w:tcBorders>
                </w:tcPr>
                <w:p>
                  <w:pPr>
                    <w:snapToGrid w:val="0"/>
                    <w:spacing w:before="120" w:after="0" w:line="280" w:lineRule="atLeast"/>
                    <w:textAlignment w:val="baseline"/>
                  </w:pPr>
                  <w:r>
                    <w:rPr>
                      <w:rFonts w:hint="eastAsia"/>
                      <w:lang w:val="en-US"/>
                    </w:rPr>
                    <w:t>＜</w:t>
                  </w:r>
                  <w:r>
                    <w:t xml:space="preserve">The minimum lower MSD threshold </w:t>
                  </w:r>
                </w:p>
                <w:p>
                  <w:pPr>
                    <w:snapToGrid w:val="0"/>
                    <w:spacing w:before="120" w:after="0" w:line="280" w:lineRule="atLeast"/>
                    <w:textAlignment w:val="baseline"/>
                    <w:rPr>
                      <w:i/>
                    </w:rPr>
                  </w:pPr>
                  <w:r>
                    <w:rPr>
                      <w:i/>
                      <w:color w:val="376092" w:themeColor="accent1" w:themeShade="BF"/>
                    </w:rPr>
                    <w:t>Note: If the minimum lower MSD threshold is 0, then this case is not needed.</w:t>
                  </w:r>
                </w:p>
              </w:tc>
              <w:tc>
                <w:tcPr>
                  <w:tcW w:w="3969" w:type="dxa"/>
                  <w:tcBorders>
                    <w:top w:val="single" w:color="auto" w:sz="4" w:space="0"/>
                    <w:left w:val="single" w:color="auto" w:sz="4" w:space="0"/>
                    <w:bottom w:val="single" w:color="auto" w:sz="4" w:space="0"/>
                    <w:right w:val="single" w:color="auto" w:sz="4" w:space="0"/>
                  </w:tcBorders>
                </w:tcPr>
                <w:p>
                  <w:pPr>
                    <w:snapToGrid w:val="0"/>
                    <w:spacing w:before="120" w:after="0" w:line="280" w:lineRule="atLeast"/>
                    <w:textAlignment w:val="baseline"/>
                  </w:pPr>
                  <w:r>
                    <w:t>No need to report lower MSD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Borders>
                    <w:top w:val="single" w:color="auto" w:sz="4" w:space="0"/>
                    <w:left w:val="single" w:color="auto" w:sz="4" w:space="0"/>
                    <w:bottom w:val="single" w:color="auto" w:sz="4" w:space="0"/>
                    <w:right w:val="single" w:color="auto" w:sz="4" w:space="0"/>
                  </w:tcBorders>
                </w:tcPr>
                <w:p>
                  <w:pPr>
                    <w:snapToGrid w:val="0"/>
                    <w:spacing w:before="120" w:after="0" w:line="280" w:lineRule="atLeast"/>
                    <w:textAlignment w:val="baseline"/>
                  </w:pPr>
                  <w:r>
                    <w:t>Fall into the interval of two adjacent lower MSD thresholds</w:t>
                  </w:r>
                </w:p>
              </w:tc>
              <w:tc>
                <w:tcPr>
                  <w:tcW w:w="3969" w:type="dxa"/>
                  <w:tcBorders>
                    <w:top w:val="single" w:color="auto" w:sz="4" w:space="0"/>
                    <w:left w:val="single" w:color="auto" w:sz="4" w:space="0"/>
                    <w:bottom w:val="single" w:color="auto" w:sz="4" w:space="0"/>
                    <w:right w:val="single" w:color="auto" w:sz="4" w:space="0"/>
                  </w:tcBorders>
                </w:tcPr>
                <w:p>
                  <w:pPr>
                    <w:pStyle w:val="23"/>
                    <w:widowControl w:val="0"/>
                    <w:numPr>
                      <w:ilvl w:val="0"/>
                      <w:numId w:val="3"/>
                    </w:numPr>
                    <w:autoSpaceDN w:val="0"/>
                    <w:snapToGrid w:val="0"/>
                    <w:spacing w:before="120" w:after="0" w:line="280" w:lineRule="atLeast"/>
                    <w:ind w:firstLineChars="0"/>
                    <w:jc w:val="both"/>
                  </w:pPr>
                  <w:r>
                    <w:t>The actual MSD should be at least one-level lower than the specified MSD in terms of lower MSD capability class</w:t>
                  </w:r>
                </w:p>
                <w:p>
                  <w:pPr>
                    <w:pStyle w:val="23"/>
                    <w:widowControl w:val="0"/>
                    <w:numPr>
                      <w:ilvl w:val="0"/>
                      <w:numId w:val="3"/>
                    </w:numPr>
                    <w:autoSpaceDN w:val="0"/>
                    <w:snapToGrid w:val="0"/>
                    <w:spacing w:before="120" w:after="0" w:line="280" w:lineRule="atLeast"/>
                    <w:ind w:firstLineChars="0"/>
                    <w:jc w:val="both"/>
                  </w:pPr>
                  <w:r>
                    <w:t>The actual MSD should be improved at least by X dB against a specified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8" w:type="dxa"/>
                  <w:gridSpan w:val="2"/>
                  <w:tcBorders>
                    <w:top w:val="single" w:color="auto" w:sz="4" w:space="0"/>
                    <w:left w:val="single" w:color="auto" w:sz="4" w:space="0"/>
                    <w:bottom w:val="single" w:color="auto" w:sz="4" w:space="0"/>
                    <w:right w:val="single" w:color="auto" w:sz="4" w:space="0"/>
                  </w:tcBorders>
                </w:tcPr>
                <w:p>
                  <w:pPr>
                    <w:snapToGrid w:val="0"/>
                    <w:spacing w:before="120" w:after="0" w:line="280" w:lineRule="atLeast"/>
                    <w:textAlignment w:val="baseline"/>
                  </w:pPr>
                  <w:r>
                    <w:rPr>
                      <w:i/>
                      <w:color w:val="376092" w:themeColor="accent1" w:themeShade="BF"/>
                    </w:rPr>
                    <w:t>Note: The exact value of X should be determined after the lower MSD thresholds are concluded</w:t>
                  </w:r>
                </w:p>
              </w:tc>
            </w:tr>
          </w:tbl>
          <w:p>
            <w:pPr>
              <w:pStyle w:val="23"/>
              <w:numPr>
                <w:ilvl w:val="2"/>
                <w:numId w:val="1"/>
              </w:numPr>
              <w:autoSpaceDN w:val="0"/>
              <w:spacing w:before="120" w:beforeLines="50" w:after="120" w:line="280" w:lineRule="atLeast"/>
              <w:ind w:leftChars="1008" w:firstLineChars="0"/>
              <w:jc w:val="both"/>
              <w:rPr>
                <w:szCs w:val="24"/>
                <w:lang w:eastAsia="zh-CN"/>
              </w:rPr>
            </w:pPr>
            <w:r>
              <w:rPr>
                <w:szCs w:val="24"/>
                <w:lang w:eastAsia="zh-CN"/>
              </w:rPr>
              <w:t>Option 1b: An impairment can indicate lower MSD if it has sufficient improvement compared to the value in the standard such that it at least falls into the next lower MSD threshold range in the agreed MSD table (QC)</w:t>
            </w:r>
          </w:p>
          <w:p>
            <w:pPr>
              <w:pStyle w:val="23"/>
              <w:numPr>
                <w:ilvl w:val="2"/>
                <w:numId w:val="1"/>
              </w:numPr>
              <w:autoSpaceDN w:val="0"/>
              <w:spacing w:before="120" w:beforeLines="50" w:after="120" w:line="280" w:lineRule="atLeast"/>
              <w:ind w:leftChars="1008" w:firstLineChars="0"/>
              <w:jc w:val="both"/>
              <w:rPr>
                <w:szCs w:val="24"/>
                <w:lang w:eastAsia="zh-CN"/>
              </w:rPr>
            </w:pPr>
            <w:r>
              <w:rPr>
                <w:szCs w:val="24"/>
                <w:lang w:eastAsia="zh-CN"/>
              </w:rPr>
              <w:t>Option 1c: If UE reports the lower MSD capability, the reported MSD value should be improved at least by [3] dB against a specified MSD (ZTE)</w:t>
            </w:r>
          </w:p>
          <w:p>
            <w:pPr>
              <w:pStyle w:val="23"/>
              <w:numPr>
                <w:ilvl w:val="1"/>
                <w:numId w:val="1"/>
              </w:numPr>
              <w:autoSpaceDN w:val="0"/>
              <w:spacing w:before="120" w:beforeLines="50" w:after="120" w:line="280" w:lineRule="atLeast"/>
              <w:ind w:left="1720" w:leftChars="649" w:hanging="357" w:firstLineChars="0"/>
              <w:jc w:val="both"/>
              <w:rPr>
                <w:szCs w:val="24"/>
                <w:lang w:eastAsia="zh-CN"/>
              </w:rPr>
            </w:pPr>
            <w:r>
              <w:rPr>
                <w:szCs w:val="24"/>
                <w:lang w:eastAsia="zh-CN"/>
              </w:rPr>
              <w:t>Option 2: If the actual MSD is larger than the maximum threshold ThM-1 (i.e. out of range), the UE cannot report low-MSD capability for this REFSENS exception case. As long as the actual MSD improvement exceeds 1dB or more, reporting is allowed (Spreadtrum).</w:t>
            </w:r>
          </w:p>
          <w:p>
            <w:pPr>
              <w:pStyle w:val="23"/>
              <w:numPr>
                <w:ilvl w:val="1"/>
                <w:numId w:val="1"/>
              </w:numPr>
              <w:autoSpaceDN w:val="0"/>
              <w:spacing w:before="120" w:beforeLines="50" w:after="0" w:line="280" w:lineRule="atLeast"/>
              <w:ind w:left="1720" w:leftChars="649" w:hanging="357" w:firstLineChars="0"/>
              <w:jc w:val="both"/>
              <w:rPr>
                <w:szCs w:val="24"/>
                <w:lang w:eastAsia="zh-CN"/>
              </w:rPr>
            </w:pPr>
            <w:r>
              <w:rPr>
                <w:szCs w:val="24"/>
                <w:lang w:eastAsia="zh-CN"/>
              </w:rPr>
              <w:t>Option 3: UE could indicate Lower MSD capability for a band combination as long as one kind of MSD from one victim band is improved. (Meta, [vivo], [Xiaomi])</w:t>
            </w:r>
          </w:p>
          <w:p>
            <w:pPr>
              <w:pStyle w:val="23"/>
              <w:numPr>
                <w:ilvl w:val="2"/>
                <w:numId w:val="1"/>
              </w:numPr>
              <w:autoSpaceDN w:val="0"/>
              <w:spacing w:before="120" w:beforeLines="50" w:after="120" w:line="280" w:lineRule="atLeast"/>
              <w:ind w:leftChars="1008" w:firstLineChars="0"/>
              <w:jc w:val="both"/>
              <w:rPr>
                <w:szCs w:val="24"/>
                <w:lang w:eastAsia="zh-CN"/>
              </w:rPr>
            </w:pPr>
            <w:r>
              <w:rPr>
                <w:szCs w:val="24"/>
                <w:lang w:eastAsia="zh-CN"/>
              </w:rPr>
              <w:t>Additionally, it is unnecessary to report the Lower MSD values in case the specified MSD itself is small or the MSD improvement is not significant. The small MSD improvement will be discussed in different sub-topic based on the specific band combinations (Meta)</w:t>
            </w:r>
          </w:p>
          <w:p>
            <w:pPr>
              <w:pStyle w:val="23"/>
              <w:numPr>
                <w:ilvl w:val="1"/>
                <w:numId w:val="1"/>
              </w:numPr>
              <w:autoSpaceDN w:val="0"/>
              <w:spacing w:before="120" w:beforeLines="50" w:after="120" w:line="280" w:lineRule="atLeast"/>
              <w:ind w:left="1720" w:leftChars="649" w:hanging="357" w:firstLineChars="0"/>
              <w:jc w:val="both"/>
              <w:rPr>
                <w:szCs w:val="24"/>
                <w:lang w:eastAsia="zh-CN"/>
              </w:rPr>
            </w:pPr>
            <w:r>
              <w:rPr>
                <w:szCs w:val="24"/>
                <w:lang w:eastAsia="zh-CN"/>
              </w:rPr>
              <w:t>Option 4: The UE can declare a low MSD class if its upper bond is at least 1dB better that the RAN4 specified MSD (Skyworks)</w:t>
            </w:r>
          </w:p>
          <w:p>
            <w:pPr>
              <w:pStyle w:val="23"/>
              <w:numPr>
                <w:ilvl w:val="1"/>
                <w:numId w:val="1"/>
              </w:numPr>
              <w:autoSpaceDN w:val="0"/>
              <w:spacing w:before="120" w:beforeLines="50" w:after="120" w:line="280" w:lineRule="atLeast"/>
              <w:ind w:left="1720" w:leftChars="649" w:hanging="357" w:firstLineChars="0"/>
              <w:jc w:val="both"/>
              <w:rPr>
                <w:rFonts w:hint="default" w:ascii="Times New Roman" w:hAnsi="Times New Roman"/>
                <w:sz w:val="20"/>
                <w:szCs w:val="21"/>
                <w:vertAlign w:val="baseline"/>
                <w:lang w:val="en-US" w:eastAsia="zh-CN"/>
              </w:rPr>
            </w:pPr>
            <w:r>
              <w:rPr>
                <w:szCs w:val="24"/>
                <w:lang w:eastAsia="zh-CN"/>
              </w:rPr>
              <w:t>Option 5: A per UE lower MSD capability may also be needed in addition to other lower MSD parameters as an early indication of the per UE capability would prevent network from unnecessary triggering of lower MSD signaling for UE without the lower MSD capability at all (Apple)</w:t>
            </w:r>
          </w:p>
        </w:tc>
      </w:tr>
    </w:tbl>
    <w:p>
      <w:pPr>
        <w:spacing w:after="120"/>
        <w:rPr>
          <w:rFonts w:hint="default" w:ascii="Times New Roman" w:hAnsi="Times New Roman"/>
          <w:sz w:val="20"/>
          <w:szCs w:val="21"/>
          <w:lang w:val="en-US" w:eastAsia="zh-CN"/>
        </w:rPr>
      </w:pPr>
    </w:p>
    <w:p>
      <w:pPr>
        <w:spacing w:after="120"/>
        <w:rPr>
          <w:rFonts w:ascii="Times New Roman" w:hAnsi="Times New Roman"/>
          <w:sz w:val="20"/>
          <w:szCs w:val="21"/>
        </w:rPr>
      </w:pPr>
      <w:r>
        <w:rPr>
          <w:rFonts w:hint="eastAsia" w:ascii="Times New Roman" w:hAnsi="Times New Roman"/>
          <w:sz w:val="20"/>
          <w:szCs w:val="21"/>
          <w:lang w:val="en-US" w:eastAsia="zh-CN"/>
        </w:rPr>
        <w:t>UE report its MSD performance information by new MSD capability, which will be used w</w:t>
      </w:r>
      <w:r>
        <w:rPr>
          <w:rFonts w:ascii="Times New Roman" w:hAnsi="Times New Roman"/>
          <w:sz w:val="20"/>
          <w:szCs w:val="21"/>
        </w:rPr>
        <w:t>hen gNB perform scheduling algorithm or configure/active Scell. Beside</w:t>
      </w:r>
      <w:r>
        <w:rPr>
          <w:rFonts w:hint="eastAsia" w:ascii="Times New Roman" w:hAnsi="Times New Roman"/>
          <w:sz w:val="20"/>
          <w:szCs w:val="21"/>
          <w:lang w:val="en-US" w:eastAsia="zh-CN"/>
        </w:rPr>
        <w:t xml:space="preserve"> MSD capability</w:t>
      </w:r>
      <w:r>
        <w:rPr>
          <w:rFonts w:ascii="Times New Roman" w:hAnsi="Times New Roman"/>
          <w:sz w:val="20"/>
          <w:szCs w:val="21"/>
        </w:rPr>
        <w:t xml:space="preserve">, </w:t>
      </w:r>
      <w:r>
        <w:rPr>
          <w:rFonts w:hint="eastAsia" w:ascii="Times New Roman" w:hAnsi="Times New Roman"/>
          <w:sz w:val="20"/>
          <w:szCs w:val="21"/>
          <w:lang w:val="en-US" w:eastAsia="zh-CN"/>
        </w:rPr>
        <w:t xml:space="preserve">gNB also take </w:t>
      </w:r>
      <w:r>
        <w:rPr>
          <w:rFonts w:ascii="Times New Roman" w:hAnsi="Times New Roman"/>
          <w:sz w:val="20"/>
          <w:szCs w:val="21"/>
        </w:rPr>
        <w:t>other factors</w:t>
      </w:r>
      <w:r>
        <w:rPr>
          <w:rFonts w:hint="eastAsia" w:ascii="Times New Roman" w:hAnsi="Times New Roman"/>
          <w:sz w:val="20"/>
          <w:szCs w:val="21"/>
          <w:lang w:val="en-US" w:eastAsia="zh-CN"/>
        </w:rPr>
        <w:t xml:space="preserve"> into consideration before making any conclusion</w:t>
      </w:r>
      <w:r>
        <w:rPr>
          <w:rFonts w:ascii="Times New Roman" w:hAnsi="Times New Roman"/>
          <w:sz w:val="20"/>
          <w:szCs w:val="21"/>
        </w:rPr>
        <w:t>,</w:t>
      </w:r>
      <w:r>
        <w:rPr>
          <w:rFonts w:hint="eastAsia" w:ascii="Times New Roman" w:hAnsi="Times New Roman"/>
          <w:sz w:val="20"/>
          <w:szCs w:val="21"/>
          <w:lang w:val="en-US" w:eastAsia="zh-CN"/>
        </w:rPr>
        <w:t xml:space="preserve"> e.g.</w:t>
      </w:r>
      <w:r>
        <w:rPr>
          <w:rFonts w:ascii="Times New Roman" w:hAnsi="Times New Roman"/>
          <w:sz w:val="20"/>
          <w:szCs w:val="21"/>
        </w:rPr>
        <w:t xml:space="preserve"> </w:t>
      </w:r>
      <w:r>
        <w:rPr>
          <w:rFonts w:hint="eastAsia" w:ascii="Times New Roman" w:hAnsi="Times New Roman"/>
          <w:sz w:val="20"/>
          <w:szCs w:val="21"/>
          <w:lang w:val="en-US" w:eastAsia="zh-CN"/>
        </w:rPr>
        <w:t>channel state</w:t>
      </w:r>
      <w:r>
        <w:rPr>
          <w:rFonts w:ascii="Times New Roman" w:hAnsi="Times New Roman"/>
          <w:sz w:val="20"/>
          <w:szCs w:val="21"/>
        </w:rPr>
        <w:t xml:space="preserve">, </w:t>
      </w:r>
      <w:r>
        <w:rPr>
          <w:rFonts w:hint="eastAsia" w:ascii="Times New Roman" w:hAnsi="Times New Roman"/>
          <w:sz w:val="20"/>
          <w:szCs w:val="21"/>
          <w:lang w:val="en-US" w:eastAsia="zh-CN"/>
        </w:rPr>
        <w:t>target DL/UL throughput</w:t>
      </w:r>
      <w:r>
        <w:rPr>
          <w:rFonts w:ascii="Times New Roman" w:hAnsi="Times New Roman"/>
          <w:sz w:val="20"/>
          <w:szCs w:val="21"/>
        </w:rPr>
        <w:t xml:space="preserve">. Usually, several dB (e.g. 1-2dB) MSD enhancement will not change final scheduling </w:t>
      </w:r>
      <w:r>
        <w:rPr>
          <w:rFonts w:hint="eastAsia" w:ascii="Times New Roman" w:hAnsi="Times New Roman"/>
          <w:sz w:val="20"/>
          <w:szCs w:val="21"/>
          <w:lang w:val="en-US" w:eastAsia="zh-CN"/>
        </w:rPr>
        <w:t>decision</w:t>
      </w:r>
      <w:r>
        <w:rPr>
          <w:rFonts w:ascii="Times New Roman" w:hAnsi="Times New Roman"/>
          <w:sz w:val="20"/>
          <w:szCs w:val="21"/>
        </w:rPr>
        <w:t xml:space="preserve"> because the accuracy of all inputs factors for scheduling algorithm are comparable or larger than several dB (e.g. 1-2dB). so usually, there should be certain threshold for triggering UE </w:t>
      </w:r>
      <w:r>
        <w:rPr>
          <w:rFonts w:hint="eastAsia" w:ascii="Times New Roman" w:hAnsi="Times New Roman"/>
          <w:sz w:val="20"/>
          <w:szCs w:val="21"/>
          <w:lang w:val="en-US" w:eastAsia="zh-CN"/>
        </w:rPr>
        <w:t xml:space="preserve">MSD enhancement </w:t>
      </w:r>
      <w:r>
        <w:rPr>
          <w:rFonts w:ascii="Times New Roman" w:hAnsi="Times New Roman"/>
          <w:sz w:val="20"/>
          <w:szCs w:val="21"/>
        </w:rPr>
        <w:t>capability.</w:t>
      </w:r>
    </w:p>
    <w:p>
      <w:pPr>
        <w:spacing w:after="120"/>
        <w:rPr>
          <w:rFonts w:ascii="Times New Roman" w:hAnsi="Times New Roman"/>
          <w:b/>
          <w:bCs/>
          <w:sz w:val="20"/>
          <w:szCs w:val="21"/>
        </w:rPr>
      </w:pPr>
      <w:r>
        <w:rPr>
          <w:rFonts w:ascii="Times New Roman" w:hAnsi="Times New Roman"/>
          <w:b/>
          <w:bCs/>
          <w:sz w:val="20"/>
          <w:szCs w:val="21"/>
        </w:rPr>
        <w:t xml:space="preserve">Observation </w:t>
      </w:r>
      <w:r>
        <w:rPr>
          <w:rFonts w:hint="eastAsia" w:ascii="Times New Roman" w:hAnsi="Times New Roman"/>
          <w:b/>
          <w:bCs/>
          <w:sz w:val="20"/>
          <w:szCs w:val="21"/>
          <w:lang w:val="en-US" w:eastAsia="zh-CN"/>
        </w:rPr>
        <w:t>1</w:t>
      </w:r>
      <w:r>
        <w:rPr>
          <w:rFonts w:ascii="Times New Roman" w:hAnsi="Times New Roman"/>
          <w:b/>
          <w:bCs/>
          <w:sz w:val="20"/>
          <w:szCs w:val="21"/>
        </w:rPr>
        <w:t xml:space="preserve">: several dB (e.g. 1-2dB) MSD enhancement will not change final scheduling </w:t>
      </w:r>
      <w:r>
        <w:rPr>
          <w:rFonts w:hint="eastAsia" w:ascii="Times New Roman" w:hAnsi="Times New Roman"/>
          <w:b/>
          <w:bCs/>
          <w:sz w:val="20"/>
          <w:szCs w:val="21"/>
          <w:lang w:val="en-US" w:eastAsia="zh-CN"/>
        </w:rPr>
        <w:t>decision</w:t>
      </w:r>
      <w:r>
        <w:rPr>
          <w:rFonts w:ascii="Times New Roman" w:hAnsi="Times New Roman"/>
          <w:b/>
          <w:bCs/>
          <w:sz w:val="20"/>
          <w:szCs w:val="21"/>
        </w:rPr>
        <w:t xml:space="preserve"> because the accuracy of all inputs factors for scheduling algorithm are comparable or larger than several dB (e.g. 1-2dB).</w:t>
      </w:r>
    </w:p>
    <w:p>
      <w:pPr>
        <w:spacing w:after="120"/>
        <w:rPr>
          <w:rFonts w:hint="eastAsia" w:ascii="Times New Roman" w:hAnsi="Times New Roman"/>
          <w:b w:val="0"/>
          <w:bCs w:val="0"/>
          <w:sz w:val="20"/>
          <w:szCs w:val="21"/>
          <w:lang w:val="en-US" w:eastAsia="zh-CN"/>
        </w:rPr>
      </w:pPr>
      <w:r>
        <w:rPr>
          <w:rFonts w:hint="eastAsia" w:ascii="Times New Roman" w:hAnsi="Times New Roman"/>
          <w:b w:val="0"/>
          <w:bCs w:val="0"/>
          <w:sz w:val="20"/>
          <w:szCs w:val="21"/>
          <w:lang w:val="en-US" w:eastAsia="zh-CN"/>
        </w:rPr>
        <w:t>From above analysis, following option 1 is OK for us.</w:t>
      </w:r>
    </w:p>
    <w:p>
      <w:pPr>
        <w:spacing w:after="120"/>
        <w:rPr>
          <w:rFonts w:hint="default" w:ascii="Times New Roman" w:hAnsi="Times New Roman"/>
          <w:b w:val="0"/>
          <w:bCs w:val="0"/>
          <w:sz w:val="20"/>
          <w:szCs w:val="21"/>
          <w:lang w:val="en-US" w:eastAsia="zh-CN"/>
        </w:rPr>
      </w:pPr>
      <w:r>
        <w:rPr>
          <w:rFonts w:hint="eastAsia" w:ascii="Times New Roman" w:hAnsi="Times New Roman"/>
          <w:b w:val="0"/>
          <w:bCs w:val="0"/>
          <w:sz w:val="20"/>
          <w:szCs w:val="21"/>
          <w:lang w:val="en-US" w:eastAsia="zh-CN"/>
        </w:rPr>
        <w:t xml:space="preserve">Option 1: </w:t>
      </w:r>
      <w:r>
        <w:rPr>
          <w:rFonts w:hint="default" w:ascii="Times New Roman" w:hAnsi="Times New Roman"/>
          <w:b w:val="0"/>
          <w:bCs w:val="0"/>
          <w:sz w:val="20"/>
          <w:szCs w:val="21"/>
          <w:lang w:val="en-US" w:eastAsia="zh-CN"/>
        </w:rPr>
        <w:t>For the purpose of MSD improvement, if the minimum requirement for a given REFSENS exception case falls into the interval of MSD ≤ Thi dB, the actual MSD should be at least one-level lower (i.e., actual MSD ≤ Thi-1 dB) in order for the UE to report the low-MSD capability. If the actual MSD is larger than the maximum threshold ThM-1 (i.e. out of range), the UE cannot report low-MSD capability for this REFSENS exception case. If UE reports the lower MSD capability, the reported MSD value should be improved at least by TBD dB against a specified MSD</w:t>
      </w:r>
    </w:p>
    <w:p>
      <w:pPr>
        <w:keepNext/>
        <w:keepLines/>
        <w:spacing w:before="260" w:after="260" w:line="416" w:lineRule="auto"/>
        <w:outlineLvl w:val="1"/>
        <w:rPr>
          <w:rFonts w:asciiTheme="majorHAnsi" w:hAnsiTheme="majorHAnsi" w:eastAsiaTheme="majorEastAsia" w:cstheme="majorBidi"/>
          <w:b/>
          <w:bCs/>
          <w:sz w:val="32"/>
          <w:szCs w:val="32"/>
        </w:rPr>
      </w:pPr>
      <w:r>
        <w:rPr>
          <w:rFonts w:asciiTheme="majorHAnsi" w:hAnsiTheme="majorHAnsi" w:eastAsiaTheme="majorEastAsia" w:cstheme="majorBidi"/>
          <w:b/>
          <w:bCs/>
          <w:sz w:val="32"/>
          <w:szCs w:val="32"/>
        </w:rPr>
        <w:t>2.</w:t>
      </w:r>
      <w:r>
        <w:rPr>
          <w:rFonts w:hint="eastAsia" w:asciiTheme="majorHAnsi" w:hAnsiTheme="majorHAnsi" w:eastAsiaTheme="majorEastAsia" w:cstheme="majorBidi"/>
          <w:b/>
          <w:bCs/>
          <w:sz w:val="32"/>
          <w:szCs w:val="32"/>
          <w:lang w:val="en-US" w:eastAsia="zh-CN"/>
        </w:rPr>
        <w:t>2</w:t>
      </w:r>
      <w:r>
        <w:rPr>
          <w:rFonts w:asciiTheme="majorHAnsi" w:hAnsiTheme="majorHAnsi" w:eastAsiaTheme="majorEastAsia" w:cstheme="majorBidi"/>
          <w:b/>
          <w:bCs/>
          <w:sz w:val="32"/>
          <w:szCs w:val="32"/>
        </w:rPr>
        <w:t xml:space="preserve"> how to reduce capability overhead</w:t>
      </w:r>
    </w:p>
    <w:p>
      <w:pPr>
        <w:spacing w:after="120"/>
        <w:rPr>
          <w:rFonts w:ascii="Times New Roman" w:hAnsi="Times New Roman"/>
          <w:sz w:val="20"/>
          <w:szCs w:val="21"/>
        </w:rPr>
      </w:pPr>
      <w:r>
        <w:rPr>
          <w:rFonts w:ascii="Times New Roman" w:hAnsi="Times New Roman"/>
          <w:sz w:val="20"/>
          <w:szCs w:val="21"/>
        </w:rPr>
        <w:t xml:space="preserve">In </w:t>
      </w:r>
      <w:r>
        <w:rPr>
          <w:rFonts w:hint="eastAsia" w:ascii="Times New Roman" w:hAnsi="Times New Roman"/>
          <w:sz w:val="20"/>
          <w:szCs w:val="21"/>
          <w:lang w:val="en-US" w:eastAsia="zh-CN"/>
        </w:rPr>
        <w:t>previous</w:t>
      </w:r>
      <w:r>
        <w:rPr>
          <w:rFonts w:ascii="Times New Roman" w:hAnsi="Times New Roman"/>
          <w:sz w:val="20"/>
          <w:szCs w:val="21"/>
        </w:rPr>
        <w:t xml:space="preserve"> meeting, operator</w:t>
      </w:r>
      <w:r>
        <w:rPr>
          <w:rFonts w:hint="eastAsia" w:ascii="Times New Roman" w:hAnsi="Times New Roman"/>
          <w:sz w:val="20"/>
          <w:szCs w:val="21"/>
          <w:lang w:val="en-US" w:eastAsia="zh-CN"/>
        </w:rPr>
        <w:t>s</w:t>
      </w:r>
      <w:r>
        <w:rPr>
          <w:rFonts w:ascii="Times New Roman" w:hAnsi="Times New Roman"/>
          <w:sz w:val="20"/>
          <w:szCs w:val="21"/>
        </w:rPr>
        <w:t xml:space="preserve"> proposes that if MSD capability overhead is </w:t>
      </w:r>
      <w:r>
        <w:rPr>
          <w:rFonts w:hint="eastAsia" w:ascii="Times New Roman" w:hAnsi="Times New Roman"/>
          <w:sz w:val="20"/>
          <w:szCs w:val="21"/>
        </w:rPr>
        <w:t>heavy</w:t>
      </w:r>
      <w:r>
        <w:rPr>
          <w:rFonts w:ascii="Times New Roman" w:hAnsi="Times New Roman"/>
          <w:sz w:val="20"/>
          <w:szCs w:val="21"/>
        </w:rPr>
        <w:t>, this feature may not be used in commercial network.</w:t>
      </w:r>
      <w:r>
        <w:rPr>
          <w:rFonts w:hint="eastAsia" w:ascii="Times New Roman" w:hAnsi="Times New Roman"/>
          <w:sz w:val="20"/>
          <w:szCs w:val="21"/>
        </w:rPr>
        <w:t xml:space="preserve"> </w:t>
      </w:r>
      <w:r>
        <w:rPr>
          <w:rFonts w:ascii="Times New Roman" w:hAnsi="Times New Roman"/>
          <w:sz w:val="20"/>
          <w:szCs w:val="21"/>
        </w:rPr>
        <w:t>so it’s better to find out how to reduce capability overhead.</w:t>
      </w:r>
    </w:p>
    <w:p>
      <w:pPr>
        <w:spacing w:after="120"/>
        <w:rPr>
          <w:rFonts w:ascii="Times New Roman" w:hAnsi="Times New Roman"/>
          <w:b/>
          <w:bCs/>
          <w:sz w:val="20"/>
          <w:szCs w:val="21"/>
        </w:rPr>
      </w:pPr>
      <w:r>
        <w:rPr>
          <w:rFonts w:hint="eastAsia" w:ascii="Times New Roman" w:hAnsi="Times New Roman"/>
          <w:b/>
          <w:bCs/>
          <w:sz w:val="20"/>
          <w:szCs w:val="21"/>
          <w:lang w:val="en-US" w:eastAsia="zh-CN"/>
        </w:rPr>
        <w:t>Observation</w:t>
      </w:r>
      <w:r>
        <w:rPr>
          <w:rFonts w:ascii="Times New Roman" w:hAnsi="Times New Roman"/>
          <w:b/>
          <w:bCs/>
          <w:sz w:val="20"/>
          <w:szCs w:val="21"/>
        </w:rPr>
        <w:t xml:space="preserve"> </w:t>
      </w:r>
      <w:r>
        <w:rPr>
          <w:rFonts w:hint="eastAsia" w:ascii="Times New Roman" w:hAnsi="Times New Roman"/>
          <w:b/>
          <w:bCs/>
          <w:sz w:val="20"/>
          <w:szCs w:val="21"/>
          <w:lang w:val="en-US" w:eastAsia="zh-CN"/>
        </w:rPr>
        <w:t>2</w:t>
      </w:r>
      <w:r>
        <w:rPr>
          <w:rFonts w:ascii="Times New Roman" w:hAnsi="Times New Roman"/>
          <w:b/>
          <w:bCs/>
          <w:sz w:val="20"/>
          <w:szCs w:val="21"/>
        </w:rPr>
        <w:t>: to make MSD capability used in commercial network, it’s better to study how to reduce capability overhead.</w:t>
      </w:r>
    </w:p>
    <w:p>
      <w:pPr>
        <w:spacing w:after="120"/>
        <w:rPr>
          <w:rFonts w:ascii="Times New Roman" w:hAnsi="Times New Roman"/>
          <w:sz w:val="20"/>
          <w:szCs w:val="21"/>
        </w:rPr>
      </w:pPr>
      <w:r>
        <w:rPr>
          <w:rFonts w:ascii="Times New Roman" w:hAnsi="Times New Roman"/>
          <w:sz w:val="20"/>
          <w:szCs w:val="21"/>
        </w:rPr>
        <w:t>One solution is to allow gNB query UE capability and UE only report certain capability filtered by gNB’s query information. Such query information may include following information</w:t>
      </w:r>
      <w:r>
        <w:rPr>
          <w:rFonts w:hint="eastAsia" w:ascii="Times New Roman" w:hAnsi="Times New Roman"/>
          <w:sz w:val="20"/>
          <w:szCs w:val="21"/>
          <w:lang w:val="en-US" w:eastAsia="zh-CN"/>
        </w:rPr>
        <w:t xml:space="preserve">, e.g. </w:t>
      </w:r>
      <w:r>
        <w:rPr>
          <w:rFonts w:ascii="Times New Roman" w:hAnsi="Times New Roman"/>
          <w:sz w:val="20"/>
          <w:szCs w:val="21"/>
        </w:rPr>
        <w:t>band combinations, Power class, Tx power, aggressor and victim CBW, victim operation band.</w:t>
      </w:r>
    </w:p>
    <w:p>
      <w:pPr>
        <w:spacing w:after="120"/>
        <w:rPr>
          <w:rFonts w:ascii="Times New Roman" w:hAnsi="Times New Roman"/>
          <w:b/>
          <w:bCs/>
          <w:sz w:val="20"/>
          <w:szCs w:val="21"/>
        </w:rPr>
      </w:pPr>
      <w:r>
        <w:rPr>
          <w:rFonts w:ascii="Times New Roman" w:hAnsi="Times New Roman"/>
          <w:b/>
          <w:bCs/>
          <w:sz w:val="20"/>
          <w:szCs w:val="21"/>
        </w:rPr>
        <w:t xml:space="preserve">Proposal </w:t>
      </w:r>
      <w:r>
        <w:rPr>
          <w:rFonts w:hint="eastAsia" w:ascii="Times New Roman" w:hAnsi="Times New Roman"/>
          <w:b/>
          <w:bCs/>
          <w:sz w:val="20"/>
          <w:szCs w:val="21"/>
          <w:lang w:val="en-US" w:eastAsia="zh-CN"/>
        </w:rPr>
        <w:t>1</w:t>
      </w:r>
      <w:r>
        <w:rPr>
          <w:rFonts w:ascii="Times New Roman" w:hAnsi="Times New Roman"/>
          <w:b/>
          <w:bCs/>
          <w:sz w:val="20"/>
          <w:szCs w:val="21"/>
        </w:rPr>
        <w:t>: to reduce MSD capability overhead, one solution is to allow gNB query UE capability and UE only report certain capability filtered by gNB’s query information. Query information could include following information, e.g. band combinations, power class, Tx power, aggressor and victim CBW, victim operation band.</w:t>
      </w:r>
    </w:p>
    <w:p>
      <w:pPr>
        <w:keepNext/>
        <w:keepLines/>
        <w:spacing w:before="260" w:after="260" w:line="416" w:lineRule="auto"/>
        <w:outlineLvl w:val="1"/>
        <w:rPr>
          <w:rFonts w:asciiTheme="majorHAnsi" w:hAnsiTheme="majorHAnsi" w:eastAsiaTheme="majorEastAsia" w:cstheme="majorBidi"/>
          <w:b/>
          <w:bCs/>
          <w:sz w:val="32"/>
          <w:szCs w:val="32"/>
        </w:rPr>
      </w:pPr>
      <w:r>
        <w:rPr>
          <w:rFonts w:hint="eastAsia" w:asciiTheme="majorHAnsi" w:hAnsiTheme="majorHAnsi" w:eastAsiaTheme="majorEastAsia" w:cstheme="majorBidi"/>
          <w:b/>
          <w:bCs/>
          <w:sz w:val="32"/>
          <w:szCs w:val="32"/>
        </w:rPr>
        <w:t>2</w:t>
      </w:r>
      <w:r>
        <w:rPr>
          <w:rFonts w:asciiTheme="majorHAnsi" w:hAnsiTheme="majorHAnsi" w:eastAsiaTheme="majorEastAsia" w:cstheme="majorBidi"/>
          <w:b/>
          <w:bCs/>
          <w:sz w:val="32"/>
          <w:szCs w:val="32"/>
        </w:rPr>
        <w:t>.</w:t>
      </w:r>
      <w:r>
        <w:rPr>
          <w:rFonts w:hint="eastAsia" w:asciiTheme="majorHAnsi" w:hAnsiTheme="majorHAnsi" w:eastAsiaTheme="majorEastAsia" w:cstheme="majorBidi"/>
          <w:b/>
          <w:bCs/>
          <w:sz w:val="32"/>
          <w:szCs w:val="32"/>
          <w:lang w:val="en-US" w:eastAsia="zh-CN"/>
        </w:rPr>
        <w:t>3</w:t>
      </w:r>
      <w:r>
        <w:rPr>
          <w:rFonts w:asciiTheme="majorHAnsi" w:hAnsiTheme="majorHAnsi" w:eastAsiaTheme="majorEastAsia" w:cstheme="majorBidi"/>
          <w:b/>
          <w:bCs/>
          <w:sz w:val="32"/>
          <w:szCs w:val="32"/>
        </w:rPr>
        <w:t xml:space="preserve"> power related report for MSD</w:t>
      </w:r>
    </w:p>
    <w:p>
      <w:pPr>
        <w:spacing w:after="120"/>
        <w:rPr>
          <w:rFonts w:hint="default" w:ascii="Times New Roman" w:hAnsi="Times New Roman"/>
          <w:b w:val="0"/>
          <w:bCs w:val="0"/>
          <w:sz w:val="20"/>
          <w:szCs w:val="21"/>
          <w:lang w:val="en-US" w:eastAsia="zh-CN"/>
        </w:rPr>
      </w:pPr>
      <w:r>
        <w:rPr>
          <w:rFonts w:hint="eastAsia" w:ascii="Times New Roman" w:hAnsi="Times New Roman"/>
          <w:b w:val="0"/>
          <w:bCs w:val="0"/>
          <w:sz w:val="20"/>
          <w:szCs w:val="21"/>
          <w:lang w:val="en-US" w:eastAsia="zh-CN"/>
        </w:rPr>
        <w:t>In last meeting, the agreement is listed as below: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after="120" w:afterLines="50" w:line="280" w:lineRule="atLeast"/>
              <w:rPr>
                <w:rFonts w:hint="default" w:ascii="Times New Roman" w:hAnsi="Times New Roman" w:cs="Times New Roman"/>
                <w:sz w:val="20"/>
                <w:szCs w:val="21"/>
                <w:highlight w:val="none"/>
                <w:lang w:eastAsia="zh-CN"/>
              </w:rPr>
            </w:pPr>
            <w:r>
              <w:rPr>
                <w:rFonts w:hint="default" w:ascii="Times New Roman" w:hAnsi="Times New Roman" w:cs="Times New Roman"/>
                <w:sz w:val="20"/>
                <w:szCs w:val="21"/>
                <w:highlight w:val="none"/>
                <w:lang w:eastAsia="zh-CN"/>
              </w:rPr>
              <w:t xml:space="preserve">Agreement: </w:t>
            </w:r>
          </w:p>
          <w:p>
            <w:pPr>
              <w:pStyle w:val="23"/>
              <w:numPr>
                <w:ilvl w:val="0"/>
                <w:numId w:val="4"/>
              </w:numPr>
              <w:spacing w:before="120" w:after="120" w:afterLines="50" w:line="280" w:lineRule="atLeast"/>
              <w:ind w:firstLineChars="0"/>
              <w:rPr>
                <w:rFonts w:hint="default" w:ascii="Times New Roman" w:hAnsi="Times New Roman" w:cs="Times New Roman"/>
                <w:sz w:val="20"/>
                <w:szCs w:val="21"/>
                <w:highlight w:val="none"/>
                <w:lang w:eastAsia="zh-CN"/>
              </w:rPr>
            </w:pPr>
            <w:r>
              <w:rPr>
                <w:rFonts w:hint="default" w:ascii="Times New Roman" w:hAnsi="Times New Roman" w:cs="Times New Roman"/>
                <w:sz w:val="20"/>
                <w:szCs w:val="22"/>
                <w:highlight w:val="none"/>
                <w:lang w:eastAsia="zh-CN"/>
              </w:rPr>
              <w:t>CBW of aggressor UL and victim DL are not necessary to be included in the essential information for lower MSD capability</w:t>
            </w:r>
          </w:p>
          <w:p>
            <w:pPr>
              <w:pStyle w:val="23"/>
              <w:numPr>
                <w:ilvl w:val="1"/>
                <w:numId w:val="4"/>
              </w:numPr>
              <w:spacing w:before="120" w:after="120" w:afterLines="50" w:line="280" w:lineRule="atLeast"/>
              <w:ind w:firstLineChars="0"/>
              <w:rPr>
                <w:rFonts w:hint="default" w:ascii="Times New Roman" w:hAnsi="Times New Roman" w:cs="Times New Roman"/>
                <w:sz w:val="20"/>
                <w:szCs w:val="21"/>
                <w:highlight w:val="none"/>
                <w:lang w:eastAsia="zh-CN"/>
              </w:rPr>
            </w:pPr>
            <w:r>
              <w:rPr>
                <w:rFonts w:hint="default" w:ascii="Times New Roman" w:hAnsi="Times New Roman" w:cs="Times New Roman"/>
                <w:sz w:val="20"/>
                <w:szCs w:val="22"/>
                <w:highlight w:val="none"/>
                <w:lang w:eastAsia="zh-CN"/>
              </w:rPr>
              <w:t>FFS on the rule for test condition</w:t>
            </w:r>
          </w:p>
          <w:p>
            <w:pPr>
              <w:pStyle w:val="23"/>
              <w:numPr>
                <w:ilvl w:val="1"/>
                <w:numId w:val="4"/>
              </w:numPr>
              <w:spacing w:before="120" w:after="120" w:afterLines="50" w:line="280" w:lineRule="atLeast"/>
              <w:ind w:firstLineChars="0"/>
              <w:rPr>
                <w:rFonts w:hint="default" w:ascii="Times New Roman" w:hAnsi="Times New Roman"/>
                <w:b/>
                <w:bCs/>
                <w:sz w:val="20"/>
                <w:szCs w:val="21"/>
                <w:vertAlign w:val="baseline"/>
                <w:lang w:val="en-US" w:eastAsia="zh-CN"/>
              </w:rPr>
            </w:pPr>
            <w:r>
              <w:rPr>
                <w:rFonts w:hint="default" w:ascii="Times New Roman" w:hAnsi="Times New Roman" w:cs="Times New Roman"/>
                <w:sz w:val="20"/>
                <w:szCs w:val="22"/>
                <w:highlight w:val="none"/>
                <w:lang w:eastAsia="zh-CN"/>
              </w:rPr>
              <w:t>With understanding that CBW of aggressor UL and victim DL is known to both UE and TE during test</w:t>
            </w:r>
          </w:p>
          <w:p>
            <w:pPr>
              <w:pStyle w:val="23"/>
              <w:numPr>
                <w:ilvl w:val="0"/>
                <w:numId w:val="4"/>
              </w:numPr>
              <w:spacing w:before="120" w:after="120" w:afterLines="50" w:line="280" w:lineRule="atLeast"/>
              <w:ind w:left="420" w:leftChars="0" w:hanging="420" w:firstLineChars="0"/>
              <w:rPr>
                <w:rFonts w:hint="default" w:ascii="Times New Roman" w:hAnsi="Times New Roman"/>
                <w:b w:val="0"/>
                <w:bCs w:val="0"/>
                <w:sz w:val="20"/>
                <w:szCs w:val="21"/>
                <w:vertAlign w:val="baseline"/>
                <w:lang w:val="en-US" w:eastAsia="zh-CN"/>
              </w:rPr>
            </w:pPr>
            <w:r>
              <w:rPr>
                <w:rFonts w:hint="default" w:ascii="Times New Roman" w:hAnsi="Times New Roman"/>
                <w:b w:val="0"/>
                <w:bCs w:val="0"/>
                <w:sz w:val="20"/>
                <w:szCs w:val="21"/>
                <w:vertAlign w:val="baseline"/>
                <w:lang w:val="en-US" w:eastAsia="zh-CN"/>
              </w:rPr>
              <w:t>The UE reports the MSD class per MSD types for the highest supported power class for the band combination</w:t>
            </w:r>
          </w:p>
          <w:p>
            <w:pPr>
              <w:pStyle w:val="23"/>
              <w:numPr>
                <w:ilvl w:val="1"/>
                <w:numId w:val="4"/>
              </w:numPr>
              <w:spacing w:before="120" w:after="120" w:afterLines="50" w:line="280" w:lineRule="atLeast"/>
              <w:ind w:left="840" w:leftChars="0" w:hanging="420" w:firstLineChars="0"/>
              <w:rPr>
                <w:rFonts w:hint="default" w:ascii="Times New Roman" w:hAnsi="Times New Roman"/>
                <w:b w:val="0"/>
                <w:bCs w:val="0"/>
                <w:sz w:val="20"/>
                <w:szCs w:val="21"/>
                <w:vertAlign w:val="baseline"/>
                <w:lang w:val="en-US" w:eastAsia="zh-CN"/>
              </w:rPr>
            </w:pPr>
            <w:r>
              <w:rPr>
                <w:rFonts w:hint="default" w:ascii="Times New Roman" w:hAnsi="Times New Roman"/>
                <w:b w:val="0"/>
                <w:bCs w:val="0"/>
                <w:sz w:val="20"/>
                <w:szCs w:val="21"/>
                <w:vertAlign w:val="baseline"/>
                <w:lang w:val="en-US" w:eastAsia="zh-CN"/>
              </w:rPr>
              <w:t xml:space="preserve">UE can additionally report lower MSD for other PCs if NW/regulator requested </w:t>
            </w:r>
          </w:p>
          <w:p>
            <w:pPr>
              <w:pStyle w:val="23"/>
              <w:numPr>
                <w:ilvl w:val="1"/>
                <w:numId w:val="4"/>
              </w:numPr>
              <w:spacing w:before="120" w:after="120" w:afterLines="50" w:line="280" w:lineRule="atLeast"/>
              <w:ind w:left="840" w:leftChars="0" w:hanging="420" w:firstLineChars="0"/>
              <w:rPr>
                <w:rFonts w:hint="default" w:ascii="Times New Roman" w:hAnsi="Times New Roman"/>
                <w:b w:val="0"/>
                <w:bCs w:val="0"/>
                <w:sz w:val="20"/>
                <w:szCs w:val="21"/>
                <w:vertAlign w:val="baseline"/>
                <w:lang w:val="en-US" w:eastAsia="zh-CN"/>
              </w:rPr>
            </w:pPr>
            <w:r>
              <w:rPr>
                <w:rFonts w:hint="default" w:ascii="Times New Roman" w:hAnsi="Times New Roman"/>
                <w:b w:val="0"/>
                <w:bCs w:val="0"/>
                <w:sz w:val="20"/>
                <w:szCs w:val="21"/>
                <w:vertAlign w:val="baseline"/>
                <w:lang w:val="en-US" w:eastAsia="zh-CN"/>
              </w:rPr>
              <w:t>Conformance test is only performed for the highest supported power class</w:t>
            </w:r>
          </w:p>
          <w:p>
            <w:pPr>
              <w:pStyle w:val="23"/>
              <w:numPr>
                <w:ilvl w:val="1"/>
                <w:numId w:val="4"/>
              </w:numPr>
              <w:spacing w:before="120" w:after="120" w:afterLines="50" w:line="280" w:lineRule="atLeast"/>
              <w:ind w:left="840" w:leftChars="0" w:hanging="420" w:firstLineChars="0"/>
              <w:rPr>
                <w:rFonts w:hint="default" w:ascii="Times New Roman" w:hAnsi="Times New Roman"/>
                <w:b/>
                <w:bCs/>
                <w:sz w:val="20"/>
                <w:szCs w:val="21"/>
                <w:vertAlign w:val="baseline"/>
                <w:lang w:val="en-US" w:eastAsia="zh-CN"/>
              </w:rPr>
            </w:pPr>
            <w:r>
              <w:rPr>
                <w:rFonts w:hint="default" w:ascii="Times New Roman" w:hAnsi="Times New Roman"/>
                <w:b w:val="0"/>
                <w:bCs w:val="0"/>
                <w:sz w:val="20"/>
                <w:szCs w:val="21"/>
                <w:vertAlign w:val="baseline"/>
                <w:lang w:val="en-US" w:eastAsia="zh-CN"/>
              </w:rPr>
              <w:t xml:space="preserve">Lower MSD reported for lower power class does not need to be tested </w:t>
            </w:r>
          </w:p>
        </w:tc>
      </w:tr>
    </w:tbl>
    <w:p>
      <w:pPr>
        <w:spacing w:after="120"/>
        <w:rPr>
          <w:rFonts w:ascii="Times New Roman" w:hAnsi="Times New Roman"/>
          <w:sz w:val="20"/>
          <w:szCs w:val="21"/>
        </w:rPr>
      </w:pPr>
      <w:r>
        <w:rPr>
          <w:rFonts w:ascii="Times New Roman" w:hAnsi="Times New Roman"/>
          <w:sz w:val="20"/>
          <w:szCs w:val="21"/>
        </w:rPr>
        <w:t xml:space="preserve">MSD performance is related to Tx power, </w:t>
      </w:r>
      <w:r>
        <w:rPr>
          <w:rFonts w:hint="eastAsia" w:ascii="Times New Roman" w:hAnsi="Times New Roman"/>
          <w:sz w:val="20"/>
          <w:szCs w:val="21"/>
        </w:rPr>
        <w:t>fo</w:t>
      </w:r>
      <w:r>
        <w:rPr>
          <w:rFonts w:ascii="Times New Roman" w:hAnsi="Times New Roman"/>
          <w:sz w:val="20"/>
          <w:szCs w:val="21"/>
        </w:rPr>
        <w:t>r example, 3dB max output power difference may lead to max 10dB MSD difference. Larger Tx power at UE side, better throughput for UL but may lead to worse MSD for DL. in some extreme case, when UE transmit with max power to maximize UL performance, certain DL victim RB can’t be allocated due to much severe MSD. Therefore, gNB needs the relationship between UL Tx power and DL MSD performance to trade off UL and DL performance.</w:t>
      </w:r>
    </w:p>
    <w:p>
      <w:pPr>
        <w:spacing w:after="120"/>
        <w:rPr>
          <w:rFonts w:ascii="Times New Roman" w:hAnsi="Times New Roman"/>
          <w:b/>
          <w:bCs/>
          <w:sz w:val="20"/>
          <w:szCs w:val="21"/>
        </w:rPr>
      </w:pPr>
      <w:r>
        <w:rPr>
          <w:rFonts w:ascii="Times New Roman" w:hAnsi="Times New Roman"/>
          <w:b/>
          <w:bCs/>
          <w:sz w:val="20"/>
          <w:szCs w:val="21"/>
        </w:rPr>
        <w:t xml:space="preserve">Observation </w:t>
      </w:r>
      <w:r>
        <w:rPr>
          <w:rFonts w:hint="eastAsia" w:ascii="Times New Roman" w:hAnsi="Times New Roman"/>
          <w:b/>
          <w:bCs/>
          <w:sz w:val="20"/>
          <w:szCs w:val="21"/>
          <w:lang w:val="en-US" w:eastAsia="zh-CN"/>
        </w:rPr>
        <w:t>3</w:t>
      </w:r>
      <w:r>
        <w:rPr>
          <w:rFonts w:ascii="Times New Roman" w:hAnsi="Times New Roman"/>
          <w:b/>
          <w:bCs/>
          <w:sz w:val="20"/>
          <w:szCs w:val="21"/>
        </w:rPr>
        <w:t>: gNB needs the relationship between UL Tx power and DL MSD performance to trade off UL and DL performance.</w:t>
      </w:r>
    </w:p>
    <w:p>
      <w:pPr>
        <w:spacing w:after="120"/>
        <w:rPr>
          <w:rFonts w:ascii="Times New Roman" w:hAnsi="Times New Roman"/>
          <w:sz w:val="20"/>
          <w:szCs w:val="21"/>
        </w:rPr>
      </w:pPr>
      <w:r>
        <w:rPr>
          <w:rFonts w:ascii="Times New Roman" w:hAnsi="Times New Roman"/>
          <w:sz w:val="20"/>
          <w:szCs w:val="21"/>
        </w:rPr>
        <w:t>Following list several solutions for relationship between MSD capability and Tx power:</w:t>
      </w:r>
    </w:p>
    <w:p>
      <w:pPr>
        <w:pStyle w:val="23"/>
        <w:numPr>
          <w:ilvl w:val="0"/>
          <w:numId w:val="5"/>
        </w:numPr>
        <w:spacing w:after="120"/>
        <w:ind w:firstLineChars="0"/>
        <w:rPr>
          <w:rFonts w:ascii="Times New Roman" w:hAnsi="Times New Roman"/>
          <w:sz w:val="20"/>
          <w:szCs w:val="21"/>
        </w:rPr>
      </w:pPr>
      <w:r>
        <w:rPr>
          <w:rFonts w:ascii="Times New Roman" w:hAnsi="Times New Roman"/>
          <w:sz w:val="20"/>
          <w:szCs w:val="21"/>
        </w:rPr>
        <w:t xml:space="preserve">Solution 1: categorize MSD with several typical Tx power level. But this method requires UE to have the information for different Tx power levels, heavy workload at UE side. </w:t>
      </w:r>
    </w:p>
    <w:p>
      <w:pPr>
        <w:pStyle w:val="23"/>
        <w:numPr>
          <w:ilvl w:val="0"/>
          <w:numId w:val="5"/>
        </w:numPr>
        <w:spacing w:after="120"/>
        <w:ind w:firstLineChars="0"/>
        <w:rPr>
          <w:rFonts w:ascii="Times New Roman" w:hAnsi="Times New Roman"/>
          <w:sz w:val="20"/>
          <w:szCs w:val="21"/>
        </w:rPr>
      </w:pPr>
      <w:r>
        <w:rPr>
          <w:rFonts w:ascii="Times New Roman" w:hAnsi="Times New Roman"/>
          <w:sz w:val="20"/>
          <w:szCs w:val="21"/>
        </w:rPr>
        <w:t>Solution 2: filter MSD for different power with filtering parameter when query UE capability. Same shortcoming as solution1, heavy workload at UE side to find out the relationship between MSD and Tx power</w:t>
      </w:r>
    </w:p>
    <w:p>
      <w:pPr>
        <w:pStyle w:val="23"/>
        <w:numPr>
          <w:ilvl w:val="0"/>
          <w:numId w:val="5"/>
        </w:numPr>
        <w:spacing w:after="120"/>
        <w:ind w:firstLineChars="0"/>
        <w:rPr>
          <w:rFonts w:ascii="Times New Roman" w:hAnsi="Times New Roman"/>
          <w:b/>
          <w:bCs/>
          <w:sz w:val="20"/>
          <w:szCs w:val="21"/>
        </w:rPr>
      </w:pPr>
      <w:r>
        <w:rPr>
          <w:rFonts w:ascii="Times New Roman" w:hAnsi="Times New Roman"/>
          <w:b/>
          <w:bCs/>
          <w:sz w:val="20"/>
          <w:szCs w:val="21"/>
        </w:rPr>
        <w:t>Solution 3: additional information to show under which Tx power, all MSD</w:t>
      </w:r>
      <w:r>
        <w:rPr>
          <w:rFonts w:hint="eastAsia" w:ascii="Times New Roman" w:hAnsi="Times New Roman"/>
          <w:b/>
          <w:bCs/>
          <w:sz w:val="20"/>
          <w:szCs w:val="21"/>
          <w:lang w:val="en-US" w:eastAsia="zh-CN"/>
        </w:rPr>
        <w:t xml:space="preserve"> would be negligible/acceptable</w:t>
      </w:r>
      <w:r>
        <w:rPr>
          <w:rFonts w:ascii="Times New Roman" w:hAnsi="Times New Roman"/>
          <w:b/>
          <w:bCs/>
          <w:sz w:val="20"/>
          <w:szCs w:val="21"/>
        </w:rPr>
        <w:t>.</w:t>
      </w:r>
      <w:r>
        <w:rPr>
          <w:rFonts w:hint="eastAsia" w:ascii="Times New Roman" w:hAnsi="Times New Roman"/>
          <w:b/>
          <w:bCs/>
          <w:sz w:val="20"/>
          <w:szCs w:val="21"/>
          <w:lang w:val="en-US" w:eastAsia="zh-CN"/>
        </w:rPr>
        <w:t xml:space="preserve"> </w:t>
      </w:r>
      <w:r>
        <w:rPr>
          <w:rFonts w:ascii="Times New Roman" w:hAnsi="Times New Roman"/>
          <w:b/>
          <w:bCs/>
          <w:sz w:val="20"/>
          <w:szCs w:val="21"/>
        </w:rPr>
        <w:t xml:space="preserve">gNB could use this information for final UE scheduling algorithm </w:t>
      </w:r>
      <w:r>
        <w:rPr>
          <w:rFonts w:hint="eastAsia" w:ascii="Times New Roman" w:hAnsi="Times New Roman"/>
          <w:b/>
          <w:bCs/>
          <w:sz w:val="20"/>
          <w:szCs w:val="21"/>
          <w:lang w:val="en-US" w:eastAsia="zh-CN"/>
        </w:rPr>
        <w:t>and</w:t>
      </w:r>
      <w:r>
        <w:rPr>
          <w:rFonts w:ascii="Times New Roman" w:hAnsi="Times New Roman"/>
          <w:b/>
          <w:bCs/>
          <w:sz w:val="20"/>
          <w:szCs w:val="21"/>
        </w:rPr>
        <w:t xml:space="preserve"> deciding final UE Tx power</w:t>
      </w:r>
    </w:p>
    <w:p>
      <w:pPr>
        <w:pStyle w:val="23"/>
        <w:numPr>
          <w:ilvl w:val="1"/>
          <w:numId w:val="5"/>
        </w:numPr>
        <w:spacing w:after="120"/>
        <w:ind w:firstLineChars="0"/>
        <w:rPr>
          <w:rFonts w:ascii="Times New Roman" w:hAnsi="Times New Roman"/>
          <w:sz w:val="20"/>
          <w:szCs w:val="21"/>
        </w:rPr>
      </w:pPr>
      <w:r>
        <w:rPr>
          <w:rFonts w:ascii="Times New Roman" w:hAnsi="Times New Roman"/>
          <w:sz w:val="20"/>
          <w:szCs w:val="21"/>
        </w:rPr>
        <w:t xml:space="preserve">This information help gNB to know which UE could be allocated to MSD-victim RB since the MSD is negligible for this UE when it is at </w:t>
      </w:r>
      <w:r>
        <w:rPr>
          <w:rFonts w:hint="eastAsia" w:ascii="Times New Roman" w:hAnsi="Times New Roman"/>
          <w:sz w:val="20"/>
          <w:szCs w:val="21"/>
          <w:lang w:val="en-US" w:eastAsia="zh-CN"/>
        </w:rPr>
        <w:t>cell center</w:t>
      </w:r>
      <w:r>
        <w:rPr>
          <w:rFonts w:ascii="Times New Roman" w:hAnsi="Times New Roman"/>
          <w:sz w:val="20"/>
          <w:szCs w:val="21"/>
        </w:rPr>
        <w:t xml:space="preserve"> with less </w:t>
      </w:r>
      <w:r>
        <w:rPr>
          <w:rFonts w:hint="eastAsia" w:ascii="Times New Roman" w:hAnsi="Times New Roman"/>
          <w:sz w:val="20"/>
          <w:szCs w:val="21"/>
          <w:lang w:val="en-US" w:eastAsia="zh-CN"/>
        </w:rPr>
        <w:t xml:space="preserve">target </w:t>
      </w:r>
      <w:r>
        <w:rPr>
          <w:rFonts w:ascii="Times New Roman" w:hAnsi="Times New Roman"/>
          <w:sz w:val="20"/>
          <w:szCs w:val="21"/>
        </w:rPr>
        <w:t xml:space="preserve">Tx power. </w:t>
      </w:r>
    </w:p>
    <w:p>
      <w:pPr>
        <w:pStyle w:val="23"/>
        <w:numPr>
          <w:ilvl w:val="1"/>
          <w:numId w:val="5"/>
        </w:numPr>
        <w:spacing w:after="120"/>
        <w:ind w:firstLineChars="0"/>
        <w:rPr>
          <w:rFonts w:hint="eastAsia" w:ascii="Times New Roman" w:hAnsi="Times New Roman"/>
          <w:b w:val="0"/>
          <w:bCs w:val="0"/>
          <w:sz w:val="20"/>
          <w:szCs w:val="21"/>
          <w:lang w:val="en-US" w:eastAsia="zh-CN"/>
        </w:rPr>
      </w:pPr>
      <w:r>
        <w:rPr>
          <w:rFonts w:ascii="Times New Roman" w:hAnsi="Times New Roman"/>
          <w:sz w:val="20"/>
          <w:szCs w:val="21"/>
        </w:rPr>
        <w:t xml:space="preserve">in some cases when DL throughput is bottleneck, gNB could reduce UE Tx power to make the MSD acceptable for DL. </w:t>
      </w:r>
      <w:r>
        <w:rPr>
          <w:rFonts w:hint="eastAsia" w:ascii="Times New Roman" w:hAnsi="Times New Roman"/>
          <w:sz w:val="20"/>
          <w:szCs w:val="21"/>
          <w:lang w:val="en-US" w:eastAsia="zh-CN"/>
        </w:rPr>
        <w:t>T</w:t>
      </w:r>
      <w:r>
        <w:rPr>
          <w:rFonts w:ascii="Times New Roman" w:hAnsi="Times New Roman"/>
          <w:sz w:val="20"/>
          <w:szCs w:val="21"/>
        </w:rPr>
        <w:t>his MSD information help gNB fully utilize all RBs even for the RB with severe MSD</w:t>
      </w:r>
      <w:r>
        <w:rPr>
          <w:rFonts w:hint="eastAsia" w:ascii="Times New Roman" w:hAnsi="Times New Roman"/>
          <w:sz w:val="20"/>
          <w:szCs w:val="21"/>
          <w:lang w:val="en-US" w:eastAsia="zh-CN"/>
        </w:rPr>
        <w:t xml:space="preserve"> by sacrificing UE Tx power</w:t>
      </w:r>
      <w:r>
        <w:rPr>
          <w:rFonts w:ascii="Times New Roman" w:hAnsi="Times New Roman"/>
          <w:sz w:val="20"/>
          <w:szCs w:val="21"/>
        </w:rPr>
        <w:t>.</w:t>
      </w:r>
    </w:p>
    <w:p>
      <w:pPr>
        <w:pStyle w:val="23"/>
        <w:numPr>
          <w:ilvl w:val="1"/>
          <w:numId w:val="5"/>
        </w:numPr>
        <w:spacing w:after="120"/>
        <w:ind w:firstLineChars="0"/>
        <w:rPr>
          <w:rFonts w:ascii="Times New Roman" w:hAnsi="Times New Roman"/>
          <w:sz w:val="20"/>
          <w:szCs w:val="21"/>
        </w:rPr>
      </w:pPr>
      <w:r>
        <w:rPr>
          <w:rFonts w:hint="eastAsia" w:ascii="Times New Roman" w:hAnsi="Times New Roman"/>
          <w:sz w:val="20"/>
          <w:szCs w:val="21"/>
          <w:lang w:val="en-US" w:eastAsia="zh-CN"/>
        </w:rPr>
        <w:t xml:space="preserve">Regarding how to identify MSD is negligible/acceptable, one solution is when MSD is less than lowest MSD threshold among UE capability, then MSD is assumed as negligible. </w:t>
      </w:r>
      <w:r>
        <w:rPr>
          <w:rFonts w:hint="eastAsia" w:ascii="Times New Roman" w:hAnsi="Times New Roman"/>
          <w:b w:val="0"/>
          <w:bCs w:val="0"/>
          <w:sz w:val="20"/>
          <w:szCs w:val="21"/>
          <w:lang w:val="en-US" w:eastAsia="zh-CN"/>
        </w:rPr>
        <w:t>For example when the lower MSD threshold is defined as 3dB, the UE could report corresponding Tx power under which condition all types and orders MSD could be less than 3dB.</w:t>
      </w:r>
    </w:p>
    <w:p>
      <w:pPr>
        <w:spacing w:after="120"/>
        <w:rPr>
          <w:rFonts w:ascii="Times New Roman" w:hAnsi="Times New Roman"/>
          <w:sz w:val="20"/>
          <w:szCs w:val="21"/>
        </w:rPr>
      </w:pPr>
      <w:r>
        <w:rPr>
          <w:rFonts w:ascii="Times New Roman" w:hAnsi="Times New Roman"/>
          <w:sz w:val="20"/>
          <w:szCs w:val="21"/>
        </w:rPr>
        <w:t>According to above analysis, solution 3 is more preferred.</w:t>
      </w:r>
    </w:p>
    <w:p>
      <w:pPr>
        <w:spacing w:after="120"/>
        <w:rPr>
          <w:rFonts w:hint="eastAsia" w:ascii="Times New Roman" w:hAnsi="Times New Roman"/>
          <w:b w:val="0"/>
          <w:bCs w:val="0"/>
          <w:sz w:val="20"/>
          <w:szCs w:val="21"/>
          <w:lang w:val="en-US" w:eastAsia="zh-CN"/>
        </w:rPr>
      </w:pPr>
      <w:r>
        <w:rPr>
          <w:rFonts w:hint="eastAsia" w:ascii="Times New Roman" w:hAnsi="Times New Roman"/>
          <w:b w:val="0"/>
          <w:bCs w:val="0"/>
          <w:sz w:val="20"/>
          <w:szCs w:val="21"/>
          <w:lang w:val="en-US" w:eastAsia="zh-CN"/>
        </w:rPr>
        <w:t xml:space="preserve">In last meeting, a new MSD type </w:t>
      </w:r>
      <w:r>
        <w:rPr>
          <w:rFonts w:hint="default" w:ascii="Times New Roman" w:hAnsi="Times New Roman"/>
          <w:b w:val="0"/>
          <w:bCs w:val="0"/>
          <w:sz w:val="20"/>
          <w:szCs w:val="21"/>
          <w:lang w:val="en-US" w:eastAsia="zh-CN"/>
        </w:rPr>
        <w:t>“</w:t>
      </w:r>
      <w:r>
        <w:rPr>
          <w:rFonts w:hint="eastAsia" w:ascii="Times New Roman" w:hAnsi="Times New Roman"/>
          <w:b w:val="0"/>
          <w:bCs w:val="0"/>
          <w:sz w:val="20"/>
          <w:szCs w:val="21"/>
          <w:lang w:val="en-US" w:eastAsia="zh-CN"/>
        </w:rPr>
        <w:t>ALL</w:t>
      </w:r>
      <w:r>
        <w:rPr>
          <w:rFonts w:hint="default" w:ascii="Times New Roman" w:hAnsi="Times New Roman"/>
          <w:b w:val="0"/>
          <w:bCs w:val="0"/>
          <w:sz w:val="20"/>
          <w:szCs w:val="21"/>
          <w:lang w:val="en-US" w:eastAsia="zh-CN"/>
        </w:rPr>
        <w:t>”</w:t>
      </w:r>
      <w:r>
        <w:rPr>
          <w:rFonts w:hint="eastAsia" w:ascii="Times New Roman" w:hAnsi="Times New Roman"/>
          <w:b w:val="0"/>
          <w:bCs w:val="0"/>
          <w:sz w:val="20"/>
          <w:szCs w:val="21"/>
          <w:lang w:val="en-US" w:eastAsia="zh-CN"/>
        </w:rPr>
        <w:t xml:space="preserve"> is approved. The Solution 3 is much like the enhancement for the type </w:t>
      </w:r>
      <w:r>
        <w:rPr>
          <w:rFonts w:hint="default" w:ascii="Times New Roman" w:hAnsi="Times New Roman"/>
          <w:b w:val="0"/>
          <w:bCs w:val="0"/>
          <w:sz w:val="20"/>
          <w:szCs w:val="21"/>
          <w:lang w:val="en-US" w:eastAsia="zh-CN"/>
        </w:rPr>
        <w:t>“</w:t>
      </w:r>
      <w:r>
        <w:rPr>
          <w:rFonts w:hint="eastAsia" w:ascii="Times New Roman" w:hAnsi="Times New Roman"/>
          <w:b w:val="0"/>
          <w:bCs w:val="0"/>
          <w:sz w:val="20"/>
          <w:szCs w:val="21"/>
          <w:lang w:val="en-US" w:eastAsia="zh-CN"/>
        </w:rPr>
        <w:t>ALL</w:t>
      </w:r>
      <w:r>
        <w:rPr>
          <w:rFonts w:hint="default" w:ascii="Times New Roman" w:hAnsi="Times New Roman"/>
          <w:b w:val="0"/>
          <w:bCs w:val="0"/>
          <w:sz w:val="20"/>
          <w:szCs w:val="21"/>
          <w:lang w:val="en-US" w:eastAsia="zh-CN"/>
        </w:rPr>
        <w:t>”</w:t>
      </w:r>
      <w:r>
        <w:rPr>
          <w:rFonts w:hint="eastAsia" w:ascii="Times New Roman" w:hAnsi="Times New Roman"/>
          <w:b w:val="0"/>
          <w:bCs w:val="0"/>
          <w:sz w:val="20"/>
          <w:szCs w:val="21"/>
          <w:lang w:val="en-US" w:eastAsia="zh-CN"/>
        </w:rPr>
        <w:t xml:space="preserve"> with Tx power information to show under which Tx power, all MSD is acceptable. </w:t>
      </w:r>
    </w:p>
    <w:p>
      <w:pPr>
        <w:spacing w:after="120"/>
        <w:rPr>
          <w:rFonts w:hint="default" w:ascii="Times New Roman" w:hAnsi="Times New Roman"/>
          <w:b/>
          <w:bCs/>
          <w:sz w:val="20"/>
          <w:szCs w:val="21"/>
          <w:lang w:val="en-US" w:eastAsia="zh-CN"/>
        </w:rPr>
      </w:pPr>
      <w:r>
        <w:rPr>
          <w:rFonts w:ascii="Times New Roman" w:hAnsi="Times New Roman"/>
          <w:b/>
          <w:bCs/>
          <w:sz w:val="20"/>
          <w:szCs w:val="21"/>
        </w:rPr>
        <w:t xml:space="preserve">Proposal </w:t>
      </w:r>
      <w:r>
        <w:rPr>
          <w:rFonts w:hint="eastAsia" w:ascii="Times New Roman" w:hAnsi="Times New Roman"/>
          <w:b/>
          <w:bCs/>
          <w:sz w:val="20"/>
          <w:szCs w:val="21"/>
          <w:lang w:val="en-US" w:eastAsia="zh-CN"/>
        </w:rPr>
        <w:t>2</w:t>
      </w:r>
      <w:r>
        <w:rPr>
          <w:rFonts w:ascii="Times New Roman" w:hAnsi="Times New Roman"/>
          <w:b/>
          <w:bCs/>
          <w:sz w:val="20"/>
          <w:szCs w:val="21"/>
        </w:rPr>
        <w:t xml:space="preserve">: it’s suggested to allow UE report under which Tx power all the MSD values would be </w:t>
      </w:r>
      <w:r>
        <w:rPr>
          <w:rFonts w:hint="eastAsia" w:ascii="Times New Roman" w:hAnsi="Times New Roman"/>
          <w:b/>
          <w:bCs/>
          <w:sz w:val="20"/>
          <w:szCs w:val="21"/>
          <w:lang w:val="en-US" w:eastAsia="zh-CN"/>
        </w:rPr>
        <w:t>negligible/acceptable. This information</w:t>
      </w:r>
      <w:r>
        <w:rPr>
          <w:rFonts w:ascii="Times New Roman" w:hAnsi="Times New Roman"/>
          <w:b/>
          <w:bCs/>
          <w:sz w:val="20"/>
          <w:szCs w:val="21"/>
        </w:rPr>
        <w:t xml:space="preserve"> could help gNB to know which UE could be allocated to MSD-victim RB since the MSD is negligible for this UE when it is at </w:t>
      </w:r>
      <w:r>
        <w:rPr>
          <w:rFonts w:hint="eastAsia" w:ascii="Times New Roman" w:hAnsi="Times New Roman"/>
          <w:b/>
          <w:bCs/>
          <w:sz w:val="20"/>
          <w:szCs w:val="21"/>
          <w:lang w:val="en-US" w:eastAsia="zh-CN"/>
        </w:rPr>
        <w:t>cell center</w:t>
      </w:r>
      <w:r>
        <w:rPr>
          <w:rFonts w:ascii="Times New Roman" w:hAnsi="Times New Roman"/>
          <w:b/>
          <w:bCs/>
          <w:sz w:val="20"/>
          <w:szCs w:val="21"/>
        </w:rPr>
        <w:t xml:space="preserve"> with less </w:t>
      </w:r>
      <w:r>
        <w:rPr>
          <w:rFonts w:hint="eastAsia" w:ascii="Times New Roman" w:hAnsi="Times New Roman"/>
          <w:b/>
          <w:bCs/>
          <w:sz w:val="20"/>
          <w:szCs w:val="21"/>
          <w:lang w:val="en-US" w:eastAsia="zh-CN"/>
        </w:rPr>
        <w:t xml:space="preserve">target </w:t>
      </w:r>
      <w:r>
        <w:rPr>
          <w:rFonts w:ascii="Times New Roman" w:hAnsi="Times New Roman"/>
          <w:b/>
          <w:bCs/>
          <w:sz w:val="20"/>
          <w:szCs w:val="21"/>
        </w:rPr>
        <w:t>Tx power</w:t>
      </w:r>
      <w:r>
        <w:rPr>
          <w:rFonts w:hint="eastAsia" w:ascii="Times New Roman" w:hAnsi="Times New Roman"/>
          <w:b/>
          <w:bCs/>
          <w:sz w:val="20"/>
          <w:szCs w:val="21"/>
          <w:lang w:val="en-US" w:eastAsia="zh-CN"/>
        </w:rPr>
        <w:t>.</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ascii="Times New Roman" w:hAnsi="Times New Roman"/>
          <w:sz w:val="20"/>
          <w:szCs w:val="20"/>
        </w:rPr>
      </w:pPr>
      <w:r>
        <w:rPr>
          <w:rFonts w:ascii="Times New Roman" w:hAnsi="Times New Roman"/>
          <w:sz w:val="20"/>
          <w:szCs w:val="20"/>
        </w:rPr>
        <w:t>In this contribution, MSD capability related issues are</w:t>
      </w:r>
      <w:r>
        <w:rPr>
          <w:rFonts w:hint="eastAsia" w:ascii="Times New Roman" w:hAnsi="Times New Roman"/>
          <w:sz w:val="20"/>
          <w:szCs w:val="20"/>
        </w:rPr>
        <w:t xml:space="preserve"> discussed </w:t>
      </w:r>
      <w:r>
        <w:rPr>
          <w:rFonts w:ascii="Times New Roman" w:hAnsi="Times New Roman"/>
          <w:sz w:val="20"/>
          <w:szCs w:val="20"/>
        </w:rPr>
        <w:t>with following observations and proposals:</w:t>
      </w:r>
    </w:p>
    <w:p>
      <w:pPr>
        <w:spacing w:after="120"/>
        <w:rPr>
          <w:rFonts w:ascii="Times New Roman" w:hAnsi="Times New Roman"/>
          <w:b/>
          <w:bCs/>
          <w:sz w:val="20"/>
          <w:szCs w:val="21"/>
        </w:rPr>
      </w:pPr>
      <w:r>
        <w:rPr>
          <w:rFonts w:ascii="Times New Roman" w:hAnsi="Times New Roman"/>
          <w:b/>
          <w:bCs/>
          <w:sz w:val="20"/>
          <w:szCs w:val="21"/>
        </w:rPr>
        <w:t xml:space="preserve">Observation </w:t>
      </w:r>
      <w:r>
        <w:rPr>
          <w:rFonts w:hint="eastAsia" w:ascii="Times New Roman" w:hAnsi="Times New Roman"/>
          <w:b/>
          <w:bCs/>
          <w:sz w:val="20"/>
          <w:szCs w:val="21"/>
          <w:lang w:val="en-US" w:eastAsia="zh-CN"/>
        </w:rPr>
        <w:t>1</w:t>
      </w:r>
      <w:r>
        <w:rPr>
          <w:rFonts w:ascii="Times New Roman" w:hAnsi="Times New Roman"/>
          <w:b/>
          <w:bCs/>
          <w:sz w:val="20"/>
          <w:szCs w:val="21"/>
        </w:rPr>
        <w:t xml:space="preserve">: several dB (e.g. 1-2dB) MSD enhancement will not change final scheduling </w:t>
      </w:r>
      <w:r>
        <w:rPr>
          <w:rFonts w:hint="eastAsia" w:ascii="Times New Roman" w:hAnsi="Times New Roman"/>
          <w:b/>
          <w:bCs/>
          <w:sz w:val="20"/>
          <w:szCs w:val="21"/>
          <w:lang w:val="en-US" w:eastAsia="zh-CN"/>
        </w:rPr>
        <w:t>decision</w:t>
      </w:r>
      <w:r>
        <w:rPr>
          <w:rFonts w:ascii="Times New Roman" w:hAnsi="Times New Roman"/>
          <w:b/>
          <w:bCs/>
          <w:sz w:val="20"/>
          <w:szCs w:val="21"/>
        </w:rPr>
        <w:t xml:space="preserve"> because the accuracy of all inputs factors for scheduling algorithm are comparable or larger than several dB (e.g. 1-2dB).</w:t>
      </w:r>
    </w:p>
    <w:p>
      <w:pPr>
        <w:spacing w:after="120"/>
        <w:rPr>
          <w:rFonts w:ascii="Times New Roman" w:hAnsi="Times New Roman"/>
          <w:b/>
          <w:bCs/>
          <w:sz w:val="20"/>
          <w:szCs w:val="21"/>
        </w:rPr>
      </w:pPr>
      <w:r>
        <w:rPr>
          <w:rFonts w:hint="eastAsia" w:ascii="Times New Roman" w:hAnsi="Times New Roman"/>
          <w:b/>
          <w:bCs/>
          <w:sz w:val="20"/>
          <w:szCs w:val="21"/>
          <w:lang w:val="en-US" w:eastAsia="zh-CN"/>
        </w:rPr>
        <w:t>Observation</w:t>
      </w:r>
      <w:r>
        <w:rPr>
          <w:rFonts w:ascii="Times New Roman" w:hAnsi="Times New Roman"/>
          <w:b/>
          <w:bCs/>
          <w:sz w:val="20"/>
          <w:szCs w:val="21"/>
        </w:rPr>
        <w:t xml:space="preserve"> </w:t>
      </w:r>
      <w:r>
        <w:rPr>
          <w:rFonts w:hint="eastAsia" w:ascii="Times New Roman" w:hAnsi="Times New Roman"/>
          <w:b/>
          <w:bCs/>
          <w:sz w:val="20"/>
          <w:szCs w:val="21"/>
          <w:lang w:val="en-US" w:eastAsia="zh-CN"/>
        </w:rPr>
        <w:t>2</w:t>
      </w:r>
      <w:r>
        <w:rPr>
          <w:rFonts w:ascii="Times New Roman" w:hAnsi="Times New Roman"/>
          <w:b/>
          <w:bCs/>
          <w:sz w:val="20"/>
          <w:szCs w:val="21"/>
        </w:rPr>
        <w:t>: to make MSD capability used in commercial network, it’s better to study how to reduce capability overhead.</w:t>
      </w:r>
    </w:p>
    <w:p>
      <w:pPr>
        <w:spacing w:after="120"/>
        <w:rPr>
          <w:rFonts w:ascii="Times New Roman" w:hAnsi="Times New Roman"/>
          <w:b/>
          <w:bCs/>
          <w:sz w:val="20"/>
          <w:szCs w:val="21"/>
        </w:rPr>
      </w:pPr>
      <w:r>
        <w:rPr>
          <w:rFonts w:ascii="Times New Roman" w:hAnsi="Times New Roman"/>
          <w:b/>
          <w:bCs/>
          <w:sz w:val="20"/>
          <w:szCs w:val="21"/>
        </w:rPr>
        <w:t xml:space="preserve">Proposal </w:t>
      </w:r>
      <w:r>
        <w:rPr>
          <w:rFonts w:hint="eastAsia" w:ascii="Times New Roman" w:hAnsi="Times New Roman"/>
          <w:b/>
          <w:bCs/>
          <w:sz w:val="20"/>
          <w:szCs w:val="21"/>
          <w:lang w:val="en-US" w:eastAsia="zh-CN"/>
        </w:rPr>
        <w:t>1</w:t>
      </w:r>
      <w:r>
        <w:rPr>
          <w:rFonts w:ascii="Times New Roman" w:hAnsi="Times New Roman"/>
          <w:b/>
          <w:bCs/>
          <w:sz w:val="20"/>
          <w:szCs w:val="21"/>
        </w:rPr>
        <w:t>: to reduce MSD capability overhead, one solution is to allow gNB query UE capability and UE only report certain capability filtered by gNB’s query information. Query information could include following information, e.g. band combinations, power class, Tx power, aggressor and victim CBW, victim operation band.</w:t>
      </w:r>
    </w:p>
    <w:p>
      <w:pPr>
        <w:spacing w:after="120"/>
        <w:rPr>
          <w:rFonts w:ascii="Times New Roman" w:hAnsi="Times New Roman"/>
          <w:b/>
          <w:bCs/>
          <w:sz w:val="20"/>
          <w:szCs w:val="21"/>
        </w:rPr>
      </w:pPr>
      <w:r>
        <w:rPr>
          <w:rFonts w:ascii="Times New Roman" w:hAnsi="Times New Roman"/>
          <w:b/>
          <w:bCs/>
          <w:sz w:val="20"/>
          <w:szCs w:val="21"/>
        </w:rPr>
        <w:t xml:space="preserve">Observation </w:t>
      </w:r>
      <w:r>
        <w:rPr>
          <w:rFonts w:hint="eastAsia" w:ascii="Times New Roman" w:hAnsi="Times New Roman"/>
          <w:b/>
          <w:bCs/>
          <w:sz w:val="20"/>
          <w:szCs w:val="21"/>
          <w:lang w:val="en-US" w:eastAsia="zh-CN"/>
        </w:rPr>
        <w:t>3</w:t>
      </w:r>
      <w:r>
        <w:rPr>
          <w:rFonts w:ascii="Times New Roman" w:hAnsi="Times New Roman"/>
          <w:b/>
          <w:bCs/>
          <w:sz w:val="20"/>
          <w:szCs w:val="21"/>
        </w:rPr>
        <w:t>: gNB needs the relationship between UL Tx power and DL MSD performance to trade off UL and DL performance.</w:t>
      </w:r>
    </w:p>
    <w:p>
      <w:pPr>
        <w:spacing w:after="120"/>
        <w:rPr>
          <w:rFonts w:ascii="Times New Roman" w:hAnsi="Times New Roman"/>
          <w:b/>
          <w:bCs/>
          <w:sz w:val="20"/>
          <w:szCs w:val="21"/>
        </w:rPr>
      </w:pPr>
      <w:r>
        <w:rPr>
          <w:rFonts w:ascii="Times New Roman" w:hAnsi="Times New Roman"/>
          <w:b/>
          <w:bCs/>
          <w:sz w:val="20"/>
          <w:szCs w:val="21"/>
        </w:rPr>
        <w:t xml:space="preserve">Proposal </w:t>
      </w:r>
      <w:r>
        <w:rPr>
          <w:rFonts w:hint="eastAsia" w:ascii="Times New Roman" w:hAnsi="Times New Roman"/>
          <w:b/>
          <w:bCs/>
          <w:sz w:val="20"/>
          <w:szCs w:val="21"/>
          <w:lang w:val="en-US" w:eastAsia="zh-CN"/>
        </w:rPr>
        <w:t>2</w:t>
      </w:r>
      <w:r>
        <w:rPr>
          <w:rFonts w:ascii="Times New Roman" w:hAnsi="Times New Roman"/>
          <w:b/>
          <w:bCs/>
          <w:sz w:val="20"/>
          <w:szCs w:val="21"/>
        </w:rPr>
        <w:t xml:space="preserve">: it’s suggested to allow UE report under which Tx power all the MSD values would be </w:t>
      </w:r>
      <w:r>
        <w:rPr>
          <w:rFonts w:hint="eastAsia" w:ascii="Times New Roman" w:hAnsi="Times New Roman"/>
          <w:b/>
          <w:bCs/>
          <w:sz w:val="20"/>
          <w:szCs w:val="21"/>
          <w:lang w:val="en-US" w:eastAsia="zh-CN"/>
        </w:rPr>
        <w:t>negligible/acceptable. This information</w:t>
      </w:r>
      <w:r>
        <w:rPr>
          <w:rFonts w:ascii="Times New Roman" w:hAnsi="Times New Roman"/>
          <w:b/>
          <w:bCs/>
          <w:sz w:val="20"/>
          <w:szCs w:val="21"/>
        </w:rPr>
        <w:t xml:space="preserve"> could help gNB to know which UE could be allocated to MSD-victim RB since the MSD is negligible for this UE when it is at </w:t>
      </w:r>
      <w:r>
        <w:rPr>
          <w:rFonts w:hint="eastAsia" w:ascii="Times New Roman" w:hAnsi="Times New Roman"/>
          <w:b/>
          <w:bCs/>
          <w:sz w:val="20"/>
          <w:szCs w:val="21"/>
          <w:lang w:val="en-US" w:eastAsia="zh-CN"/>
        </w:rPr>
        <w:t>cell center</w:t>
      </w:r>
      <w:r>
        <w:rPr>
          <w:rFonts w:ascii="Times New Roman" w:hAnsi="Times New Roman"/>
          <w:b/>
          <w:bCs/>
          <w:sz w:val="20"/>
          <w:szCs w:val="21"/>
        </w:rPr>
        <w:t xml:space="preserve"> with less </w:t>
      </w:r>
      <w:r>
        <w:rPr>
          <w:rFonts w:hint="eastAsia" w:ascii="Times New Roman" w:hAnsi="Times New Roman"/>
          <w:b/>
          <w:bCs/>
          <w:sz w:val="20"/>
          <w:szCs w:val="21"/>
          <w:lang w:val="en-US" w:eastAsia="zh-CN"/>
        </w:rPr>
        <w:t xml:space="preserve">target </w:t>
      </w:r>
      <w:r>
        <w:rPr>
          <w:rFonts w:ascii="Times New Roman" w:hAnsi="Times New Roman"/>
          <w:b/>
          <w:bCs/>
          <w:sz w:val="20"/>
          <w:szCs w:val="21"/>
        </w:rPr>
        <w:t>Tx power</w:t>
      </w:r>
      <w:r>
        <w:rPr>
          <w:rFonts w:hint="eastAsia" w:ascii="Times New Roman" w:hAnsi="Times New Roman"/>
          <w:b/>
          <w:bCs/>
          <w:sz w:val="20"/>
          <w:szCs w:val="21"/>
          <w:lang w:val="en-US" w:eastAsia="zh-CN"/>
        </w:rPr>
        <w:t>.</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widowControl/>
        <w:overflowPunct w:val="0"/>
        <w:autoSpaceDE w:val="0"/>
        <w:autoSpaceDN w:val="0"/>
        <w:adjustRightInd w:val="0"/>
        <w:spacing w:after="180"/>
        <w:jc w:val="left"/>
        <w:textAlignment w:val="baseline"/>
        <w:rPr>
          <w:rFonts w:ascii="Times New Roman" w:hAnsi="Times New Roman"/>
          <w:sz w:val="20"/>
          <w:szCs w:val="20"/>
        </w:rPr>
      </w:pPr>
      <w:r>
        <w:rPr>
          <w:rFonts w:hint="eastAsia" w:ascii="Times New Roman" w:hAnsi="Times New Roman"/>
          <w:sz w:val="20"/>
          <w:szCs w:val="20"/>
        </w:rPr>
        <w:t>[</w:t>
      </w:r>
      <w:r>
        <w:rPr>
          <w:rFonts w:ascii="Times New Roman" w:hAnsi="Times New Roman"/>
          <w:sz w:val="20"/>
          <w:szCs w:val="20"/>
        </w:rPr>
        <w:t xml:space="preserve">1] </w:t>
      </w:r>
      <w:r>
        <w:rPr>
          <w:rFonts w:ascii="Times New Roman" w:hAnsi="Times New Roman"/>
          <w:sz w:val="20"/>
          <w:szCs w:val="20"/>
        </w:rPr>
        <w:fldChar w:fldCharType="begin"/>
      </w:r>
      <w:r>
        <w:rPr>
          <w:rFonts w:ascii="Times New Roman" w:hAnsi="Times New Roman"/>
          <w:sz w:val="20"/>
          <w:szCs w:val="20"/>
        </w:rPr>
        <w:instrText xml:space="preserve"> HYPERLINK "file:///D:\\RAN4%23107\\Docs\\R4-2310277.zip" </w:instrText>
      </w:r>
      <w:r>
        <w:rPr>
          <w:rFonts w:ascii="Times New Roman" w:hAnsi="Times New Roman"/>
          <w:sz w:val="20"/>
          <w:szCs w:val="20"/>
        </w:rPr>
        <w:fldChar w:fldCharType="separate"/>
      </w:r>
      <w:r>
        <w:rPr>
          <w:rFonts w:ascii="Times New Roman" w:hAnsi="Times New Roman"/>
          <w:sz w:val="20"/>
          <w:szCs w:val="20"/>
        </w:rPr>
        <w:t>R4-2310499</w:t>
      </w:r>
      <w:r>
        <w:rPr>
          <w:rFonts w:ascii="Times New Roman" w:hAnsi="Times New Roman"/>
          <w:sz w:val="20"/>
          <w:szCs w:val="20"/>
        </w:rPr>
        <w:fldChar w:fldCharType="end"/>
      </w:r>
      <w:r>
        <w:rPr>
          <w:rFonts w:ascii="Times New Roman" w:hAnsi="Times New Roman"/>
          <w:sz w:val="20"/>
          <w:szCs w:val="20"/>
        </w:rPr>
        <w:t>, WF on lower MSD, Huawei, HiSilicon</w:t>
      </w:r>
    </w:p>
    <w:p>
      <w:pPr>
        <w:widowControl/>
        <w:overflowPunct w:val="0"/>
        <w:autoSpaceDE w:val="0"/>
        <w:autoSpaceDN w:val="0"/>
        <w:adjustRightInd w:val="0"/>
        <w:spacing w:after="180"/>
        <w:jc w:val="left"/>
        <w:textAlignment w:val="baseline"/>
        <w:rPr>
          <w:rFonts w:ascii="Times New Roman" w:hAnsi="Times New Roman"/>
          <w:sz w:val="20"/>
          <w:szCs w:val="20"/>
        </w:rPr>
      </w:pPr>
      <w:r>
        <w:rPr>
          <w:rFonts w:hint="eastAsia" w:ascii="Times New Roman" w:hAnsi="Times New Roman"/>
          <w:sz w:val="20"/>
          <w:szCs w:val="20"/>
        </w:rPr>
        <w:t>[</w:t>
      </w:r>
      <w:r>
        <w:rPr>
          <w:rFonts w:ascii="Times New Roman" w:hAnsi="Times New Roman"/>
          <w:sz w:val="20"/>
          <w:szCs w:val="20"/>
        </w:rPr>
        <w:t>2] R4-2220513, TP for TR 38.881: Feasibility study from companies and conclusion for lower MSD improvement, Huawei, HiSilicon</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FA1C65"/>
    <w:multiLevelType w:val="multilevel"/>
    <w:tmpl w:val="2DFA1C6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ACB0F9D"/>
    <w:multiLevelType w:val="multilevel"/>
    <w:tmpl w:val="4ACB0F9D"/>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741352EE"/>
    <w:multiLevelType w:val="multilevel"/>
    <w:tmpl w:val="741352EE"/>
    <w:lvl w:ilvl="0" w:tentative="0">
      <w:start w:val="1"/>
      <w:numFmt w:val="decimal"/>
      <w:lvlText w:val="%1)"/>
      <w:lvlJc w:val="left"/>
      <w:pPr>
        <w:ind w:left="360" w:hanging="360"/>
      </w:pPr>
      <w:rPr>
        <w:rFonts w:hint="default" w:ascii="Times New Roman" w:hAnsi="Times New Roman" w:cs="Times New Roman" w:eastAsiaTheme="minorEastAsia"/>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48D0DCF"/>
    <w:multiLevelType w:val="multilevel"/>
    <w:tmpl w:val="748D0DC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5E"/>
    <w:rsid w:val="00000BE6"/>
    <w:rsid w:val="00001E66"/>
    <w:rsid w:val="00002C4E"/>
    <w:rsid w:val="00002DFE"/>
    <w:rsid w:val="00003434"/>
    <w:rsid w:val="0000389F"/>
    <w:rsid w:val="000041CA"/>
    <w:rsid w:val="00004218"/>
    <w:rsid w:val="0000477F"/>
    <w:rsid w:val="00005C73"/>
    <w:rsid w:val="00005E84"/>
    <w:rsid w:val="00006174"/>
    <w:rsid w:val="00006196"/>
    <w:rsid w:val="000110E1"/>
    <w:rsid w:val="0001126C"/>
    <w:rsid w:val="00011927"/>
    <w:rsid w:val="00012C96"/>
    <w:rsid w:val="000138E6"/>
    <w:rsid w:val="000160EF"/>
    <w:rsid w:val="00016BC2"/>
    <w:rsid w:val="00021DD4"/>
    <w:rsid w:val="0002231B"/>
    <w:rsid w:val="000223C3"/>
    <w:rsid w:val="000224EE"/>
    <w:rsid w:val="00023A89"/>
    <w:rsid w:val="000241CD"/>
    <w:rsid w:val="00024959"/>
    <w:rsid w:val="00025E8F"/>
    <w:rsid w:val="00026563"/>
    <w:rsid w:val="0003025B"/>
    <w:rsid w:val="00030957"/>
    <w:rsid w:val="000328EF"/>
    <w:rsid w:val="0003334A"/>
    <w:rsid w:val="00034492"/>
    <w:rsid w:val="00035DA1"/>
    <w:rsid w:val="000367A0"/>
    <w:rsid w:val="00036D6A"/>
    <w:rsid w:val="00037958"/>
    <w:rsid w:val="00037971"/>
    <w:rsid w:val="00040C35"/>
    <w:rsid w:val="00041CAA"/>
    <w:rsid w:val="0004256C"/>
    <w:rsid w:val="00043E8D"/>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601B"/>
    <w:rsid w:val="00057657"/>
    <w:rsid w:val="00057897"/>
    <w:rsid w:val="00057B7E"/>
    <w:rsid w:val="0006046B"/>
    <w:rsid w:val="000606D3"/>
    <w:rsid w:val="00062456"/>
    <w:rsid w:val="00065984"/>
    <w:rsid w:val="000660F4"/>
    <w:rsid w:val="0006714C"/>
    <w:rsid w:val="00067233"/>
    <w:rsid w:val="00067A9F"/>
    <w:rsid w:val="00067CB6"/>
    <w:rsid w:val="00070B68"/>
    <w:rsid w:val="00070E60"/>
    <w:rsid w:val="000723D4"/>
    <w:rsid w:val="00072662"/>
    <w:rsid w:val="000726EB"/>
    <w:rsid w:val="000728AA"/>
    <w:rsid w:val="00073F35"/>
    <w:rsid w:val="00075657"/>
    <w:rsid w:val="00076555"/>
    <w:rsid w:val="00076807"/>
    <w:rsid w:val="00077008"/>
    <w:rsid w:val="0007788D"/>
    <w:rsid w:val="000803EE"/>
    <w:rsid w:val="000811BE"/>
    <w:rsid w:val="000811CA"/>
    <w:rsid w:val="00081EC1"/>
    <w:rsid w:val="000821A7"/>
    <w:rsid w:val="00082505"/>
    <w:rsid w:val="000826EF"/>
    <w:rsid w:val="00082B6E"/>
    <w:rsid w:val="00083941"/>
    <w:rsid w:val="000843EB"/>
    <w:rsid w:val="000849ED"/>
    <w:rsid w:val="00084B99"/>
    <w:rsid w:val="00084C93"/>
    <w:rsid w:val="00085793"/>
    <w:rsid w:val="0008586E"/>
    <w:rsid w:val="00085BA6"/>
    <w:rsid w:val="00085D8F"/>
    <w:rsid w:val="00085E61"/>
    <w:rsid w:val="00086A1F"/>
    <w:rsid w:val="00087747"/>
    <w:rsid w:val="00087810"/>
    <w:rsid w:val="00087A2B"/>
    <w:rsid w:val="000902B5"/>
    <w:rsid w:val="00090A5D"/>
    <w:rsid w:val="000915BB"/>
    <w:rsid w:val="00092C18"/>
    <w:rsid w:val="00093923"/>
    <w:rsid w:val="00094343"/>
    <w:rsid w:val="00094958"/>
    <w:rsid w:val="00094CA7"/>
    <w:rsid w:val="00095D91"/>
    <w:rsid w:val="00096706"/>
    <w:rsid w:val="00096BD7"/>
    <w:rsid w:val="00096FF5"/>
    <w:rsid w:val="000971FE"/>
    <w:rsid w:val="00097FBD"/>
    <w:rsid w:val="000A01AE"/>
    <w:rsid w:val="000A0963"/>
    <w:rsid w:val="000A0AE8"/>
    <w:rsid w:val="000A0AF7"/>
    <w:rsid w:val="000A0F64"/>
    <w:rsid w:val="000A1716"/>
    <w:rsid w:val="000A1BD7"/>
    <w:rsid w:val="000A2385"/>
    <w:rsid w:val="000A2EF0"/>
    <w:rsid w:val="000A3424"/>
    <w:rsid w:val="000A3F70"/>
    <w:rsid w:val="000A49BA"/>
    <w:rsid w:val="000A57C5"/>
    <w:rsid w:val="000A645B"/>
    <w:rsid w:val="000A6969"/>
    <w:rsid w:val="000A7904"/>
    <w:rsid w:val="000B032D"/>
    <w:rsid w:val="000B2B56"/>
    <w:rsid w:val="000B3D40"/>
    <w:rsid w:val="000B3FE5"/>
    <w:rsid w:val="000B4020"/>
    <w:rsid w:val="000B4DDB"/>
    <w:rsid w:val="000B518C"/>
    <w:rsid w:val="000B55D1"/>
    <w:rsid w:val="000B55F7"/>
    <w:rsid w:val="000B70D9"/>
    <w:rsid w:val="000B7D23"/>
    <w:rsid w:val="000B7F0C"/>
    <w:rsid w:val="000C13D1"/>
    <w:rsid w:val="000C140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4810"/>
    <w:rsid w:val="000D52DA"/>
    <w:rsid w:val="000D58C0"/>
    <w:rsid w:val="000D61DC"/>
    <w:rsid w:val="000D630F"/>
    <w:rsid w:val="000D633B"/>
    <w:rsid w:val="000D6A04"/>
    <w:rsid w:val="000D6FD9"/>
    <w:rsid w:val="000E001B"/>
    <w:rsid w:val="000E0496"/>
    <w:rsid w:val="000E09ED"/>
    <w:rsid w:val="000E25FF"/>
    <w:rsid w:val="000E3ACD"/>
    <w:rsid w:val="000E4074"/>
    <w:rsid w:val="000E40CA"/>
    <w:rsid w:val="000E426E"/>
    <w:rsid w:val="000E43B1"/>
    <w:rsid w:val="000E49F8"/>
    <w:rsid w:val="000E4C01"/>
    <w:rsid w:val="000E4C06"/>
    <w:rsid w:val="000E54B1"/>
    <w:rsid w:val="000E6251"/>
    <w:rsid w:val="000E7663"/>
    <w:rsid w:val="000E784B"/>
    <w:rsid w:val="000E7F07"/>
    <w:rsid w:val="000F0B4E"/>
    <w:rsid w:val="000F115E"/>
    <w:rsid w:val="000F145F"/>
    <w:rsid w:val="000F15DF"/>
    <w:rsid w:val="000F41BC"/>
    <w:rsid w:val="000F448A"/>
    <w:rsid w:val="000F4F18"/>
    <w:rsid w:val="000F57C5"/>
    <w:rsid w:val="000F5E62"/>
    <w:rsid w:val="000F6C2C"/>
    <w:rsid w:val="000F700F"/>
    <w:rsid w:val="000F70C1"/>
    <w:rsid w:val="000F70C8"/>
    <w:rsid w:val="000F750E"/>
    <w:rsid w:val="000F78E3"/>
    <w:rsid w:val="000F7D73"/>
    <w:rsid w:val="000F7E4D"/>
    <w:rsid w:val="00100638"/>
    <w:rsid w:val="0010099B"/>
    <w:rsid w:val="00100D0E"/>
    <w:rsid w:val="0010121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381"/>
    <w:rsid w:val="001203E7"/>
    <w:rsid w:val="0012056F"/>
    <w:rsid w:val="00122897"/>
    <w:rsid w:val="001229DE"/>
    <w:rsid w:val="001234EB"/>
    <w:rsid w:val="00123E6B"/>
    <w:rsid w:val="00123EFD"/>
    <w:rsid w:val="0012443C"/>
    <w:rsid w:val="00124A2B"/>
    <w:rsid w:val="00125087"/>
    <w:rsid w:val="0012587A"/>
    <w:rsid w:val="001259CF"/>
    <w:rsid w:val="00126631"/>
    <w:rsid w:val="0013029D"/>
    <w:rsid w:val="00131B3F"/>
    <w:rsid w:val="001326C6"/>
    <w:rsid w:val="001330E3"/>
    <w:rsid w:val="0013477E"/>
    <w:rsid w:val="00136C36"/>
    <w:rsid w:val="00136C7A"/>
    <w:rsid w:val="001377DA"/>
    <w:rsid w:val="00137BE3"/>
    <w:rsid w:val="00137E20"/>
    <w:rsid w:val="00140557"/>
    <w:rsid w:val="00140720"/>
    <w:rsid w:val="00141986"/>
    <w:rsid w:val="00142174"/>
    <w:rsid w:val="00142427"/>
    <w:rsid w:val="0014248C"/>
    <w:rsid w:val="001426C4"/>
    <w:rsid w:val="00143120"/>
    <w:rsid w:val="0014396A"/>
    <w:rsid w:val="00143F1D"/>
    <w:rsid w:val="00144D5C"/>
    <w:rsid w:val="001453E6"/>
    <w:rsid w:val="001469A6"/>
    <w:rsid w:val="00146ADC"/>
    <w:rsid w:val="00147B02"/>
    <w:rsid w:val="00150059"/>
    <w:rsid w:val="001502CC"/>
    <w:rsid w:val="00151417"/>
    <w:rsid w:val="001554DD"/>
    <w:rsid w:val="00155651"/>
    <w:rsid w:val="00155E52"/>
    <w:rsid w:val="001560D6"/>
    <w:rsid w:val="001563D0"/>
    <w:rsid w:val="00156DAC"/>
    <w:rsid w:val="00157E37"/>
    <w:rsid w:val="001606D6"/>
    <w:rsid w:val="00160888"/>
    <w:rsid w:val="001611C4"/>
    <w:rsid w:val="00161662"/>
    <w:rsid w:val="00161ABF"/>
    <w:rsid w:val="001630E5"/>
    <w:rsid w:val="00163A38"/>
    <w:rsid w:val="00164CFB"/>
    <w:rsid w:val="00165020"/>
    <w:rsid w:val="0016673D"/>
    <w:rsid w:val="00167D5F"/>
    <w:rsid w:val="001702A7"/>
    <w:rsid w:val="00171892"/>
    <w:rsid w:val="00171ABF"/>
    <w:rsid w:val="00172290"/>
    <w:rsid w:val="001725F0"/>
    <w:rsid w:val="00173CED"/>
    <w:rsid w:val="00173FA9"/>
    <w:rsid w:val="001741D3"/>
    <w:rsid w:val="00175D1F"/>
    <w:rsid w:val="00176F93"/>
    <w:rsid w:val="00180138"/>
    <w:rsid w:val="00180913"/>
    <w:rsid w:val="00181052"/>
    <w:rsid w:val="00182088"/>
    <w:rsid w:val="001820E3"/>
    <w:rsid w:val="00182911"/>
    <w:rsid w:val="00182D78"/>
    <w:rsid w:val="00182F03"/>
    <w:rsid w:val="00183E23"/>
    <w:rsid w:val="0018424B"/>
    <w:rsid w:val="00184340"/>
    <w:rsid w:val="00186210"/>
    <w:rsid w:val="0018641E"/>
    <w:rsid w:val="0018699F"/>
    <w:rsid w:val="00186ACD"/>
    <w:rsid w:val="0018778C"/>
    <w:rsid w:val="00187A01"/>
    <w:rsid w:val="00187DD2"/>
    <w:rsid w:val="00191E0E"/>
    <w:rsid w:val="00193A94"/>
    <w:rsid w:val="00193DED"/>
    <w:rsid w:val="00194755"/>
    <w:rsid w:val="00194EBD"/>
    <w:rsid w:val="00195377"/>
    <w:rsid w:val="00196EDF"/>
    <w:rsid w:val="00197252"/>
    <w:rsid w:val="00197697"/>
    <w:rsid w:val="00197F64"/>
    <w:rsid w:val="001A08E2"/>
    <w:rsid w:val="001A0B1F"/>
    <w:rsid w:val="001A22BD"/>
    <w:rsid w:val="001A3034"/>
    <w:rsid w:val="001A32E3"/>
    <w:rsid w:val="001A43E9"/>
    <w:rsid w:val="001A4EEC"/>
    <w:rsid w:val="001A59A4"/>
    <w:rsid w:val="001A63AE"/>
    <w:rsid w:val="001A77D0"/>
    <w:rsid w:val="001A7F9A"/>
    <w:rsid w:val="001B46BA"/>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46CD"/>
    <w:rsid w:val="001D4833"/>
    <w:rsid w:val="001D5025"/>
    <w:rsid w:val="001D51C0"/>
    <w:rsid w:val="001D63C0"/>
    <w:rsid w:val="001D66A9"/>
    <w:rsid w:val="001D66E0"/>
    <w:rsid w:val="001D7806"/>
    <w:rsid w:val="001E0606"/>
    <w:rsid w:val="001E0907"/>
    <w:rsid w:val="001E15AF"/>
    <w:rsid w:val="001E19F9"/>
    <w:rsid w:val="001E1E04"/>
    <w:rsid w:val="001E2427"/>
    <w:rsid w:val="001E2508"/>
    <w:rsid w:val="001E258A"/>
    <w:rsid w:val="001E2602"/>
    <w:rsid w:val="001E338A"/>
    <w:rsid w:val="001E4BC8"/>
    <w:rsid w:val="001E5085"/>
    <w:rsid w:val="001E6F56"/>
    <w:rsid w:val="001E71AC"/>
    <w:rsid w:val="001E7AE1"/>
    <w:rsid w:val="001F1181"/>
    <w:rsid w:val="001F17EC"/>
    <w:rsid w:val="001F227B"/>
    <w:rsid w:val="001F2616"/>
    <w:rsid w:val="001F27D3"/>
    <w:rsid w:val="001F2FBC"/>
    <w:rsid w:val="001F4212"/>
    <w:rsid w:val="001F4600"/>
    <w:rsid w:val="001F461F"/>
    <w:rsid w:val="001F6320"/>
    <w:rsid w:val="001F6630"/>
    <w:rsid w:val="001F7EA2"/>
    <w:rsid w:val="00200526"/>
    <w:rsid w:val="00200E98"/>
    <w:rsid w:val="0020138B"/>
    <w:rsid w:val="00202428"/>
    <w:rsid w:val="00202BC3"/>
    <w:rsid w:val="00203046"/>
    <w:rsid w:val="00203DEC"/>
    <w:rsid w:val="002046F0"/>
    <w:rsid w:val="0020494F"/>
    <w:rsid w:val="002068E6"/>
    <w:rsid w:val="00210F23"/>
    <w:rsid w:val="00211040"/>
    <w:rsid w:val="00211DD0"/>
    <w:rsid w:val="00211F9F"/>
    <w:rsid w:val="00212427"/>
    <w:rsid w:val="002131E0"/>
    <w:rsid w:val="00213A14"/>
    <w:rsid w:val="00214B90"/>
    <w:rsid w:val="00214D42"/>
    <w:rsid w:val="00215703"/>
    <w:rsid w:val="002159B3"/>
    <w:rsid w:val="00217A20"/>
    <w:rsid w:val="00217E97"/>
    <w:rsid w:val="002210C0"/>
    <w:rsid w:val="002211D8"/>
    <w:rsid w:val="0022141D"/>
    <w:rsid w:val="00221F31"/>
    <w:rsid w:val="00222116"/>
    <w:rsid w:val="00222860"/>
    <w:rsid w:val="00222A08"/>
    <w:rsid w:val="0022300D"/>
    <w:rsid w:val="00223A14"/>
    <w:rsid w:val="00224C40"/>
    <w:rsid w:val="00224E27"/>
    <w:rsid w:val="002314FD"/>
    <w:rsid w:val="002333B8"/>
    <w:rsid w:val="00233587"/>
    <w:rsid w:val="0023392F"/>
    <w:rsid w:val="00233B01"/>
    <w:rsid w:val="00234010"/>
    <w:rsid w:val="002352B8"/>
    <w:rsid w:val="00235FEF"/>
    <w:rsid w:val="002370D6"/>
    <w:rsid w:val="002376C8"/>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DB1"/>
    <w:rsid w:val="00247F8B"/>
    <w:rsid w:val="002501E8"/>
    <w:rsid w:val="00250C1F"/>
    <w:rsid w:val="00251EED"/>
    <w:rsid w:val="002521CD"/>
    <w:rsid w:val="00252AC2"/>
    <w:rsid w:val="00253AF9"/>
    <w:rsid w:val="0025420E"/>
    <w:rsid w:val="00255035"/>
    <w:rsid w:val="00256340"/>
    <w:rsid w:val="002564E9"/>
    <w:rsid w:val="00256E16"/>
    <w:rsid w:val="00256E91"/>
    <w:rsid w:val="00257BCC"/>
    <w:rsid w:val="00257CD7"/>
    <w:rsid w:val="00262638"/>
    <w:rsid w:val="002628DD"/>
    <w:rsid w:val="00262B4C"/>
    <w:rsid w:val="00263E14"/>
    <w:rsid w:val="002643F2"/>
    <w:rsid w:val="00264A81"/>
    <w:rsid w:val="00264B16"/>
    <w:rsid w:val="00265211"/>
    <w:rsid w:val="00266120"/>
    <w:rsid w:val="0026729B"/>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8C1"/>
    <w:rsid w:val="002879AA"/>
    <w:rsid w:val="00287B65"/>
    <w:rsid w:val="0029022F"/>
    <w:rsid w:val="002922BF"/>
    <w:rsid w:val="00292FC0"/>
    <w:rsid w:val="00292FD3"/>
    <w:rsid w:val="002946D1"/>
    <w:rsid w:val="00294A39"/>
    <w:rsid w:val="00296039"/>
    <w:rsid w:val="002967E4"/>
    <w:rsid w:val="00296B2A"/>
    <w:rsid w:val="002A0026"/>
    <w:rsid w:val="002A0945"/>
    <w:rsid w:val="002A09B6"/>
    <w:rsid w:val="002A1C86"/>
    <w:rsid w:val="002A231D"/>
    <w:rsid w:val="002A317E"/>
    <w:rsid w:val="002A44FF"/>
    <w:rsid w:val="002A584D"/>
    <w:rsid w:val="002A62D7"/>
    <w:rsid w:val="002A733D"/>
    <w:rsid w:val="002A75A5"/>
    <w:rsid w:val="002A77DC"/>
    <w:rsid w:val="002A7ED3"/>
    <w:rsid w:val="002B0EF7"/>
    <w:rsid w:val="002B1386"/>
    <w:rsid w:val="002B1981"/>
    <w:rsid w:val="002B241D"/>
    <w:rsid w:val="002B2707"/>
    <w:rsid w:val="002B2CAD"/>
    <w:rsid w:val="002B2F56"/>
    <w:rsid w:val="002B3197"/>
    <w:rsid w:val="002B3896"/>
    <w:rsid w:val="002B3F1E"/>
    <w:rsid w:val="002B5B3F"/>
    <w:rsid w:val="002B715D"/>
    <w:rsid w:val="002B76C8"/>
    <w:rsid w:val="002C098A"/>
    <w:rsid w:val="002C29FD"/>
    <w:rsid w:val="002C4583"/>
    <w:rsid w:val="002C4601"/>
    <w:rsid w:val="002C59C0"/>
    <w:rsid w:val="002C5F33"/>
    <w:rsid w:val="002C6923"/>
    <w:rsid w:val="002C6A8B"/>
    <w:rsid w:val="002C6F34"/>
    <w:rsid w:val="002D009B"/>
    <w:rsid w:val="002D12B5"/>
    <w:rsid w:val="002D2108"/>
    <w:rsid w:val="002D289B"/>
    <w:rsid w:val="002D4B5F"/>
    <w:rsid w:val="002D54B2"/>
    <w:rsid w:val="002D6388"/>
    <w:rsid w:val="002D6479"/>
    <w:rsid w:val="002D6937"/>
    <w:rsid w:val="002D6D05"/>
    <w:rsid w:val="002D6F2A"/>
    <w:rsid w:val="002D706F"/>
    <w:rsid w:val="002D726E"/>
    <w:rsid w:val="002D75B8"/>
    <w:rsid w:val="002D78D1"/>
    <w:rsid w:val="002D7966"/>
    <w:rsid w:val="002D7DEE"/>
    <w:rsid w:val="002E043B"/>
    <w:rsid w:val="002E0CA4"/>
    <w:rsid w:val="002E1212"/>
    <w:rsid w:val="002E126F"/>
    <w:rsid w:val="002E23B9"/>
    <w:rsid w:val="002E389B"/>
    <w:rsid w:val="002E4D43"/>
    <w:rsid w:val="002E5905"/>
    <w:rsid w:val="002E767C"/>
    <w:rsid w:val="002E7994"/>
    <w:rsid w:val="002F0378"/>
    <w:rsid w:val="002F0C66"/>
    <w:rsid w:val="002F0E6F"/>
    <w:rsid w:val="002F1412"/>
    <w:rsid w:val="002F2D0B"/>
    <w:rsid w:val="002F4775"/>
    <w:rsid w:val="002F4B9F"/>
    <w:rsid w:val="002F4E56"/>
    <w:rsid w:val="002F52C9"/>
    <w:rsid w:val="002F6B83"/>
    <w:rsid w:val="002F6EBC"/>
    <w:rsid w:val="002F7E7F"/>
    <w:rsid w:val="00301513"/>
    <w:rsid w:val="00301B1D"/>
    <w:rsid w:val="00301E73"/>
    <w:rsid w:val="00302114"/>
    <w:rsid w:val="00302C9A"/>
    <w:rsid w:val="003042F7"/>
    <w:rsid w:val="0030517F"/>
    <w:rsid w:val="003052A2"/>
    <w:rsid w:val="0030539A"/>
    <w:rsid w:val="00305566"/>
    <w:rsid w:val="00306853"/>
    <w:rsid w:val="00307676"/>
    <w:rsid w:val="003102A7"/>
    <w:rsid w:val="00310A06"/>
    <w:rsid w:val="00310B4B"/>
    <w:rsid w:val="0031152E"/>
    <w:rsid w:val="003118A2"/>
    <w:rsid w:val="003119B8"/>
    <w:rsid w:val="00312136"/>
    <w:rsid w:val="00314888"/>
    <w:rsid w:val="00314999"/>
    <w:rsid w:val="0031509D"/>
    <w:rsid w:val="003159FD"/>
    <w:rsid w:val="003166F0"/>
    <w:rsid w:val="00316C05"/>
    <w:rsid w:val="00316DAE"/>
    <w:rsid w:val="00316FE6"/>
    <w:rsid w:val="003202FD"/>
    <w:rsid w:val="0032061B"/>
    <w:rsid w:val="00321265"/>
    <w:rsid w:val="003212EF"/>
    <w:rsid w:val="0032140F"/>
    <w:rsid w:val="0032226D"/>
    <w:rsid w:val="003228F5"/>
    <w:rsid w:val="003237D2"/>
    <w:rsid w:val="00325EB5"/>
    <w:rsid w:val="00327DA9"/>
    <w:rsid w:val="003300C5"/>
    <w:rsid w:val="0033073D"/>
    <w:rsid w:val="00330D7C"/>
    <w:rsid w:val="00330FBB"/>
    <w:rsid w:val="003316DF"/>
    <w:rsid w:val="003320BB"/>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8DD"/>
    <w:rsid w:val="00345D3B"/>
    <w:rsid w:val="00346B8F"/>
    <w:rsid w:val="00347607"/>
    <w:rsid w:val="003476FF"/>
    <w:rsid w:val="00350D07"/>
    <w:rsid w:val="003512E8"/>
    <w:rsid w:val="0035206D"/>
    <w:rsid w:val="00352B4D"/>
    <w:rsid w:val="00352FBC"/>
    <w:rsid w:val="003532FA"/>
    <w:rsid w:val="00354080"/>
    <w:rsid w:val="003542AC"/>
    <w:rsid w:val="00354D4B"/>
    <w:rsid w:val="00356BF7"/>
    <w:rsid w:val="00357465"/>
    <w:rsid w:val="00360585"/>
    <w:rsid w:val="003607F6"/>
    <w:rsid w:val="00363ABA"/>
    <w:rsid w:val="003641E4"/>
    <w:rsid w:val="00364EBA"/>
    <w:rsid w:val="00364F85"/>
    <w:rsid w:val="00365004"/>
    <w:rsid w:val="0036541A"/>
    <w:rsid w:val="00366467"/>
    <w:rsid w:val="0036723A"/>
    <w:rsid w:val="0036727B"/>
    <w:rsid w:val="00367312"/>
    <w:rsid w:val="0036745D"/>
    <w:rsid w:val="003677FB"/>
    <w:rsid w:val="00367A29"/>
    <w:rsid w:val="00367BC5"/>
    <w:rsid w:val="00370F86"/>
    <w:rsid w:val="00371172"/>
    <w:rsid w:val="00371B0F"/>
    <w:rsid w:val="003741FD"/>
    <w:rsid w:val="00374AF0"/>
    <w:rsid w:val="00375C06"/>
    <w:rsid w:val="00375D11"/>
    <w:rsid w:val="00376121"/>
    <w:rsid w:val="00376316"/>
    <w:rsid w:val="00376FF5"/>
    <w:rsid w:val="0037749A"/>
    <w:rsid w:val="003776F7"/>
    <w:rsid w:val="003779F7"/>
    <w:rsid w:val="00377AB0"/>
    <w:rsid w:val="003805A0"/>
    <w:rsid w:val="00381A9F"/>
    <w:rsid w:val="003820B9"/>
    <w:rsid w:val="00382D05"/>
    <w:rsid w:val="00383660"/>
    <w:rsid w:val="003836CF"/>
    <w:rsid w:val="00383798"/>
    <w:rsid w:val="003837ED"/>
    <w:rsid w:val="003841DE"/>
    <w:rsid w:val="00384DEC"/>
    <w:rsid w:val="00385B7F"/>
    <w:rsid w:val="00387DE0"/>
    <w:rsid w:val="0039099D"/>
    <w:rsid w:val="003916B5"/>
    <w:rsid w:val="003925A8"/>
    <w:rsid w:val="00392BAD"/>
    <w:rsid w:val="003934F2"/>
    <w:rsid w:val="00394CDD"/>
    <w:rsid w:val="00395100"/>
    <w:rsid w:val="00395B8C"/>
    <w:rsid w:val="00396539"/>
    <w:rsid w:val="00396C6D"/>
    <w:rsid w:val="00396D76"/>
    <w:rsid w:val="00397BAF"/>
    <w:rsid w:val="003A03F9"/>
    <w:rsid w:val="003A07B8"/>
    <w:rsid w:val="003A30AB"/>
    <w:rsid w:val="003A3B4E"/>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612"/>
    <w:rsid w:val="003B74FC"/>
    <w:rsid w:val="003C0A8E"/>
    <w:rsid w:val="003C24C4"/>
    <w:rsid w:val="003C258B"/>
    <w:rsid w:val="003C261C"/>
    <w:rsid w:val="003C27C4"/>
    <w:rsid w:val="003C28A5"/>
    <w:rsid w:val="003C2F55"/>
    <w:rsid w:val="003C347D"/>
    <w:rsid w:val="003C36FB"/>
    <w:rsid w:val="003C39A7"/>
    <w:rsid w:val="003C466D"/>
    <w:rsid w:val="003C57A7"/>
    <w:rsid w:val="003C6757"/>
    <w:rsid w:val="003C6A82"/>
    <w:rsid w:val="003C7A12"/>
    <w:rsid w:val="003C7B4D"/>
    <w:rsid w:val="003D2ADD"/>
    <w:rsid w:val="003D2BC1"/>
    <w:rsid w:val="003D38C7"/>
    <w:rsid w:val="003D3A57"/>
    <w:rsid w:val="003D3A7F"/>
    <w:rsid w:val="003E0160"/>
    <w:rsid w:val="003E10D8"/>
    <w:rsid w:val="003E17AD"/>
    <w:rsid w:val="003E277F"/>
    <w:rsid w:val="003E2DD6"/>
    <w:rsid w:val="003E309D"/>
    <w:rsid w:val="003E5A30"/>
    <w:rsid w:val="003E5EF2"/>
    <w:rsid w:val="003E7BAA"/>
    <w:rsid w:val="003E7F0E"/>
    <w:rsid w:val="003F00D7"/>
    <w:rsid w:val="003F1C84"/>
    <w:rsid w:val="003F2035"/>
    <w:rsid w:val="003F2587"/>
    <w:rsid w:val="003F35CF"/>
    <w:rsid w:val="003F42A4"/>
    <w:rsid w:val="003F51E3"/>
    <w:rsid w:val="003F789E"/>
    <w:rsid w:val="003F7F29"/>
    <w:rsid w:val="00401353"/>
    <w:rsid w:val="004017E5"/>
    <w:rsid w:val="00403E79"/>
    <w:rsid w:val="0040406D"/>
    <w:rsid w:val="00405536"/>
    <w:rsid w:val="004100DE"/>
    <w:rsid w:val="00410B17"/>
    <w:rsid w:val="004111A1"/>
    <w:rsid w:val="004119D3"/>
    <w:rsid w:val="00411B75"/>
    <w:rsid w:val="00412C28"/>
    <w:rsid w:val="00413198"/>
    <w:rsid w:val="004161E4"/>
    <w:rsid w:val="0041689A"/>
    <w:rsid w:val="00416DB1"/>
    <w:rsid w:val="004175A3"/>
    <w:rsid w:val="00417A3F"/>
    <w:rsid w:val="00417DB5"/>
    <w:rsid w:val="00420023"/>
    <w:rsid w:val="0042006B"/>
    <w:rsid w:val="004204B5"/>
    <w:rsid w:val="004206E1"/>
    <w:rsid w:val="004207F8"/>
    <w:rsid w:val="00421911"/>
    <w:rsid w:val="004220D7"/>
    <w:rsid w:val="00422DCE"/>
    <w:rsid w:val="00422E4F"/>
    <w:rsid w:val="00423805"/>
    <w:rsid w:val="004259E8"/>
    <w:rsid w:val="00425EB3"/>
    <w:rsid w:val="00426FA5"/>
    <w:rsid w:val="0042784A"/>
    <w:rsid w:val="00427A38"/>
    <w:rsid w:val="00427A81"/>
    <w:rsid w:val="00427D11"/>
    <w:rsid w:val="0043006D"/>
    <w:rsid w:val="00430342"/>
    <w:rsid w:val="00430A60"/>
    <w:rsid w:val="00431546"/>
    <w:rsid w:val="004341FC"/>
    <w:rsid w:val="00434694"/>
    <w:rsid w:val="00434DD5"/>
    <w:rsid w:val="00434E36"/>
    <w:rsid w:val="004354E1"/>
    <w:rsid w:val="004359A1"/>
    <w:rsid w:val="00437BD1"/>
    <w:rsid w:val="00440184"/>
    <w:rsid w:val="00441225"/>
    <w:rsid w:val="0044165B"/>
    <w:rsid w:val="0044191B"/>
    <w:rsid w:val="00441B32"/>
    <w:rsid w:val="0044386A"/>
    <w:rsid w:val="00443A65"/>
    <w:rsid w:val="00443AA8"/>
    <w:rsid w:val="0044454A"/>
    <w:rsid w:val="004446DC"/>
    <w:rsid w:val="00445856"/>
    <w:rsid w:val="00445F0B"/>
    <w:rsid w:val="004466EB"/>
    <w:rsid w:val="00446756"/>
    <w:rsid w:val="00447554"/>
    <w:rsid w:val="00450AB2"/>
    <w:rsid w:val="00452D97"/>
    <w:rsid w:val="00452E40"/>
    <w:rsid w:val="004541E1"/>
    <w:rsid w:val="00455BEC"/>
    <w:rsid w:val="00455E60"/>
    <w:rsid w:val="00456777"/>
    <w:rsid w:val="00456965"/>
    <w:rsid w:val="0046114F"/>
    <w:rsid w:val="00461E88"/>
    <w:rsid w:val="00461F16"/>
    <w:rsid w:val="00463037"/>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6E47"/>
    <w:rsid w:val="00477590"/>
    <w:rsid w:val="00477DED"/>
    <w:rsid w:val="00480698"/>
    <w:rsid w:val="00480F1F"/>
    <w:rsid w:val="0048130A"/>
    <w:rsid w:val="004814F7"/>
    <w:rsid w:val="004818BB"/>
    <w:rsid w:val="004825C6"/>
    <w:rsid w:val="00482A24"/>
    <w:rsid w:val="00483893"/>
    <w:rsid w:val="00484073"/>
    <w:rsid w:val="00484901"/>
    <w:rsid w:val="0048494B"/>
    <w:rsid w:val="0048586D"/>
    <w:rsid w:val="00485F10"/>
    <w:rsid w:val="0048642B"/>
    <w:rsid w:val="00486747"/>
    <w:rsid w:val="004871B0"/>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622"/>
    <w:rsid w:val="004A22A7"/>
    <w:rsid w:val="004A35BF"/>
    <w:rsid w:val="004A3E25"/>
    <w:rsid w:val="004A3F95"/>
    <w:rsid w:val="004A4122"/>
    <w:rsid w:val="004A4965"/>
    <w:rsid w:val="004A5660"/>
    <w:rsid w:val="004A583B"/>
    <w:rsid w:val="004A5996"/>
    <w:rsid w:val="004A5AD1"/>
    <w:rsid w:val="004A6E76"/>
    <w:rsid w:val="004A7F9C"/>
    <w:rsid w:val="004B01F7"/>
    <w:rsid w:val="004B0211"/>
    <w:rsid w:val="004B1424"/>
    <w:rsid w:val="004B179D"/>
    <w:rsid w:val="004B1C55"/>
    <w:rsid w:val="004B2330"/>
    <w:rsid w:val="004B2E50"/>
    <w:rsid w:val="004B3ACD"/>
    <w:rsid w:val="004B3F71"/>
    <w:rsid w:val="004B4E16"/>
    <w:rsid w:val="004B6C9D"/>
    <w:rsid w:val="004B7ECF"/>
    <w:rsid w:val="004C0275"/>
    <w:rsid w:val="004C046C"/>
    <w:rsid w:val="004C04CB"/>
    <w:rsid w:val="004C0923"/>
    <w:rsid w:val="004C2097"/>
    <w:rsid w:val="004C27F1"/>
    <w:rsid w:val="004C3A97"/>
    <w:rsid w:val="004C4033"/>
    <w:rsid w:val="004C513A"/>
    <w:rsid w:val="004C5C91"/>
    <w:rsid w:val="004D14B5"/>
    <w:rsid w:val="004D185F"/>
    <w:rsid w:val="004D1EF3"/>
    <w:rsid w:val="004D36E6"/>
    <w:rsid w:val="004D3E30"/>
    <w:rsid w:val="004D40A1"/>
    <w:rsid w:val="004D4695"/>
    <w:rsid w:val="004D5F7E"/>
    <w:rsid w:val="004D6171"/>
    <w:rsid w:val="004D6FD2"/>
    <w:rsid w:val="004D7559"/>
    <w:rsid w:val="004E0F79"/>
    <w:rsid w:val="004E11C5"/>
    <w:rsid w:val="004E12A8"/>
    <w:rsid w:val="004E1789"/>
    <w:rsid w:val="004E1999"/>
    <w:rsid w:val="004E1A33"/>
    <w:rsid w:val="004E2782"/>
    <w:rsid w:val="004E2887"/>
    <w:rsid w:val="004E31F6"/>
    <w:rsid w:val="004E3836"/>
    <w:rsid w:val="004E3A93"/>
    <w:rsid w:val="004E6011"/>
    <w:rsid w:val="004E64DB"/>
    <w:rsid w:val="004E7582"/>
    <w:rsid w:val="004E780E"/>
    <w:rsid w:val="004E7B3E"/>
    <w:rsid w:val="004E7D19"/>
    <w:rsid w:val="004F0458"/>
    <w:rsid w:val="004F0B06"/>
    <w:rsid w:val="004F0FC0"/>
    <w:rsid w:val="004F125E"/>
    <w:rsid w:val="004F5464"/>
    <w:rsid w:val="004F5F34"/>
    <w:rsid w:val="004F5F6B"/>
    <w:rsid w:val="005008DD"/>
    <w:rsid w:val="00500DD8"/>
    <w:rsid w:val="00503695"/>
    <w:rsid w:val="00503B87"/>
    <w:rsid w:val="00503C75"/>
    <w:rsid w:val="00503CC1"/>
    <w:rsid w:val="00504054"/>
    <w:rsid w:val="00505085"/>
    <w:rsid w:val="0050558D"/>
    <w:rsid w:val="0050587B"/>
    <w:rsid w:val="00505AC8"/>
    <w:rsid w:val="0050631F"/>
    <w:rsid w:val="00506EC3"/>
    <w:rsid w:val="0051054D"/>
    <w:rsid w:val="005112E6"/>
    <w:rsid w:val="0051263F"/>
    <w:rsid w:val="0051494E"/>
    <w:rsid w:val="00514DEF"/>
    <w:rsid w:val="00514E78"/>
    <w:rsid w:val="00515E8F"/>
    <w:rsid w:val="00516221"/>
    <w:rsid w:val="005166D1"/>
    <w:rsid w:val="005169B2"/>
    <w:rsid w:val="00517014"/>
    <w:rsid w:val="00520F23"/>
    <w:rsid w:val="0052106B"/>
    <w:rsid w:val="005210CA"/>
    <w:rsid w:val="00521416"/>
    <w:rsid w:val="00521658"/>
    <w:rsid w:val="005227EB"/>
    <w:rsid w:val="0052365C"/>
    <w:rsid w:val="0052385C"/>
    <w:rsid w:val="00523A16"/>
    <w:rsid w:val="005242FE"/>
    <w:rsid w:val="005247B7"/>
    <w:rsid w:val="00526FF4"/>
    <w:rsid w:val="0052721A"/>
    <w:rsid w:val="005275FC"/>
    <w:rsid w:val="005300FD"/>
    <w:rsid w:val="00530310"/>
    <w:rsid w:val="00530439"/>
    <w:rsid w:val="005305F7"/>
    <w:rsid w:val="00530EF6"/>
    <w:rsid w:val="00533968"/>
    <w:rsid w:val="00534AAF"/>
    <w:rsid w:val="005352F5"/>
    <w:rsid w:val="005353CD"/>
    <w:rsid w:val="005359F9"/>
    <w:rsid w:val="005378E8"/>
    <w:rsid w:val="00537A80"/>
    <w:rsid w:val="0054069E"/>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313"/>
    <w:rsid w:val="00546DF1"/>
    <w:rsid w:val="005507CB"/>
    <w:rsid w:val="0055103B"/>
    <w:rsid w:val="00551058"/>
    <w:rsid w:val="00553635"/>
    <w:rsid w:val="00553ACD"/>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A9F"/>
    <w:rsid w:val="00567932"/>
    <w:rsid w:val="00567DF7"/>
    <w:rsid w:val="00567E02"/>
    <w:rsid w:val="005722FC"/>
    <w:rsid w:val="00572CC7"/>
    <w:rsid w:val="005750D4"/>
    <w:rsid w:val="00575D53"/>
    <w:rsid w:val="005764B2"/>
    <w:rsid w:val="00576DA2"/>
    <w:rsid w:val="0057796C"/>
    <w:rsid w:val="0058053B"/>
    <w:rsid w:val="00580E38"/>
    <w:rsid w:val="0058142F"/>
    <w:rsid w:val="005815B1"/>
    <w:rsid w:val="005826E8"/>
    <w:rsid w:val="00582FB6"/>
    <w:rsid w:val="00583A1F"/>
    <w:rsid w:val="0058515D"/>
    <w:rsid w:val="00585FCE"/>
    <w:rsid w:val="00587E7B"/>
    <w:rsid w:val="00591008"/>
    <w:rsid w:val="0059190C"/>
    <w:rsid w:val="00592106"/>
    <w:rsid w:val="005922E0"/>
    <w:rsid w:val="00592AD8"/>
    <w:rsid w:val="00592B00"/>
    <w:rsid w:val="00593391"/>
    <w:rsid w:val="00594C77"/>
    <w:rsid w:val="005957E0"/>
    <w:rsid w:val="005958FC"/>
    <w:rsid w:val="00596300"/>
    <w:rsid w:val="00597A68"/>
    <w:rsid w:val="005A2F9D"/>
    <w:rsid w:val="005A407F"/>
    <w:rsid w:val="005A52B5"/>
    <w:rsid w:val="005A64C4"/>
    <w:rsid w:val="005A6668"/>
    <w:rsid w:val="005A6E56"/>
    <w:rsid w:val="005A757D"/>
    <w:rsid w:val="005A7720"/>
    <w:rsid w:val="005A7C55"/>
    <w:rsid w:val="005B0BB8"/>
    <w:rsid w:val="005B10D7"/>
    <w:rsid w:val="005B1A94"/>
    <w:rsid w:val="005B1AA8"/>
    <w:rsid w:val="005B2A74"/>
    <w:rsid w:val="005B32AA"/>
    <w:rsid w:val="005B368A"/>
    <w:rsid w:val="005B44DF"/>
    <w:rsid w:val="005B4A79"/>
    <w:rsid w:val="005B7524"/>
    <w:rsid w:val="005B75A2"/>
    <w:rsid w:val="005B7DE2"/>
    <w:rsid w:val="005C0DC7"/>
    <w:rsid w:val="005C6372"/>
    <w:rsid w:val="005C6829"/>
    <w:rsid w:val="005C69ED"/>
    <w:rsid w:val="005C6AE1"/>
    <w:rsid w:val="005C6E38"/>
    <w:rsid w:val="005C7684"/>
    <w:rsid w:val="005C7AF1"/>
    <w:rsid w:val="005D0B6E"/>
    <w:rsid w:val="005D0C74"/>
    <w:rsid w:val="005D1D6D"/>
    <w:rsid w:val="005D1F83"/>
    <w:rsid w:val="005D2156"/>
    <w:rsid w:val="005D2995"/>
    <w:rsid w:val="005D3A0C"/>
    <w:rsid w:val="005D3E37"/>
    <w:rsid w:val="005D498C"/>
    <w:rsid w:val="005D516B"/>
    <w:rsid w:val="005D6192"/>
    <w:rsid w:val="005D6809"/>
    <w:rsid w:val="005D69DD"/>
    <w:rsid w:val="005D7F7F"/>
    <w:rsid w:val="005E050E"/>
    <w:rsid w:val="005E1867"/>
    <w:rsid w:val="005E1969"/>
    <w:rsid w:val="005E1B6C"/>
    <w:rsid w:val="005E318A"/>
    <w:rsid w:val="005E37F0"/>
    <w:rsid w:val="005E39EA"/>
    <w:rsid w:val="005E521D"/>
    <w:rsid w:val="005E52A7"/>
    <w:rsid w:val="005E5317"/>
    <w:rsid w:val="005E5B3B"/>
    <w:rsid w:val="005E5F43"/>
    <w:rsid w:val="005E633F"/>
    <w:rsid w:val="005E7594"/>
    <w:rsid w:val="005E7C7A"/>
    <w:rsid w:val="005E7DAC"/>
    <w:rsid w:val="005F099F"/>
    <w:rsid w:val="005F0C6B"/>
    <w:rsid w:val="005F110B"/>
    <w:rsid w:val="005F1C9C"/>
    <w:rsid w:val="005F22C2"/>
    <w:rsid w:val="005F2A4A"/>
    <w:rsid w:val="005F38EE"/>
    <w:rsid w:val="005F3B84"/>
    <w:rsid w:val="005F4056"/>
    <w:rsid w:val="005F4F59"/>
    <w:rsid w:val="005F5651"/>
    <w:rsid w:val="005F5885"/>
    <w:rsid w:val="005F5A22"/>
    <w:rsid w:val="005F745A"/>
    <w:rsid w:val="00600F55"/>
    <w:rsid w:val="00601076"/>
    <w:rsid w:val="006012DA"/>
    <w:rsid w:val="00601A2F"/>
    <w:rsid w:val="00602E8B"/>
    <w:rsid w:val="006042B8"/>
    <w:rsid w:val="006044E9"/>
    <w:rsid w:val="00606398"/>
    <w:rsid w:val="00606402"/>
    <w:rsid w:val="00606BB4"/>
    <w:rsid w:val="00606F5F"/>
    <w:rsid w:val="00607FD5"/>
    <w:rsid w:val="0061007F"/>
    <w:rsid w:val="006116A1"/>
    <w:rsid w:val="00611985"/>
    <w:rsid w:val="00612000"/>
    <w:rsid w:val="00612375"/>
    <w:rsid w:val="00614160"/>
    <w:rsid w:val="00614CC8"/>
    <w:rsid w:val="00614CFA"/>
    <w:rsid w:val="00616292"/>
    <w:rsid w:val="006162A3"/>
    <w:rsid w:val="006179F5"/>
    <w:rsid w:val="00624355"/>
    <w:rsid w:val="006244B7"/>
    <w:rsid w:val="00624638"/>
    <w:rsid w:val="00624854"/>
    <w:rsid w:val="00624FA9"/>
    <w:rsid w:val="00625778"/>
    <w:rsid w:val="0062733F"/>
    <w:rsid w:val="00627D11"/>
    <w:rsid w:val="00630129"/>
    <w:rsid w:val="00630434"/>
    <w:rsid w:val="0063090B"/>
    <w:rsid w:val="00630D0A"/>
    <w:rsid w:val="006323A5"/>
    <w:rsid w:val="00632431"/>
    <w:rsid w:val="00632675"/>
    <w:rsid w:val="006329E7"/>
    <w:rsid w:val="00634384"/>
    <w:rsid w:val="0063439D"/>
    <w:rsid w:val="00635C2B"/>
    <w:rsid w:val="0063614F"/>
    <w:rsid w:val="00636267"/>
    <w:rsid w:val="006368AD"/>
    <w:rsid w:val="00636978"/>
    <w:rsid w:val="00637349"/>
    <w:rsid w:val="006402FA"/>
    <w:rsid w:val="006407FC"/>
    <w:rsid w:val="00640AE4"/>
    <w:rsid w:val="00640FF0"/>
    <w:rsid w:val="0064113E"/>
    <w:rsid w:val="006412C2"/>
    <w:rsid w:val="00642C85"/>
    <w:rsid w:val="00643A45"/>
    <w:rsid w:val="0064440D"/>
    <w:rsid w:val="00645994"/>
    <w:rsid w:val="00645E5C"/>
    <w:rsid w:val="0064608F"/>
    <w:rsid w:val="0064688B"/>
    <w:rsid w:val="00647310"/>
    <w:rsid w:val="0064770F"/>
    <w:rsid w:val="00650061"/>
    <w:rsid w:val="00650BA3"/>
    <w:rsid w:val="00651903"/>
    <w:rsid w:val="006527C5"/>
    <w:rsid w:val="0065331A"/>
    <w:rsid w:val="00653585"/>
    <w:rsid w:val="0065407A"/>
    <w:rsid w:val="00654517"/>
    <w:rsid w:val="00654CB1"/>
    <w:rsid w:val="0065538B"/>
    <w:rsid w:val="00655B16"/>
    <w:rsid w:val="00655C17"/>
    <w:rsid w:val="00655EC8"/>
    <w:rsid w:val="00655FBB"/>
    <w:rsid w:val="00660CE6"/>
    <w:rsid w:val="00661508"/>
    <w:rsid w:val="00662241"/>
    <w:rsid w:val="00662FCE"/>
    <w:rsid w:val="00663B36"/>
    <w:rsid w:val="00665342"/>
    <w:rsid w:val="0066574B"/>
    <w:rsid w:val="00665B97"/>
    <w:rsid w:val="00666079"/>
    <w:rsid w:val="00666FC6"/>
    <w:rsid w:val="00666FE5"/>
    <w:rsid w:val="00667691"/>
    <w:rsid w:val="00667B90"/>
    <w:rsid w:val="00667C01"/>
    <w:rsid w:val="0067015D"/>
    <w:rsid w:val="00671C0B"/>
    <w:rsid w:val="0067312A"/>
    <w:rsid w:val="006751C4"/>
    <w:rsid w:val="006758FA"/>
    <w:rsid w:val="0067601A"/>
    <w:rsid w:val="00676993"/>
    <w:rsid w:val="00676E11"/>
    <w:rsid w:val="0067721F"/>
    <w:rsid w:val="006776D4"/>
    <w:rsid w:val="00677828"/>
    <w:rsid w:val="006801F3"/>
    <w:rsid w:val="006813C6"/>
    <w:rsid w:val="006819D7"/>
    <w:rsid w:val="00682788"/>
    <w:rsid w:val="0068317C"/>
    <w:rsid w:val="00684ADA"/>
    <w:rsid w:val="00685378"/>
    <w:rsid w:val="00685C56"/>
    <w:rsid w:val="00685C81"/>
    <w:rsid w:val="0068642A"/>
    <w:rsid w:val="00686437"/>
    <w:rsid w:val="00686A8F"/>
    <w:rsid w:val="00686B6E"/>
    <w:rsid w:val="00686CBD"/>
    <w:rsid w:val="00687FBA"/>
    <w:rsid w:val="00687FC0"/>
    <w:rsid w:val="00691B85"/>
    <w:rsid w:val="00691C11"/>
    <w:rsid w:val="0069227D"/>
    <w:rsid w:val="00693C44"/>
    <w:rsid w:val="006941CA"/>
    <w:rsid w:val="00694CCE"/>
    <w:rsid w:val="00695570"/>
    <w:rsid w:val="0069575E"/>
    <w:rsid w:val="00695DA0"/>
    <w:rsid w:val="006960C8"/>
    <w:rsid w:val="00696996"/>
    <w:rsid w:val="006A0547"/>
    <w:rsid w:val="006A0A07"/>
    <w:rsid w:val="006A0D75"/>
    <w:rsid w:val="006A1DA8"/>
    <w:rsid w:val="006A2894"/>
    <w:rsid w:val="006A2E24"/>
    <w:rsid w:val="006A4E40"/>
    <w:rsid w:val="006A571E"/>
    <w:rsid w:val="006A57EA"/>
    <w:rsid w:val="006A68B0"/>
    <w:rsid w:val="006A6B04"/>
    <w:rsid w:val="006A6FE3"/>
    <w:rsid w:val="006A750A"/>
    <w:rsid w:val="006A7954"/>
    <w:rsid w:val="006A7EBB"/>
    <w:rsid w:val="006B014E"/>
    <w:rsid w:val="006B039D"/>
    <w:rsid w:val="006B06CA"/>
    <w:rsid w:val="006B0BB5"/>
    <w:rsid w:val="006B0C19"/>
    <w:rsid w:val="006B101D"/>
    <w:rsid w:val="006B1D20"/>
    <w:rsid w:val="006B1E8C"/>
    <w:rsid w:val="006B1F0D"/>
    <w:rsid w:val="006B2160"/>
    <w:rsid w:val="006B4AD6"/>
    <w:rsid w:val="006B4B3C"/>
    <w:rsid w:val="006B6BF5"/>
    <w:rsid w:val="006B7300"/>
    <w:rsid w:val="006B78DA"/>
    <w:rsid w:val="006B7FA7"/>
    <w:rsid w:val="006C0481"/>
    <w:rsid w:val="006C05E2"/>
    <w:rsid w:val="006C14A0"/>
    <w:rsid w:val="006C14B7"/>
    <w:rsid w:val="006C1772"/>
    <w:rsid w:val="006C17CE"/>
    <w:rsid w:val="006C1FC4"/>
    <w:rsid w:val="006C2048"/>
    <w:rsid w:val="006C2173"/>
    <w:rsid w:val="006C231A"/>
    <w:rsid w:val="006C240A"/>
    <w:rsid w:val="006C2FE1"/>
    <w:rsid w:val="006C3EB1"/>
    <w:rsid w:val="006C58E7"/>
    <w:rsid w:val="006C5D13"/>
    <w:rsid w:val="006C5F24"/>
    <w:rsid w:val="006C60AC"/>
    <w:rsid w:val="006C7756"/>
    <w:rsid w:val="006D0155"/>
    <w:rsid w:val="006D11DF"/>
    <w:rsid w:val="006D314F"/>
    <w:rsid w:val="006D317A"/>
    <w:rsid w:val="006D4D27"/>
    <w:rsid w:val="006D4FB0"/>
    <w:rsid w:val="006D54C4"/>
    <w:rsid w:val="006D57BF"/>
    <w:rsid w:val="006D58E6"/>
    <w:rsid w:val="006D5B25"/>
    <w:rsid w:val="006D62AD"/>
    <w:rsid w:val="006D6C00"/>
    <w:rsid w:val="006D6D52"/>
    <w:rsid w:val="006D7C07"/>
    <w:rsid w:val="006D7C78"/>
    <w:rsid w:val="006E07EB"/>
    <w:rsid w:val="006E0CEA"/>
    <w:rsid w:val="006E0E47"/>
    <w:rsid w:val="006E1825"/>
    <w:rsid w:val="006E1914"/>
    <w:rsid w:val="006E3B58"/>
    <w:rsid w:val="006E3DE3"/>
    <w:rsid w:val="006E4B0B"/>
    <w:rsid w:val="006E5911"/>
    <w:rsid w:val="006E59FD"/>
    <w:rsid w:val="006E5B04"/>
    <w:rsid w:val="006E6B53"/>
    <w:rsid w:val="006E778B"/>
    <w:rsid w:val="006E7B77"/>
    <w:rsid w:val="006F0917"/>
    <w:rsid w:val="006F0920"/>
    <w:rsid w:val="006F0C64"/>
    <w:rsid w:val="006F1C31"/>
    <w:rsid w:val="006F2B18"/>
    <w:rsid w:val="006F2E59"/>
    <w:rsid w:val="006F361B"/>
    <w:rsid w:val="006F385A"/>
    <w:rsid w:val="006F410A"/>
    <w:rsid w:val="006F49E6"/>
    <w:rsid w:val="006F4FDF"/>
    <w:rsid w:val="006F551A"/>
    <w:rsid w:val="007021D8"/>
    <w:rsid w:val="00702A9F"/>
    <w:rsid w:val="00702B61"/>
    <w:rsid w:val="007032BB"/>
    <w:rsid w:val="00704004"/>
    <w:rsid w:val="007048D3"/>
    <w:rsid w:val="007069AC"/>
    <w:rsid w:val="00707A45"/>
    <w:rsid w:val="00710904"/>
    <w:rsid w:val="00711223"/>
    <w:rsid w:val="007123C7"/>
    <w:rsid w:val="0071250C"/>
    <w:rsid w:val="007125BA"/>
    <w:rsid w:val="00712DB0"/>
    <w:rsid w:val="00714FA7"/>
    <w:rsid w:val="00715328"/>
    <w:rsid w:val="00715E9D"/>
    <w:rsid w:val="007164AB"/>
    <w:rsid w:val="007169C4"/>
    <w:rsid w:val="00716E29"/>
    <w:rsid w:val="00717EE5"/>
    <w:rsid w:val="007212ED"/>
    <w:rsid w:val="00722317"/>
    <w:rsid w:val="00723092"/>
    <w:rsid w:val="007230FF"/>
    <w:rsid w:val="00724EF7"/>
    <w:rsid w:val="00725311"/>
    <w:rsid w:val="00725C2F"/>
    <w:rsid w:val="0072669A"/>
    <w:rsid w:val="0073058E"/>
    <w:rsid w:val="007309C0"/>
    <w:rsid w:val="00730F30"/>
    <w:rsid w:val="007321B4"/>
    <w:rsid w:val="00732476"/>
    <w:rsid w:val="00732831"/>
    <w:rsid w:val="00732F2E"/>
    <w:rsid w:val="007334C3"/>
    <w:rsid w:val="00733F7E"/>
    <w:rsid w:val="00734A0E"/>
    <w:rsid w:val="00734BE4"/>
    <w:rsid w:val="00735679"/>
    <w:rsid w:val="00740339"/>
    <w:rsid w:val="007407E2"/>
    <w:rsid w:val="00742665"/>
    <w:rsid w:val="00742930"/>
    <w:rsid w:val="00743202"/>
    <w:rsid w:val="00743F77"/>
    <w:rsid w:val="0074547A"/>
    <w:rsid w:val="00745D91"/>
    <w:rsid w:val="0074649D"/>
    <w:rsid w:val="00750FFA"/>
    <w:rsid w:val="00751BDD"/>
    <w:rsid w:val="00753050"/>
    <w:rsid w:val="007533D9"/>
    <w:rsid w:val="0075342E"/>
    <w:rsid w:val="007535A2"/>
    <w:rsid w:val="0075394A"/>
    <w:rsid w:val="00754328"/>
    <w:rsid w:val="0075463E"/>
    <w:rsid w:val="007554A1"/>
    <w:rsid w:val="00755C00"/>
    <w:rsid w:val="00755C18"/>
    <w:rsid w:val="007561D1"/>
    <w:rsid w:val="00756CD6"/>
    <w:rsid w:val="00757359"/>
    <w:rsid w:val="00757BB7"/>
    <w:rsid w:val="00757D2F"/>
    <w:rsid w:val="00760F94"/>
    <w:rsid w:val="0076111D"/>
    <w:rsid w:val="007628E3"/>
    <w:rsid w:val="00762F9F"/>
    <w:rsid w:val="0076501B"/>
    <w:rsid w:val="0076540A"/>
    <w:rsid w:val="007655D8"/>
    <w:rsid w:val="00765F25"/>
    <w:rsid w:val="00766235"/>
    <w:rsid w:val="00766289"/>
    <w:rsid w:val="0076776F"/>
    <w:rsid w:val="00767B9C"/>
    <w:rsid w:val="00767C58"/>
    <w:rsid w:val="00767E21"/>
    <w:rsid w:val="00767E66"/>
    <w:rsid w:val="00770941"/>
    <w:rsid w:val="00770C83"/>
    <w:rsid w:val="00770F1D"/>
    <w:rsid w:val="00771BF6"/>
    <w:rsid w:val="007727DA"/>
    <w:rsid w:val="0077409E"/>
    <w:rsid w:val="00774C38"/>
    <w:rsid w:val="00775371"/>
    <w:rsid w:val="00775D4C"/>
    <w:rsid w:val="007760E1"/>
    <w:rsid w:val="007776FD"/>
    <w:rsid w:val="00777A75"/>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1112"/>
    <w:rsid w:val="0079192F"/>
    <w:rsid w:val="00791ED1"/>
    <w:rsid w:val="00791F89"/>
    <w:rsid w:val="00792658"/>
    <w:rsid w:val="007932ED"/>
    <w:rsid w:val="007940D7"/>
    <w:rsid w:val="00795B9A"/>
    <w:rsid w:val="007961E4"/>
    <w:rsid w:val="00797012"/>
    <w:rsid w:val="007A0FF1"/>
    <w:rsid w:val="007A109A"/>
    <w:rsid w:val="007A1DC1"/>
    <w:rsid w:val="007A22E6"/>
    <w:rsid w:val="007A246D"/>
    <w:rsid w:val="007A2714"/>
    <w:rsid w:val="007A2AAC"/>
    <w:rsid w:val="007A3193"/>
    <w:rsid w:val="007A37F7"/>
    <w:rsid w:val="007A3D70"/>
    <w:rsid w:val="007A41E0"/>
    <w:rsid w:val="007A5322"/>
    <w:rsid w:val="007A5DFE"/>
    <w:rsid w:val="007A6BD0"/>
    <w:rsid w:val="007A6CF2"/>
    <w:rsid w:val="007A7156"/>
    <w:rsid w:val="007A73CF"/>
    <w:rsid w:val="007A75DB"/>
    <w:rsid w:val="007A7617"/>
    <w:rsid w:val="007A7CC2"/>
    <w:rsid w:val="007B1AEA"/>
    <w:rsid w:val="007B2F1E"/>
    <w:rsid w:val="007B336D"/>
    <w:rsid w:val="007B4381"/>
    <w:rsid w:val="007B4889"/>
    <w:rsid w:val="007B5D88"/>
    <w:rsid w:val="007B6F5A"/>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D51"/>
    <w:rsid w:val="007D0FE7"/>
    <w:rsid w:val="007D1A5F"/>
    <w:rsid w:val="007D23DC"/>
    <w:rsid w:val="007D4B4F"/>
    <w:rsid w:val="007D516C"/>
    <w:rsid w:val="007D6A53"/>
    <w:rsid w:val="007D7BFA"/>
    <w:rsid w:val="007D7C8D"/>
    <w:rsid w:val="007E3AD6"/>
    <w:rsid w:val="007E421F"/>
    <w:rsid w:val="007E43BA"/>
    <w:rsid w:val="007E44CC"/>
    <w:rsid w:val="007E4646"/>
    <w:rsid w:val="007E5162"/>
    <w:rsid w:val="007E555D"/>
    <w:rsid w:val="007E63C9"/>
    <w:rsid w:val="007E6785"/>
    <w:rsid w:val="007E76F8"/>
    <w:rsid w:val="007E78E7"/>
    <w:rsid w:val="007F08DF"/>
    <w:rsid w:val="007F1B38"/>
    <w:rsid w:val="007F1BFD"/>
    <w:rsid w:val="007F1E29"/>
    <w:rsid w:val="007F2265"/>
    <w:rsid w:val="007F29B8"/>
    <w:rsid w:val="007F2AA5"/>
    <w:rsid w:val="007F39E8"/>
    <w:rsid w:val="007F4113"/>
    <w:rsid w:val="007F4FE8"/>
    <w:rsid w:val="007F614C"/>
    <w:rsid w:val="007F69A1"/>
    <w:rsid w:val="007F6ADD"/>
    <w:rsid w:val="007F6EDB"/>
    <w:rsid w:val="007F721E"/>
    <w:rsid w:val="007F7716"/>
    <w:rsid w:val="007F7D61"/>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96B"/>
    <w:rsid w:val="00816DD4"/>
    <w:rsid w:val="00817449"/>
    <w:rsid w:val="0081788F"/>
    <w:rsid w:val="00817915"/>
    <w:rsid w:val="008179E7"/>
    <w:rsid w:val="00817B5D"/>
    <w:rsid w:val="00817F8B"/>
    <w:rsid w:val="00820630"/>
    <w:rsid w:val="00820CC2"/>
    <w:rsid w:val="008224E6"/>
    <w:rsid w:val="008227A6"/>
    <w:rsid w:val="00824080"/>
    <w:rsid w:val="00824152"/>
    <w:rsid w:val="00824178"/>
    <w:rsid w:val="00824BCB"/>
    <w:rsid w:val="00824E14"/>
    <w:rsid w:val="00825207"/>
    <w:rsid w:val="00826711"/>
    <w:rsid w:val="00826DB0"/>
    <w:rsid w:val="0083022A"/>
    <w:rsid w:val="00830A5F"/>
    <w:rsid w:val="008319F7"/>
    <w:rsid w:val="00832101"/>
    <w:rsid w:val="0083337E"/>
    <w:rsid w:val="0083339E"/>
    <w:rsid w:val="00834A55"/>
    <w:rsid w:val="00834B97"/>
    <w:rsid w:val="008355B0"/>
    <w:rsid w:val="008374B8"/>
    <w:rsid w:val="00837A80"/>
    <w:rsid w:val="00840819"/>
    <w:rsid w:val="00840F95"/>
    <w:rsid w:val="00841618"/>
    <w:rsid w:val="00842B46"/>
    <w:rsid w:val="00842C6B"/>
    <w:rsid w:val="00843BD4"/>
    <w:rsid w:val="0084584D"/>
    <w:rsid w:val="0084692F"/>
    <w:rsid w:val="008471B7"/>
    <w:rsid w:val="00850E66"/>
    <w:rsid w:val="0085183E"/>
    <w:rsid w:val="00851F1C"/>
    <w:rsid w:val="00852499"/>
    <w:rsid w:val="00852F07"/>
    <w:rsid w:val="00853050"/>
    <w:rsid w:val="0085332D"/>
    <w:rsid w:val="00853C5E"/>
    <w:rsid w:val="008545FE"/>
    <w:rsid w:val="00855019"/>
    <w:rsid w:val="00856F1E"/>
    <w:rsid w:val="00857600"/>
    <w:rsid w:val="00862015"/>
    <w:rsid w:val="00862120"/>
    <w:rsid w:val="00862D36"/>
    <w:rsid w:val="00863171"/>
    <w:rsid w:val="00865DA4"/>
    <w:rsid w:val="0086612E"/>
    <w:rsid w:val="0086676B"/>
    <w:rsid w:val="00871DFD"/>
    <w:rsid w:val="00872E16"/>
    <w:rsid w:val="00872F12"/>
    <w:rsid w:val="008732C1"/>
    <w:rsid w:val="00873799"/>
    <w:rsid w:val="00874CD1"/>
    <w:rsid w:val="00875A53"/>
    <w:rsid w:val="0087668A"/>
    <w:rsid w:val="00876BF1"/>
    <w:rsid w:val="00877494"/>
    <w:rsid w:val="00877612"/>
    <w:rsid w:val="0087762C"/>
    <w:rsid w:val="00880666"/>
    <w:rsid w:val="00880E9C"/>
    <w:rsid w:val="008811D7"/>
    <w:rsid w:val="0088218A"/>
    <w:rsid w:val="00882A22"/>
    <w:rsid w:val="00884341"/>
    <w:rsid w:val="00884D26"/>
    <w:rsid w:val="00886316"/>
    <w:rsid w:val="008863D9"/>
    <w:rsid w:val="00887F82"/>
    <w:rsid w:val="008911A1"/>
    <w:rsid w:val="00891621"/>
    <w:rsid w:val="00891D3D"/>
    <w:rsid w:val="008937F8"/>
    <w:rsid w:val="00893DD5"/>
    <w:rsid w:val="00895047"/>
    <w:rsid w:val="00895331"/>
    <w:rsid w:val="00895C68"/>
    <w:rsid w:val="0089606D"/>
    <w:rsid w:val="0089678D"/>
    <w:rsid w:val="00896BAB"/>
    <w:rsid w:val="00896BFA"/>
    <w:rsid w:val="0089701B"/>
    <w:rsid w:val="008975D1"/>
    <w:rsid w:val="008A0830"/>
    <w:rsid w:val="008A0A4A"/>
    <w:rsid w:val="008A0FC1"/>
    <w:rsid w:val="008A25D3"/>
    <w:rsid w:val="008A285E"/>
    <w:rsid w:val="008A2B37"/>
    <w:rsid w:val="008A3610"/>
    <w:rsid w:val="008A38F3"/>
    <w:rsid w:val="008A3D9C"/>
    <w:rsid w:val="008A5F2B"/>
    <w:rsid w:val="008A675E"/>
    <w:rsid w:val="008A778E"/>
    <w:rsid w:val="008B034E"/>
    <w:rsid w:val="008B0C7A"/>
    <w:rsid w:val="008B143A"/>
    <w:rsid w:val="008B1F6A"/>
    <w:rsid w:val="008B317F"/>
    <w:rsid w:val="008B381B"/>
    <w:rsid w:val="008B4C84"/>
    <w:rsid w:val="008B590D"/>
    <w:rsid w:val="008B6ABF"/>
    <w:rsid w:val="008B7337"/>
    <w:rsid w:val="008C0AFC"/>
    <w:rsid w:val="008C2ADE"/>
    <w:rsid w:val="008C30AE"/>
    <w:rsid w:val="008C315B"/>
    <w:rsid w:val="008C33C2"/>
    <w:rsid w:val="008C3477"/>
    <w:rsid w:val="008C3721"/>
    <w:rsid w:val="008C4892"/>
    <w:rsid w:val="008C5548"/>
    <w:rsid w:val="008C5A9F"/>
    <w:rsid w:val="008C5DF9"/>
    <w:rsid w:val="008C5F35"/>
    <w:rsid w:val="008C5F5F"/>
    <w:rsid w:val="008C639B"/>
    <w:rsid w:val="008C659D"/>
    <w:rsid w:val="008D07C3"/>
    <w:rsid w:val="008D2904"/>
    <w:rsid w:val="008D30A3"/>
    <w:rsid w:val="008D3C99"/>
    <w:rsid w:val="008D3ECE"/>
    <w:rsid w:val="008D46CE"/>
    <w:rsid w:val="008D49B0"/>
    <w:rsid w:val="008D5365"/>
    <w:rsid w:val="008E005A"/>
    <w:rsid w:val="008E0ED1"/>
    <w:rsid w:val="008E1075"/>
    <w:rsid w:val="008E2274"/>
    <w:rsid w:val="008E2363"/>
    <w:rsid w:val="008E2565"/>
    <w:rsid w:val="008E2A97"/>
    <w:rsid w:val="008E2C48"/>
    <w:rsid w:val="008E2EDD"/>
    <w:rsid w:val="008E4462"/>
    <w:rsid w:val="008E6B18"/>
    <w:rsid w:val="008E7511"/>
    <w:rsid w:val="008E7EE9"/>
    <w:rsid w:val="008F1D32"/>
    <w:rsid w:val="008F29AD"/>
    <w:rsid w:val="008F3EDE"/>
    <w:rsid w:val="008F4240"/>
    <w:rsid w:val="008F4E72"/>
    <w:rsid w:val="008F6020"/>
    <w:rsid w:val="008F6333"/>
    <w:rsid w:val="008F7C8A"/>
    <w:rsid w:val="009003ED"/>
    <w:rsid w:val="00900620"/>
    <w:rsid w:val="00900A03"/>
    <w:rsid w:val="00900A13"/>
    <w:rsid w:val="00901CB8"/>
    <w:rsid w:val="00903842"/>
    <w:rsid w:val="00904951"/>
    <w:rsid w:val="0090604C"/>
    <w:rsid w:val="00906DC0"/>
    <w:rsid w:val="00907127"/>
    <w:rsid w:val="009074DC"/>
    <w:rsid w:val="009077D2"/>
    <w:rsid w:val="00910214"/>
    <w:rsid w:val="0091086C"/>
    <w:rsid w:val="009111AB"/>
    <w:rsid w:val="00911319"/>
    <w:rsid w:val="0091206B"/>
    <w:rsid w:val="009133E6"/>
    <w:rsid w:val="00913B2C"/>
    <w:rsid w:val="00913F8E"/>
    <w:rsid w:val="00914261"/>
    <w:rsid w:val="009156D4"/>
    <w:rsid w:val="009158C3"/>
    <w:rsid w:val="00915CD0"/>
    <w:rsid w:val="00915D99"/>
    <w:rsid w:val="0091658D"/>
    <w:rsid w:val="009165D1"/>
    <w:rsid w:val="00916731"/>
    <w:rsid w:val="009177D2"/>
    <w:rsid w:val="009203B0"/>
    <w:rsid w:val="00920877"/>
    <w:rsid w:val="00921E24"/>
    <w:rsid w:val="00922580"/>
    <w:rsid w:val="00923904"/>
    <w:rsid w:val="00924167"/>
    <w:rsid w:val="00926086"/>
    <w:rsid w:val="0092679B"/>
    <w:rsid w:val="00926D09"/>
    <w:rsid w:val="00927081"/>
    <w:rsid w:val="009270EE"/>
    <w:rsid w:val="00927355"/>
    <w:rsid w:val="00927AA5"/>
    <w:rsid w:val="00927DAA"/>
    <w:rsid w:val="00930D84"/>
    <w:rsid w:val="00931FE0"/>
    <w:rsid w:val="0093223F"/>
    <w:rsid w:val="00932F45"/>
    <w:rsid w:val="00933126"/>
    <w:rsid w:val="009333AF"/>
    <w:rsid w:val="00934C2C"/>
    <w:rsid w:val="009352E1"/>
    <w:rsid w:val="00935C4C"/>
    <w:rsid w:val="00935D91"/>
    <w:rsid w:val="00936AFE"/>
    <w:rsid w:val="00937A9C"/>
    <w:rsid w:val="009410C1"/>
    <w:rsid w:val="009430B2"/>
    <w:rsid w:val="00943230"/>
    <w:rsid w:val="00944882"/>
    <w:rsid w:val="00945965"/>
    <w:rsid w:val="00945F2D"/>
    <w:rsid w:val="00952904"/>
    <w:rsid w:val="00953299"/>
    <w:rsid w:val="009533EA"/>
    <w:rsid w:val="009537A1"/>
    <w:rsid w:val="009544CC"/>
    <w:rsid w:val="009547EC"/>
    <w:rsid w:val="0095502C"/>
    <w:rsid w:val="009550A5"/>
    <w:rsid w:val="00955290"/>
    <w:rsid w:val="00955F0E"/>
    <w:rsid w:val="00956081"/>
    <w:rsid w:val="00956206"/>
    <w:rsid w:val="00956A92"/>
    <w:rsid w:val="00961007"/>
    <w:rsid w:val="0096160D"/>
    <w:rsid w:val="0096366C"/>
    <w:rsid w:val="009639AF"/>
    <w:rsid w:val="0096622C"/>
    <w:rsid w:val="00966C59"/>
    <w:rsid w:val="009676F8"/>
    <w:rsid w:val="009701D3"/>
    <w:rsid w:val="00970397"/>
    <w:rsid w:val="00971C84"/>
    <w:rsid w:val="00971ECD"/>
    <w:rsid w:val="0097225F"/>
    <w:rsid w:val="00973399"/>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0C86"/>
    <w:rsid w:val="00991F86"/>
    <w:rsid w:val="00992ACA"/>
    <w:rsid w:val="009933E2"/>
    <w:rsid w:val="009945F0"/>
    <w:rsid w:val="00995764"/>
    <w:rsid w:val="00995A7C"/>
    <w:rsid w:val="009962DF"/>
    <w:rsid w:val="00996B36"/>
    <w:rsid w:val="00996CCF"/>
    <w:rsid w:val="00997189"/>
    <w:rsid w:val="009A0F15"/>
    <w:rsid w:val="009A1FDC"/>
    <w:rsid w:val="009A293D"/>
    <w:rsid w:val="009A2F0E"/>
    <w:rsid w:val="009A35F1"/>
    <w:rsid w:val="009A6801"/>
    <w:rsid w:val="009A684A"/>
    <w:rsid w:val="009A775B"/>
    <w:rsid w:val="009B03A9"/>
    <w:rsid w:val="009B06DB"/>
    <w:rsid w:val="009B0F1D"/>
    <w:rsid w:val="009B17B0"/>
    <w:rsid w:val="009B1C54"/>
    <w:rsid w:val="009B1C61"/>
    <w:rsid w:val="009B1EA2"/>
    <w:rsid w:val="009B23D6"/>
    <w:rsid w:val="009B293E"/>
    <w:rsid w:val="009B2ABD"/>
    <w:rsid w:val="009B3A57"/>
    <w:rsid w:val="009B3F10"/>
    <w:rsid w:val="009B496D"/>
    <w:rsid w:val="009B650A"/>
    <w:rsid w:val="009C04FD"/>
    <w:rsid w:val="009C107C"/>
    <w:rsid w:val="009C13BA"/>
    <w:rsid w:val="009C2060"/>
    <w:rsid w:val="009C32D1"/>
    <w:rsid w:val="009C3C78"/>
    <w:rsid w:val="009C51D0"/>
    <w:rsid w:val="009C550B"/>
    <w:rsid w:val="009C70AC"/>
    <w:rsid w:val="009C74C7"/>
    <w:rsid w:val="009D0D2C"/>
    <w:rsid w:val="009D0D57"/>
    <w:rsid w:val="009D1184"/>
    <w:rsid w:val="009D161A"/>
    <w:rsid w:val="009D1B3D"/>
    <w:rsid w:val="009D24D4"/>
    <w:rsid w:val="009D302B"/>
    <w:rsid w:val="009D3546"/>
    <w:rsid w:val="009D3917"/>
    <w:rsid w:val="009D4233"/>
    <w:rsid w:val="009D462F"/>
    <w:rsid w:val="009D466C"/>
    <w:rsid w:val="009D4BF9"/>
    <w:rsid w:val="009D5C8C"/>
    <w:rsid w:val="009D6114"/>
    <w:rsid w:val="009D6BED"/>
    <w:rsid w:val="009D7E18"/>
    <w:rsid w:val="009D7F03"/>
    <w:rsid w:val="009E0162"/>
    <w:rsid w:val="009E0C00"/>
    <w:rsid w:val="009E1DF0"/>
    <w:rsid w:val="009E25C2"/>
    <w:rsid w:val="009E266F"/>
    <w:rsid w:val="009E2A01"/>
    <w:rsid w:val="009E31BE"/>
    <w:rsid w:val="009E3544"/>
    <w:rsid w:val="009E36A8"/>
    <w:rsid w:val="009E5CE7"/>
    <w:rsid w:val="009E5DF4"/>
    <w:rsid w:val="009E6064"/>
    <w:rsid w:val="009E75B5"/>
    <w:rsid w:val="009E7D05"/>
    <w:rsid w:val="009F0643"/>
    <w:rsid w:val="009F075D"/>
    <w:rsid w:val="009F0C3A"/>
    <w:rsid w:val="009F143F"/>
    <w:rsid w:val="009F152E"/>
    <w:rsid w:val="009F1FCB"/>
    <w:rsid w:val="009F2056"/>
    <w:rsid w:val="009F2894"/>
    <w:rsid w:val="009F3277"/>
    <w:rsid w:val="009F3F3B"/>
    <w:rsid w:val="009F5A97"/>
    <w:rsid w:val="009F5C4A"/>
    <w:rsid w:val="009F649D"/>
    <w:rsid w:val="009F6F3E"/>
    <w:rsid w:val="009F718E"/>
    <w:rsid w:val="009F7435"/>
    <w:rsid w:val="009F761F"/>
    <w:rsid w:val="009F78D6"/>
    <w:rsid w:val="009F7C13"/>
    <w:rsid w:val="00A01397"/>
    <w:rsid w:val="00A02067"/>
    <w:rsid w:val="00A0299A"/>
    <w:rsid w:val="00A03B34"/>
    <w:rsid w:val="00A04464"/>
    <w:rsid w:val="00A04B57"/>
    <w:rsid w:val="00A04F28"/>
    <w:rsid w:val="00A0640F"/>
    <w:rsid w:val="00A07772"/>
    <w:rsid w:val="00A07F01"/>
    <w:rsid w:val="00A104FF"/>
    <w:rsid w:val="00A106F7"/>
    <w:rsid w:val="00A11224"/>
    <w:rsid w:val="00A1185E"/>
    <w:rsid w:val="00A11BF7"/>
    <w:rsid w:val="00A12072"/>
    <w:rsid w:val="00A12080"/>
    <w:rsid w:val="00A122F0"/>
    <w:rsid w:val="00A12F53"/>
    <w:rsid w:val="00A13062"/>
    <w:rsid w:val="00A13C9E"/>
    <w:rsid w:val="00A1407A"/>
    <w:rsid w:val="00A1660C"/>
    <w:rsid w:val="00A1685E"/>
    <w:rsid w:val="00A178D0"/>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854"/>
    <w:rsid w:val="00A34CCB"/>
    <w:rsid w:val="00A3780F"/>
    <w:rsid w:val="00A37E3F"/>
    <w:rsid w:val="00A4009E"/>
    <w:rsid w:val="00A40346"/>
    <w:rsid w:val="00A41A8D"/>
    <w:rsid w:val="00A42CA4"/>
    <w:rsid w:val="00A4314D"/>
    <w:rsid w:val="00A44BEA"/>
    <w:rsid w:val="00A453E6"/>
    <w:rsid w:val="00A465FB"/>
    <w:rsid w:val="00A46EB6"/>
    <w:rsid w:val="00A5007F"/>
    <w:rsid w:val="00A51424"/>
    <w:rsid w:val="00A52035"/>
    <w:rsid w:val="00A52122"/>
    <w:rsid w:val="00A522AE"/>
    <w:rsid w:val="00A52E98"/>
    <w:rsid w:val="00A5364D"/>
    <w:rsid w:val="00A5380F"/>
    <w:rsid w:val="00A542D6"/>
    <w:rsid w:val="00A5459F"/>
    <w:rsid w:val="00A54655"/>
    <w:rsid w:val="00A54B2D"/>
    <w:rsid w:val="00A55B66"/>
    <w:rsid w:val="00A56248"/>
    <w:rsid w:val="00A56572"/>
    <w:rsid w:val="00A60442"/>
    <w:rsid w:val="00A604FF"/>
    <w:rsid w:val="00A612E4"/>
    <w:rsid w:val="00A62763"/>
    <w:rsid w:val="00A6302A"/>
    <w:rsid w:val="00A6349C"/>
    <w:rsid w:val="00A63861"/>
    <w:rsid w:val="00A643FB"/>
    <w:rsid w:val="00A64429"/>
    <w:rsid w:val="00A6455A"/>
    <w:rsid w:val="00A65751"/>
    <w:rsid w:val="00A65830"/>
    <w:rsid w:val="00A660CF"/>
    <w:rsid w:val="00A66409"/>
    <w:rsid w:val="00A667A8"/>
    <w:rsid w:val="00A70F14"/>
    <w:rsid w:val="00A71B7E"/>
    <w:rsid w:val="00A71E1F"/>
    <w:rsid w:val="00A7270F"/>
    <w:rsid w:val="00A727A4"/>
    <w:rsid w:val="00A72EBF"/>
    <w:rsid w:val="00A737B3"/>
    <w:rsid w:val="00A73990"/>
    <w:rsid w:val="00A74469"/>
    <w:rsid w:val="00A75ADE"/>
    <w:rsid w:val="00A764CF"/>
    <w:rsid w:val="00A767DF"/>
    <w:rsid w:val="00A776C7"/>
    <w:rsid w:val="00A803F2"/>
    <w:rsid w:val="00A80EA8"/>
    <w:rsid w:val="00A8105F"/>
    <w:rsid w:val="00A81E4C"/>
    <w:rsid w:val="00A829AF"/>
    <w:rsid w:val="00A84352"/>
    <w:rsid w:val="00A84F99"/>
    <w:rsid w:val="00A84FB6"/>
    <w:rsid w:val="00A86328"/>
    <w:rsid w:val="00A86386"/>
    <w:rsid w:val="00A865C8"/>
    <w:rsid w:val="00A868BC"/>
    <w:rsid w:val="00A86F8F"/>
    <w:rsid w:val="00A90D66"/>
    <w:rsid w:val="00A91436"/>
    <w:rsid w:val="00A91D55"/>
    <w:rsid w:val="00A91EDF"/>
    <w:rsid w:val="00A91FCD"/>
    <w:rsid w:val="00A923A1"/>
    <w:rsid w:val="00A92576"/>
    <w:rsid w:val="00A9286B"/>
    <w:rsid w:val="00A928CA"/>
    <w:rsid w:val="00A93FE7"/>
    <w:rsid w:val="00A94F0A"/>
    <w:rsid w:val="00A95C6E"/>
    <w:rsid w:val="00A95E18"/>
    <w:rsid w:val="00A96319"/>
    <w:rsid w:val="00A9632A"/>
    <w:rsid w:val="00A96555"/>
    <w:rsid w:val="00AA0105"/>
    <w:rsid w:val="00AA019F"/>
    <w:rsid w:val="00AA1108"/>
    <w:rsid w:val="00AA257D"/>
    <w:rsid w:val="00AA2A02"/>
    <w:rsid w:val="00AA307C"/>
    <w:rsid w:val="00AA3782"/>
    <w:rsid w:val="00AA4DC5"/>
    <w:rsid w:val="00AA565D"/>
    <w:rsid w:val="00AA5C3E"/>
    <w:rsid w:val="00AA69EA"/>
    <w:rsid w:val="00AA6BF3"/>
    <w:rsid w:val="00AA727D"/>
    <w:rsid w:val="00AA7C27"/>
    <w:rsid w:val="00AB0E49"/>
    <w:rsid w:val="00AB1972"/>
    <w:rsid w:val="00AB19C7"/>
    <w:rsid w:val="00AB2A0E"/>
    <w:rsid w:val="00AB3997"/>
    <w:rsid w:val="00AB58F9"/>
    <w:rsid w:val="00AB5C2A"/>
    <w:rsid w:val="00AB5C94"/>
    <w:rsid w:val="00AB72EA"/>
    <w:rsid w:val="00AB755E"/>
    <w:rsid w:val="00AB75E0"/>
    <w:rsid w:val="00AB7DE4"/>
    <w:rsid w:val="00AC03F9"/>
    <w:rsid w:val="00AC15BB"/>
    <w:rsid w:val="00AC1CAB"/>
    <w:rsid w:val="00AC1F16"/>
    <w:rsid w:val="00AC2788"/>
    <w:rsid w:val="00AC2905"/>
    <w:rsid w:val="00AC37B8"/>
    <w:rsid w:val="00AC384E"/>
    <w:rsid w:val="00AC3CB0"/>
    <w:rsid w:val="00AC4FE7"/>
    <w:rsid w:val="00AC552D"/>
    <w:rsid w:val="00AC5CC9"/>
    <w:rsid w:val="00AC7124"/>
    <w:rsid w:val="00AC7C2E"/>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34"/>
    <w:rsid w:val="00AE2D8D"/>
    <w:rsid w:val="00AE2E55"/>
    <w:rsid w:val="00AE3031"/>
    <w:rsid w:val="00AE30B8"/>
    <w:rsid w:val="00AE3A35"/>
    <w:rsid w:val="00AE4849"/>
    <w:rsid w:val="00AE4BB9"/>
    <w:rsid w:val="00AE4CCB"/>
    <w:rsid w:val="00AE5335"/>
    <w:rsid w:val="00AE6994"/>
    <w:rsid w:val="00AE72DB"/>
    <w:rsid w:val="00AE730D"/>
    <w:rsid w:val="00AE7326"/>
    <w:rsid w:val="00AF050F"/>
    <w:rsid w:val="00AF08DE"/>
    <w:rsid w:val="00AF1FAA"/>
    <w:rsid w:val="00AF4202"/>
    <w:rsid w:val="00AF522D"/>
    <w:rsid w:val="00AF6BF3"/>
    <w:rsid w:val="00B008D3"/>
    <w:rsid w:val="00B00A7B"/>
    <w:rsid w:val="00B00B11"/>
    <w:rsid w:val="00B01224"/>
    <w:rsid w:val="00B01F4E"/>
    <w:rsid w:val="00B025A1"/>
    <w:rsid w:val="00B025D4"/>
    <w:rsid w:val="00B02AC8"/>
    <w:rsid w:val="00B02E1E"/>
    <w:rsid w:val="00B03AE4"/>
    <w:rsid w:val="00B040A1"/>
    <w:rsid w:val="00B0421D"/>
    <w:rsid w:val="00B058A5"/>
    <w:rsid w:val="00B05EB4"/>
    <w:rsid w:val="00B12225"/>
    <w:rsid w:val="00B129D0"/>
    <w:rsid w:val="00B12C3D"/>
    <w:rsid w:val="00B12FCF"/>
    <w:rsid w:val="00B13E3F"/>
    <w:rsid w:val="00B14EBC"/>
    <w:rsid w:val="00B15C24"/>
    <w:rsid w:val="00B15D42"/>
    <w:rsid w:val="00B15E56"/>
    <w:rsid w:val="00B23C21"/>
    <w:rsid w:val="00B23EDC"/>
    <w:rsid w:val="00B243F0"/>
    <w:rsid w:val="00B24975"/>
    <w:rsid w:val="00B24DE4"/>
    <w:rsid w:val="00B252F7"/>
    <w:rsid w:val="00B26232"/>
    <w:rsid w:val="00B26574"/>
    <w:rsid w:val="00B267F1"/>
    <w:rsid w:val="00B27BE3"/>
    <w:rsid w:val="00B31BEF"/>
    <w:rsid w:val="00B31EAB"/>
    <w:rsid w:val="00B32278"/>
    <w:rsid w:val="00B35354"/>
    <w:rsid w:val="00B353E3"/>
    <w:rsid w:val="00B37699"/>
    <w:rsid w:val="00B377F6"/>
    <w:rsid w:val="00B37979"/>
    <w:rsid w:val="00B404AC"/>
    <w:rsid w:val="00B40727"/>
    <w:rsid w:val="00B41104"/>
    <w:rsid w:val="00B42F70"/>
    <w:rsid w:val="00B43A50"/>
    <w:rsid w:val="00B44276"/>
    <w:rsid w:val="00B44D02"/>
    <w:rsid w:val="00B46B5C"/>
    <w:rsid w:val="00B472A8"/>
    <w:rsid w:val="00B4766A"/>
    <w:rsid w:val="00B50532"/>
    <w:rsid w:val="00B50B15"/>
    <w:rsid w:val="00B51DD2"/>
    <w:rsid w:val="00B51FE3"/>
    <w:rsid w:val="00B52205"/>
    <w:rsid w:val="00B5273A"/>
    <w:rsid w:val="00B5289C"/>
    <w:rsid w:val="00B52B42"/>
    <w:rsid w:val="00B53CF8"/>
    <w:rsid w:val="00B540A0"/>
    <w:rsid w:val="00B5443A"/>
    <w:rsid w:val="00B54BFC"/>
    <w:rsid w:val="00B54DC1"/>
    <w:rsid w:val="00B5545D"/>
    <w:rsid w:val="00B5573E"/>
    <w:rsid w:val="00B559E5"/>
    <w:rsid w:val="00B55BFB"/>
    <w:rsid w:val="00B563F8"/>
    <w:rsid w:val="00B5655E"/>
    <w:rsid w:val="00B570C0"/>
    <w:rsid w:val="00B5780D"/>
    <w:rsid w:val="00B57983"/>
    <w:rsid w:val="00B6054F"/>
    <w:rsid w:val="00B61BB4"/>
    <w:rsid w:val="00B62272"/>
    <w:rsid w:val="00B6256F"/>
    <w:rsid w:val="00B62881"/>
    <w:rsid w:val="00B639F9"/>
    <w:rsid w:val="00B63BBF"/>
    <w:rsid w:val="00B63D4B"/>
    <w:rsid w:val="00B640D9"/>
    <w:rsid w:val="00B64BAB"/>
    <w:rsid w:val="00B64BB8"/>
    <w:rsid w:val="00B654E9"/>
    <w:rsid w:val="00B6633E"/>
    <w:rsid w:val="00B67798"/>
    <w:rsid w:val="00B70686"/>
    <w:rsid w:val="00B70F53"/>
    <w:rsid w:val="00B7156D"/>
    <w:rsid w:val="00B71639"/>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9099F"/>
    <w:rsid w:val="00B90BEE"/>
    <w:rsid w:val="00B92F62"/>
    <w:rsid w:val="00B9324B"/>
    <w:rsid w:val="00B94F08"/>
    <w:rsid w:val="00B94FBC"/>
    <w:rsid w:val="00B9535D"/>
    <w:rsid w:val="00B95A66"/>
    <w:rsid w:val="00B95AA2"/>
    <w:rsid w:val="00B95B62"/>
    <w:rsid w:val="00B95C52"/>
    <w:rsid w:val="00B96025"/>
    <w:rsid w:val="00B96AF4"/>
    <w:rsid w:val="00B97C07"/>
    <w:rsid w:val="00BA04F2"/>
    <w:rsid w:val="00BA3304"/>
    <w:rsid w:val="00BA3D43"/>
    <w:rsid w:val="00BA4783"/>
    <w:rsid w:val="00BA4C32"/>
    <w:rsid w:val="00BA4C4F"/>
    <w:rsid w:val="00BA5AF0"/>
    <w:rsid w:val="00BA6595"/>
    <w:rsid w:val="00BA6A53"/>
    <w:rsid w:val="00BA6DE4"/>
    <w:rsid w:val="00BA765B"/>
    <w:rsid w:val="00BA7A38"/>
    <w:rsid w:val="00BA7A67"/>
    <w:rsid w:val="00BB0A7E"/>
    <w:rsid w:val="00BB170E"/>
    <w:rsid w:val="00BB1995"/>
    <w:rsid w:val="00BB1FE3"/>
    <w:rsid w:val="00BB285D"/>
    <w:rsid w:val="00BB29AD"/>
    <w:rsid w:val="00BB3F8F"/>
    <w:rsid w:val="00BB5BF1"/>
    <w:rsid w:val="00BB6619"/>
    <w:rsid w:val="00BB6F22"/>
    <w:rsid w:val="00BB7221"/>
    <w:rsid w:val="00BB72CE"/>
    <w:rsid w:val="00BB74FF"/>
    <w:rsid w:val="00BC05A5"/>
    <w:rsid w:val="00BC21E1"/>
    <w:rsid w:val="00BC320D"/>
    <w:rsid w:val="00BC4161"/>
    <w:rsid w:val="00BC5A8C"/>
    <w:rsid w:val="00BC67DC"/>
    <w:rsid w:val="00BC71D8"/>
    <w:rsid w:val="00BC75C2"/>
    <w:rsid w:val="00BD0394"/>
    <w:rsid w:val="00BD1613"/>
    <w:rsid w:val="00BD1B05"/>
    <w:rsid w:val="00BD28BC"/>
    <w:rsid w:val="00BD30C7"/>
    <w:rsid w:val="00BD3874"/>
    <w:rsid w:val="00BD49A8"/>
    <w:rsid w:val="00BD7072"/>
    <w:rsid w:val="00BD790A"/>
    <w:rsid w:val="00BD7DD0"/>
    <w:rsid w:val="00BE03DC"/>
    <w:rsid w:val="00BE09C2"/>
    <w:rsid w:val="00BE138C"/>
    <w:rsid w:val="00BE1DA0"/>
    <w:rsid w:val="00BE2130"/>
    <w:rsid w:val="00BE230E"/>
    <w:rsid w:val="00BE2C95"/>
    <w:rsid w:val="00BE6193"/>
    <w:rsid w:val="00BE73A0"/>
    <w:rsid w:val="00BE746D"/>
    <w:rsid w:val="00BE79B7"/>
    <w:rsid w:val="00BF02B8"/>
    <w:rsid w:val="00BF03DC"/>
    <w:rsid w:val="00BF0FCB"/>
    <w:rsid w:val="00BF345A"/>
    <w:rsid w:val="00BF5A85"/>
    <w:rsid w:val="00BF6796"/>
    <w:rsid w:val="00BF6CA4"/>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105FF"/>
    <w:rsid w:val="00C1061D"/>
    <w:rsid w:val="00C10797"/>
    <w:rsid w:val="00C10C29"/>
    <w:rsid w:val="00C11D8C"/>
    <w:rsid w:val="00C12328"/>
    <w:rsid w:val="00C128DC"/>
    <w:rsid w:val="00C14D53"/>
    <w:rsid w:val="00C1502F"/>
    <w:rsid w:val="00C15B2F"/>
    <w:rsid w:val="00C15D66"/>
    <w:rsid w:val="00C16AEC"/>
    <w:rsid w:val="00C17984"/>
    <w:rsid w:val="00C20161"/>
    <w:rsid w:val="00C2034A"/>
    <w:rsid w:val="00C203E9"/>
    <w:rsid w:val="00C21451"/>
    <w:rsid w:val="00C21853"/>
    <w:rsid w:val="00C22A10"/>
    <w:rsid w:val="00C24D7D"/>
    <w:rsid w:val="00C24DA1"/>
    <w:rsid w:val="00C254A3"/>
    <w:rsid w:val="00C27070"/>
    <w:rsid w:val="00C270E9"/>
    <w:rsid w:val="00C273E3"/>
    <w:rsid w:val="00C279FE"/>
    <w:rsid w:val="00C3036A"/>
    <w:rsid w:val="00C3036C"/>
    <w:rsid w:val="00C30376"/>
    <w:rsid w:val="00C3096D"/>
    <w:rsid w:val="00C3233C"/>
    <w:rsid w:val="00C334F3"/>
    <w:rsid w:val="00C339EF"/>
    <w:rsid w:val="00C33BD2"/>
    <w:rsid w:val="00C34B93"/>
    <w:rsid w:val="00C35037"/>
    <w:rsid w:val="00C37A93"/>
    <w:rsid w:val="00C412C3"/>
    <w:rsid w:val="00C41313"/>
    <w:rsid w:val="00C41873"/>
    <w:rsid w:val="00C418E8"/>
    <w:rsid w:val="00C42308"/>
    <w:rsid w:val="00C446D7"/>
    <w:rsid w:val="00C51075"/>
    <w:rsid w:val="00C510E0"/>
    <w:rsid w:val="00C51587"/>
    <w:rsid w:val="00C5263B"/>
    <w:rsid w:val="00C52A47"/>
    <w:rsid w:val="00C5325C"/>
    <w:rsid w:val="00C5342B"/>
    <w:rsid w:val="00C53434"/>
    <w:rsid w:val="00C54A4F"/>
    <w:rsid w:val="00C54DAD"/>
    <w:rsid w:val="00C54E91"/>
    <w:rsid w:val="00C550A9"/>
    <w:rsid w:val="00C55813"/>
    <w:rsid w:val="00C558FE"/>
    <w:rsid w:val="00C5683A"/>
    <w:rsid w:val="00C5749C"/>
    <w:rsid w:val="00C57B25"/>
    <w:rsid w:val="00C60912"/>
    <w:rsid w:val="00C60A78"/>
    <w:rsid w:val="00C612FA"/>
    <w:rsid w:val="00C62120"/>
    <w:rsid w:val="00C62AAE"/>
    <w:rsid w:val="00C62CB0"/>
    <w:rsid w:val="00C63A08"/>
    <w:rsid w:val="00C63E5C"/>
    <w:rsid w:val="00C63E64"/>
    <w:rsid w:val="00C64C4F"/>
    <w:rsid w:val="00C65985"/>
    <w:rsid w:val="00C65EF7"/>
    <w:rsid w:val="00C71100"/>
    <w:rsid w:val="00C71AFB"/>
    <w:rsid w:val="00C722F2"/>
    <w:rsid w:val="00C74360"/>
    <w:rsid w:val="00C74BC1"/>
    <w:rsid w:val="00C75570"/>
    <w:rsid w:val="00C75FE8"/>
    <w:rsid w:val="00C7648D"/>
    <w:rsid w:val="00C76957"/>
    <w:rsid w:val="00C76C19"/>
    <w:rsid w:val="00C76DCB"/>
    <w:rsid w:val="00C80C04"/>
    <w:rsid w:val="00C8111F"/>
    <w:rsid w:val="00C81147"/>
    <w:rsid w:val="00C814CE"/>
    <w:rsid w:val="00C81770"/>
    <w:rsid w:val="00C826DB"/>
    <w:rsid w:val="00C82917"/>
    <w:rsid w:val="00C83876"/>
    <w:rsid w:val="00C85A9D"/>
    <w:rsid w:val="00C85D9D"/>
    <w:rsid w:val="00C875B4"/>
    <w:rsid w:val="00C878F5"/>
    <w:rsid w:val="00C90163"/>
    <w:rsid w:val="00C903FF"/>
    <w:rsid w:val="00C90824"/>
    <w:rsid w:val="00C912D9"/>
    <w:rsid w:val="00C9256E"/>
    <w:rsid w:val="00C93184"/>
    <w:rsid w:val="00C968C3"/>
    <w:rsid w:val="00C970DC"/>
    <w:rsid w:val="00C97103"/>
    <w:rsid w:val="00C97896"/>
    <w:rsid w:val="00C97E18"/>
    <w:rsid w:val="00CA0847"/>
    <w:rsid w:val="00CA09D3"/>
    <w:rsid w:val="00CA1788"/>
    <w:rsid w:val="00CA1E69"/>
    <w:rsid w:val="00CA2A8B"/>
    <w:rsid w:val="00CA2C7A"/>
    <w:rsid w:val="00CA2DFD"/>
    <w:rsid w:val="00CA3D6F"/>
    <w:rsid w:val="00CA3DAE"/>
    <w:rsid w:val="00CA5C9B"/>
    <w:rsid w:val="00CA5D5F"/>
    <w:rsid w:val="00CA6209"/>
    <w:rsid w:val="00CA7347"/>
    <w:rsid w:val="00CB112F"/>
    <w:rsid w:val="00CB14F6"/>
    <w:rsid w:val="00CB1CF1"/>
    <w:rsid w:val="00CB229A"/>
    <w:rsid w:val="00CB28EA"/>
    <w:rsid w:val="00CB320F"/>
    <w:rsid w:val="00CB547E"/>
    <w:rsid w:val="00CB6CF9"/>
    <w:rsid w:val="00CB6DD9"/>
    <w:rsid w:val="00CB77C7"/>
    <w:rsid w:val="00CB77D8"/>
    <w:rsid w:val="00CB7B20"/>
    <w:rsid w:val="00CB7C62"/>
    <w:rsid w:val="00CC0CB4"/>
    <w:rsid w:val="00CC200D"/>
    <w:rsid w:val="00CC2902"/>
    <w:rsid w:val="00CC3CEF"/>
    <w:rsid w:val="00CC4CA8"/>
    <w:rsid w:val="00CC4CD6"/>
    <w:rsid w:val="00CC4DFE"/>
    <w:rsid w:val="00CC4FE7"/>
    <w:rsid w:val="00CC5284"/>
    <w:rsid w:val="00CC5EAF"/>
    <w:rsid w:val="00CC6750"/>
    <w:rsid w:val="00CC6A79"/>
    <w:rsid w:val="00CC6FEB"/>
    <w:rsid w:val="00CC7F5B"/>
    <w:rsid w:val="00CD0DDF"/>
    <w:rsid w:val="00CD167C"/>
    <w:rsid w:val="00CD1906"/>
    <w:rsid w:val="00CD21C9"/>
    <w:rsid w:val="00CD2AB4"/>
    <w:rsid w:val="00CD2C4A"/>
    <w:rsid w:val="00CD34B1"/>
    <w:rsid w:val="00CD381A"/>
    <w:rsid w:val="00CD5B89"/>
    <w:rsid w:val="00CD5BE2"/>
    <w:rsid w:val="00CD6A30"/>
    <w:rsid w:val="00CD6C68"/>
    <w:rsid w:val="00CD7F9B"/>
    <w:rsid w:val="00CD7FEA"/>
    <w:rsid w:val="00CE074C"/>
    <w:rsid w:val="00CE3D4E"/>
    <w:rsid w:val="00CE4085"/>
    <w:rsid w:val="00CE4474"/>
    <w:rsid w:val="00CE7379"/>
    <w:rsid w:val="00CF0C8F"/>
    <w:rsid w:val="00CF0EDF"/>
    <w:rsid w:val="00CF10DC"/>
    <w:rsid w:val="00CF12B7"/>
    <w:rsid w:val="00CF3694"/>
    <w:rsid w:val="00CF4B90"/>
    <w:rsid w:val="00CF4EB3"/>
    <w:rsid w:val="00CF52A2"/>
    <w:rsid w:val="00CF7148"/>
    <w:rsid w:val="00D01B04"/>
    <w:rsid w:val="00D032DC"/>
    <w:rsid w:val="00D03817"/>
    <w:rsid w:val="00D03B05"/>
    <w:rsid w:val="00D03D97"/>
    <w:rsid w:val="00D053F4"/>
    <w:rsid w:val="00D05EDE"/>
    <w:rsid w:val="00D0618E"/>
    <w:rsid w:val="00D06EE4"/>
    <w:rsid w:val="00D075DB"/>
    <w:rsid w:val="00D07939"/>
    <w:rsid w:val="00D10683"/>
    <w:rsid w:val="00D1116E"/>
    <w:rsid w:val="00D11DD8"/>
    <w:rsid w:val="00D11FDB"/>
    <w:rsid w:val="00D13116"/>
    <w:rsid w:val="00D1324A"/>
    <w:rsid w:val="00D139FA"/>
    <w:rsid w:val="00D145F2"/>
    <w:rsid w:val="00D14905"/>
    <w:rsid w:val="00D14C2D"/>
    <w:rsid w:val="00D14C9F"/>
    <w:rsid w:val="00D14DEC"/>
    <w:rsid w:val="00D156D6"/>
    <w:rsid w:val="00D15975"/>
    <w:rsid w:val="00D16BD0"/>
    <w:rsid w:val="00D21173"/>
    <w:rsid w:val="00D213B6"/>
    <w:rsid w:val="00D213E7"/>
    <w:rsid w:val="00D2227A"/>
    <w:rsid w:val="00D22522"/>
    <w:rsid w:val="00D234F7"/>
    <w:rsid w:val="00D23A2D"/>
    <w:rsid w:val="00D241FE"/>
    <w:rsid w:val="00D2530D"/>
    <w:rsid w:val="00D25C7F"/>
    <w:rsid w:val="00D25E40"/>
    <w:rsid w:val="00D26737"/>
    <w:rsid w:val="00D26F79"/>
    <w:rsid w:val="00D276EB"/>
    <w:rsid w:val="00D31606"/>
    <w:rsid w:val="00D31BF1"/>
    <w:rsid w:val="00D31C40"/>
    <w:rsid w:val="00D32FA4"/>
    <w:rsid w:val="00D33782"/>
    <w:rsid w:val="00D33E2E"/>
    <w:rsid w:val="00D34174"/>
    <w:rsid w:val="00D3452E"/>
    <w:rsid w:val="00D34866"/>
    <w:rsid w:val="00D36541"/>
    <w:rsid w:val="00D368B4"/>
    <w:rsid w:val="00D36E79"/>
    <w:rsid w:val="00D37333"/>
    <w:rsid w:val="00D3778F"/>
    <w:rsid w:val="00D37984"/>
    <w:rsid w:val="00D400B7"/>
    <w:rsid w:val="00D40CD8"/>
    <w:rsid w:val="00D40F34"/>
    <w:rsid w:val="00D42217"/>
    <w:rsid w:val="00D42366"/>
    <w:rsid w:val="00D42704"/>
    <w:rsid w:val="00D42985"/>
    <w:rsid w:val="00D430FC"/>
    <w:rsid w:val="00D438E1"/>
    <w:rsid w:val="00D43B8D"/>
    <w:rsid w:val="00D445C8"/>
    <w:rsid w:val="00D44E79"/>
    <w:rsid w:val="00D45B9B"/>
    <w:rsid w:val="00D4614A"/>
    <w:rsid w:val="00D46D8A"/>
    <w:rsid w:val="00D47084"/>
    <w:rsid w:val="00D474C1"/>
    <w:rsid w:val="00D47D8A"/>
    <w:rsid w:val="00D500B1"/>
    <w:rsid w:val="00D5098B"/>
    <w:rsid w:val="00D509B3"/>
    <w:rsid w:val="00D51C08"/>
    <w:rsid w:val="00D523C6"/>
    <w:rsid w:val="00D5344D"/>
    <w:rsid w:val="00D54E02"/>
    <w:rsid w:val="00D5596F"/>
    <w:rsid w:val="00D55BCB"/>
    <w:rsid w:val="00D5618B"/>
    <w:rsid w:val="00D56BAD"/>
    <w:rsid w:val="00D56CCB"/>
    <w:rsid w:val="00D56DF2"/>
    <w:rsid w:val="00D57C5F"/>
    <w:rsid w:val="00D60341"/>
    <w:rsid w:val="00D60769"/>
    <w:rsid w:val="00D614BA"/>
    <w:rsid w:val="00D616B7"/>
    <w:rsid w:val="00D61704"/>
    <w:rsid w:val="00D623A7"/>
    <w:rsid w:val="00D62D2C"/>
    <w:rsid w:val="00D63816"/>
    <w:rsid w:val="00D655C4"/>
    <w:rsid w:val="00D66293"/>
    <w:rsid w:val="00D670F7"/>
    <w:rsid w:val="00D675A7"/>
    <w:rsid w:val="00D70CE5"/>
    <w:rsid w:val="00D70E23"/>
    <w:rsid w:val="00D7102E"/>
    <w:rsid w:val="00D72B83"/>
    <w:rsid w:val="00D731AC"/>
    <w:rsid w:val="00D73B02"/>
    <w:rsid w:val="00D749AF"/>
    <w:rsid w:val="00D74DA9"/>
    <w:rsid w:val="00D74F9A"/>
    <w:rsid w:val="00D752B5"/>
    <w:rsid w:val="00D754AF"/>
    <w:rsid w:val="00D75DD8"/>
    <w:rsid w:val="00D76B6F"/>
    <w:rsid w:val="00D76C3F"/>
    <w:rsid w:val="00D804AB"/>
    <w:rsid w:val="00D81178"/>
    <w:rsid w:val="00D815A0"/>
    <w:rsid w:val="00D81C03"/>
    <w:rsid w:val="00D81CC3"/>
    <w:rsid w:val="00D820D6"/>
    <w:rsid w:val="00D82265"/>
    <w:rsid w:val="00D824EC"/>
    <w:rsid w:val="00D82ED2"/>
    <w:rsid w:val="00D83375"/>
    <w:rsid w:val="00D8347A"/>
    <w:rsid w:val="00D83504"/>
    <w:rsid w:val="00D83850"/>
    <w:rsid w:val="00D84B73"/>
    <w:rsid w:val="00D84E95"/>
    <w:rsid w:val="00D85C9F"/>
    <w:rsid w:val="00D85EA0"/>
    <w:rsid w:val="00D86854"/>
    <w:rsid w:val="00D86DD0"/>
    <w:rsid w:val="00D87A91"/>
    <w:rsid w:val="00D87F67"/>
    <w:rsid w:val="00D87FD3"/>
    <w:rsid w:val="00D9085D"/>
    <w:rsid w:val="00D909D1"/>
    <w:rsid w:val="00D91758"/>
    <w:rsid w:val="00D91899"/>
    <w:rsid w:val="00D92134"/>
    <w:rsid w:val="00D9232D"/>
    <w:rsid w:val="00D9319D"/>
    <w:rsid w:val="00D937BB"/>
    <w:rsid w:val="00D93E96"/>
    <w:rsid w:val="00D94FDF"/>
    <w:rsid w:val="00D9501F"/>
    <w:rsid w:val="00D955C1"/>
    <w:rsid w:val="00D9678B"/>
    <w:rsid w:val="00DA12BE"/>
    <w:rsid w:val="00DA1D05"/>
    <w:rsid w:val="00DA1FF3"/>
    <w:rsid w:val="00DA2367"/>
    <w:rsid w:val="00DA2791"/>
    <w:rsid w:val="00DA279D"/>
    <w:rsid w:val="00DA42B9"/>
    <w:rsid w:val="00DA5F22"/>
    <w:rsid w:val="00DA6320"/>
    <w:rsid w:val="00DA670D"/>
    <w:rsid w:val="00DA69E0"/>
    <w:rsid w:val="00DA750D"/>
    <w:rsid w:val="00DB00F3"/>
    <w:rsid w:val="00DB0112"/>
    <w:rsid w:val="00DB0148"/>
    <w:rsid w:val="00DB0E4F"/>
    <w:rsid w:val="00DB0FBC"/>
    <w:rsid w:val="00DB2EE7"/>
    <w:rsid w:val="00DB3D1A"/>
    <w:rsid w:val="00DB3E15"/>
    <w:rsid w:val="00DB4702"/>
    <w:rsid w:val="00DB50DC"/>
    <w:rsid w:val="00DB5388"/>
    <w:rsid w:val="00DB53E0"/>
    <w:rsid w:val="00DB56B3"/>
    <w:rsid w:val="00DB73EB"/>
    <w:rsid w:val="00DB79E3"/>
    <w:rsid w:val="00DC0331"/>
    <w:rsid w:val="00DC04D3"/>
    <w:rsid w:val="00DC0CA9"/>
    <w:rsid w:val="00DC1A67"/>
    <w:rsid w:val="00DC1B67"/>
    <w:rsid w:val="00DC2375"/>
    <w:rsid w:val="00DC26C8"/>
    <w:rsid w:val="00DC2E0B"/>
    <w:rsid w:val="00DC3B4D"/>
    <w:rsid w:val="00DC3ED9"/>
    <w:rsid w:val="00DC426E"/>
    <w:rsid w:val="00DC4369"/>
    <w:rsid w:val="00DC4529"/>
    <w:rsid w:val="00DC4DB1"/>
    <w:rsid w:val="00DC4E5F"/>
    <w:rsid w:val="00DC5FA3"/>
    <w:rsid w:val="00DC73B7"/>
    <w:rsid w:val="00DD1A79"/>
    <w:rsid w:val="00DD28AB"/>
    <w:rsid w:val="00DD2E3C"/>
    <w:rsid w:val="00DD327E"/>
    <w:rsid w:val="00DD34BD"/>
    <w:rsid w:val="00DD3E94"/>
    <w:rsid w:val="00DD44C1"/>
    <w:rsid w:val="00DE0658"/>
    <w:rsid w:val="00DE106C"/>
    <w:rsid w:val="00DE254D"/>
    <w:rsid w:val="00DE2C29"/>
    <w:rsid w:val="00DE3F0D"/>
    <w:rsid w:val="00DE44D0"/>
    <w:rsid w:val="00DE5070"/>
    <w:rsid w:val="00DE5345"/>
    <w:rsid w:val="00DE610B"/>
    <w:rsid w:val="00DE6CB8"/>
    <w:rsid w:val="00DE7C88"/>
    <w:rsid w:val="00DE7E7B"/>
    <w:rsid w:val="00DE7E84"/>
    <w:rsid w:val="00DF05DB"/>
    <w:rsid w:val="00DF1742"/>
    <w:rsid w:val="00DF2226"/>
    <w:rsid w:val="00DF23F3"/>
    <w:rsid w:val="00DF2520"/>
    <w:rsid w:val="00DF28D0"/>
    <w:rsid w:val="00DF3952"/>
    <w:rsid w:val="00DF40A2"/>
    <w:rsid w:val="00DF5ADF"/>
    <w:rsid w:val="00DF6BCF"/>
    <w:rsid w:val="00E0038F"/>
    <w:rsid w:val="00E00658"/>
    <w:rsid w:val="00E00BA8"/>
    <w:rsid w:val="00E01421"/>
    <w:rsid w:val="00E017E1"/>
    <w:rsid w:val="00E032D7"/>
    <w:rsid w:val="00E03F78"/>
    <w:rsid w:val="00E0452F"/>
    <w:rsid w:val="00E05302"/>
    <w:rsid w:val="00E05517"/>
    <w:rsid w:val="00E0799A"/>
    <w:rsid w:val="00E1001F"/>
    <w:rsid w:val="00E10DA8"/>
    <w:rsid w:val="00E118C2"/>
    <w:rsid w:val="00E11E75"/>
    <w:rsid w:val="00E13939"/>
    <w:rsid w:val="00E15630"/>
    <w:rsid w:val="00E156E3"/>
    <w:rsid w:val="00E15854"/>
    <w:rsid w:val="00E17F35"/>
    <w:rsid w:val="00E20149"/>
    <w:rsid w:val="00E20CE4"/>
    <w:rsid w:val="00E217DA"/>
    <w:rsid w:val="00E22060"/>
    <w:rsid w:val="00E220BC"/>
    <w:rsid w:val="00E224CB"/>
    <w:rsid w:val="00E23EDD"/>
    <w:rsid w:val="00E244DB"/>
    <w:rsid w:val="00E25631"/>
    <w:rsid w:val="00E25FBE"/>
    <w:rsid w:val="00E2633E"/>
    <w:rsid w:val="00E30033"/>
    <w:rsid w:val="00E30B39"/>
    <w:rsid w:val="00E311A3"/>
    <w:rsid w:val="00E3169E"/>
    <w:rsid w:val="00E323FD"/>
    <w:rsid w:val="00E328B7"/>
    <w:rsid w:val="00E335AE"/>
    <w:rsid w:val="00E339AB"/>
    <w:rsid w:val="00E339C1"/>
    <w:rsid w:val="00E34565"/>
    <w:rsid w:val="00E35197"/>
    <w:rsid w:val="00E35749"/>
    <w:rsid w:val="00E36A0C"/>
    <w:rsid w:val="00E37F2C"/>
    <w:rsid w:val="00E41CB2"/>
    <w:rsid w:val="00E4297D"/>
    <w:rsid w:val="00E44955"/>
    <w:rsid w:val="00E4513A"/>
    <w:rsid w:val="00E45B0A"/>
    <w:rsid w:val="00E45DA8"/>
    <w:rsid w:val="00E47B37"/>
    <w:rsid w:val="00E47BE2"/>
    <w:rsid w:val="00E502DF"/>
    <w:rsid w:val="00E50AFF"/>
    <w:rsid w:val="00E50D4D"/>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4040"/>
    <w:rsid w:val="00E74B8A"/>
    <w:rsid w:val="00E74C16"/>
    <w:rsid w:val="00E753F9"/>
    <w:rsid w:val="00E7666D"/>
    <w:rsid w:val="00E7720E"/>
    <w:rsid w:val="00E77928"/>
    <w:rsid w:val="00E80066"/>
    <w:rsid w:val="00E81935"/>
    <w:rsid w:val="00E8228B"/>
    <w:rsid w:val="00E84072"/>
    <w:rsid w:val="00E84F7F"/>
    <w:rsid w:val="00E85570"/>
    <w:rsid w:val="00E859A3"/>
    <w:rsid w:val="00E85AEE"/>
    <w:rsid w:val="00E86EA3"/>
    <w:rsid w:val="00E87009"/>
    <w:rsid w:val="00E87091"/>
    <w:rsid w:val="00E87900"/>
    <w:rsid w:val="00E9087D"/>
    <w:rsid w:val="00E910D5"/>
    <w:rsid w:val="00E92937"/>
    <w:rsid w:val="00E931C3"/>
    <w:rsid w:val="00E93A2C"/>
    <w:rsid w:val="00E93EF7"/>
    <w:rsid w:val="00E94174"/>
    <w:rsid w:val="00E95DE9"/>
    <w:rsid w:val="00E96141"/>
    <w:rsid w:val="00E96388"/>
    <w:rsid w:val="00E96623"/>
    <w:rsid w:val="00E97AA0"/>
    <w:rsid w:val="00EA0371"/>
    <w:rsid w:val="00EA0904"/>
    <w:rsid w:val="00EA3549"/>
    <w:rsid w:val="00EA3580"/>
    <w:rsid w:val="00EA399C"/>
    <w:rsid w:val="00EA4DBD"/>
    <w:rsid w:val="00EA6E84"/>
    <w:rsid w:val="00EB19AC"/>
    <w:rsid w:val="00EB1ADB"/>
    <w:rsid w:val="00EB1BF8"/>
    <w:rsid w:val="00EB2B08"/>
    <w:rsid w:val="00EB2CEE"/>
    <w:rsid w:val="00EB5E58"/>
    <w:rsid w:val="00EB60B3"/>
    <w:rsid w:val="00EC1F64"/>
    <w:rsid w:val="00EC2B1A"/>
    <w:rsid w:val="00EC4D82"/>
    <w:rsid w:val="00EC508A"/>
    <w:rsid w:val="00EC50F1"/>
    <w:rsid w:val="00EC5181"/>
    <w:rsid w:val="00EC5B92"/>
    <w:rsid w:val="00EC736A"/>
    <w:rsid w:val="00EC7654"/>
    <w:rsid w:val="00EC7734"/>
    <w:rsid w:val="00ED15DC"/>
    <w:rsid w:val="00ED3A27"/>
    <w:rsid w:val="00ED5A9D"/>
    <w:rsid w:val="00ED6F55"/>
    <w:rsid w:val="00ED7F11"/>
    <w:rsid w:val="00ED7F4E"/>
    <w:rsid w:val="00EE124F"/>
    <w:rsid w:val="00EE191E"/>
    <w:rsid w:val="00EE26E4"/>
    <w:rsid w:val="00EE29FA"/>
    <w:rsid w:val="00EE2A2A"/>
    <w:rsid w:val="00EE2DF8"/>
    <w:rsid w:val="00EE47CF"/>
    <w:rsid w:val="00EE4810"/>
    <w:rsid w:val="00EE4A57"/>
    <w:rsid w:val="00EE5413"/>
    <w:rsid w:val="00EE573F"/>
    <w:rsid w:val="00EE5772"/>
    <w:rsid w:val="00EE5E2C"/>
    <w:rsid w:val="00EE61B3"/>
    <w:rsid w:val="00EE63BF"/>
    <w:rsid w:val="00EE658A"/>
    <w:rsid w:val="00EE6D9F"/>
    <w:rsid w:val="00EE7FAB"/>
    <w:rsid w:val="00EF0C99"/>
    <w:rsid w:val="00EF163E"/>
    <w:rsid w:val="00EF219B"/>
    <w:rsid w:val="00EF2372"/>
    <w:rsid w:val="00EF2D2C"/>
    <w:rsid w:val="00EF3C96"/>
    <w:rsid w:val="00EF4CDE"/>
    <w:rsid w:val="00EF5250"/>
    <w:rsid w:val="00EF53CE"/>
    <w:rsid w:val="00EF6409"/>
    <w:rsid w:val="00EF6B03"/>
    <w:rsid w:val="00EF7910"/>
    <w:rsid w:val="00F00492"/>
    <w:rsid w:val="00F0177D"/>
    <w:rsid w:val="00F02315"/>
    <w:rsid w:val="00F03718"/>
    <w:rsid w:val="00F037B5"/>
    <w:rsid w:val="00F04EE7"/>
    <w:rsid w:val="00F050D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27DD"/>
    <w:rsid w:val="00F13A56"/>
    <w:rsid w:val="00F13EC8"/>
    <w:rsid w:val="00F13F71"/>
    <w:rsid w:val="00F144AA"/>
    <w:rsid w:val="00F15050"/>
    <w:rsid w:val="00F15189"/>
    <w:rsid w:val="00F15AF3"/>
    <w:rsid w:val="00F1685B"/>
    <w:rsid w:val="00F2055D"/>
    <w:rsid w:val="00F20637"/>
    <w:rsid w:val="00F20F7A"/>
    <w:rsid w:val="00F2373A"/>
    <w:rsid w:val="00F241C2"/>
    <w:rsid w:val="00F2458E"/>
    <w:rsid w:val="00F24D9F"/>
    <w:rsid w:val="00F2504A"/>
    <w:rsid w:val="00F25DC5"/>
    <w:rsid w:val="00F26206"/>
    <w:rsid w:val="00F26737"/>
    <w:rsid w:val="00F26D41"/>
    <w:rsid w:val="00F274C2"/>
    <w:rsid w:val="00F277DF"/>
    <w:rsid w:val="00F3020D"/>
    <w:rsid w:val="00F30268"/>
    <w:rsid w:val="00F308A5"/>
    <w:rsid w:val="00F30FC5"/>
    <w:rsid w:val="00F31A95"/>
    <w:rsid w:val="00F31AC5"/>
    <w:rsid w:val="00F33148"/>
    <w:rsid w:val="00F33260"/>
    <w:rsid w:val="00F34386"/>
    <w:rsid w:val="00F3711D"/>
    <w:rsid w:val="00F37C3A"/>
    <w:rsid w:val="00F37FBB"/>
    <w:rsid w:val="00F40ED8"/>
    <w:rsid w:val="00F4197B"/>
    <w:rsid w:val="00F429AD"/>
    <w:rsid w:val="00F42A4F"/>
    <w:rsid w:val="00F43279"/>
    <w:rsid w:val="00F4473A"/>
    <w:rsid w:val="00F454F8"/>
    <w:rsid w:val="00F45B42"/>
    <w:rsid w:val="00F46BFD"/>
    <w:rsid w:val="00F46FEA"/>
    <w:rsid w:val="00F47146"/>
    <w:rsid w:val="00F479C2"/>
    <w:rsid w:val="00F506B6"/>
    <w:rsid w:val="00F5111F"/>
    <w:rsid w:val="00F513E4"/>
    <w:rsid w:val="00F51421"/>
    <w:rsid w:val="00F516CA"/>
    <w:rsid w:val="00F523C9"/>
    <w:rsid w:val="00F539A0"/>
    <w:rsid w:val="00F540E5"/>
    <w:rsid w:val="00F549B5"/>
    <w:rsid w:val="00F5611F"/>
    <w:rsid w:val="00F5634A"/>
    <w:rsid w:val="00F56817"/>
    <w:rsid w:val="00F57131"/>
    <w:rsid w:val="00F60383"/>
    <w:rsid w:val="00F616F3"/>
    <w:rsid w:val="00F61EB9"/>
    <w:rsid w:val="00F621F6"/>
    <w:rsid w:val="00F62A97"/>
    <w:rsid w:val="00F64C52"/>
    <w:rsid w:val="00F64CDF"/>
    <w:rsid w:val="00F65E70"/>
    <w:rsid w:val="00F66940"/>
    <w:rsid w:val="00F66C3F"/>
    <w:rsid w:val="00F70206"/>
    <w:rsid w:val="00F710CE"/>
    <w:rsid w:val="00F722EE"/>
    <w:rsid w:val="00F730FE"/>
    <w:rsid w:val="00F73144"/>
    <w:rsid w:val="00F7425D"/>
    <w:rsid w:val="00F74341"/>
    <w:rsid w:val="00F75557"/>
    <w:rsid w:val="00F75BE9"/>
    <w:rsid w:val="00F767E1"/>
    <w:rsid w:val="00F80305"/>
    <w:rsid w:val="00F805A6"/>
    <w:rsid w:val="00F80D9A"/>
    <w:rsid w:val="00F81BC0"/>
    <w:rsid w:val="00F81C46"/>
    <w:rsid w:val="00F8211A"/>
    <w:rsid w:val="00F8345F"/>
    <w:rsid w:val="00F83561"/>
    <w:rsid w:val="00F83D54"/>
    <w:rsid w:val="00F85587"/>
    <w:rsid w:val="00F85A4B"/>
    <w:rsid w:val="00F85A94"/>
    <w:rsid w:val="00F872D0"/>
    <w:rsid w:val="00F87ABB"/>
    <w:rsid w:val="00F87E82"/>
    <w:rsid w:val="00F87EC0"/>
    <w:rsid w:val="00F9056D"/>
    <w:rsid w:val="00F90DCF"/>
    <w:rsid w:val="00F91174"/>
    <w:rsid w:val="00F9133B"/>
    <w:rsid w:val="00F92B7E"/>
    <w:rsid w:val="00F92D57"/>
    <w:rsid w:val="00F93ACE"/>
    <w:rsid w:val="00F94FD8"/>
    <w:rsid w:val="00F958FC"/>
    <w:rsid w:val="00F95B7A"/>
    <w:rsid w:val="00F96C4E"/>
    <w:rsid w:val="00F97911"/>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2018"/>
    <w:rsid w:val="00FB2D0D"/>
    <w:rsid w:val="00FB4417"/>
    <w:rsid w:val="00FB680F"/>
    <w:rsid w:val="00FB7753"/>
    <w:rsid w:val="00FB7893"/>
    <w:rsid w:val="00FC0611"/>
    <w:rsid w:val="00FC0990"/>
    <w:rsid w:val="00FC277D"/>
    <w:rsid w:val="00FC3D54"/>
    <w:rsid w:val="00FC41D7"/>
    <w:rsid w:val="00FC44EA"/>
    <w:rsid w:val="00FC4A0B"/>
    <w:rsid w:val="00FC5481"/>
    <w:rsid w:val="00FC65E0"/>
    <w:rsid w:val="00FC6FDF"/>
    <w:rsid w:val="00FC70D2"/>
    <w:rsid w:val="00FC7138"/>
    <w:rsid w:val="00FC7384"/>
    <w:rsid w:val="00FC74EF"/>
    <w:rsid w:val="00FC7AB8"/>
    <w:rsid w:val="00FD0EC8"/>
    <w:rsid w:val="00FD2E6D"/>
    <w:rsid w:val="00FD2FFB"/>
    <w:rsid w:val="00FD319A"/>
    <w:rsid w:val="00FD3439"/>
    <w:rsid w:val="00FD3C10"/>
    <w:rsid w:val="00FD4236"/>
    <w:rsid w:val="00FD498D"/>
    <w:rsid w:val="00FD4D84"/>
    <w:rsid w:val="00FD5B4B"/>
    <w:rsid w:val="00FD5CA0"/>
    <w:rsid w:val="00FD7062"/>
    <w:rsid w:val="00FE08F8"/>
    <w:rsid w:val="00FE1196"/>
    <w:rsid w:val="00FE1DA4"/>
    <w:rsid w:val="00FE2388"/>
    <w:rsid w:val="00FE30E0"/>
    <w:rsid w:val="00FE3C1E"/>
    <w:rsid w:val="00FE3C36"/>
    <w:rsid w:val="00FE4B27"/>
    <w:rsid w:val="00FE518E"/>
    <w:rsid w:val="00FE5626"/>
    <w:rsid w:val="00FE5630"/>
    <w:rsid w:val="00FE5FD4"/>
    <w:rsid w:val="00FF0D78"/>
    <w:rsid w:val="00FF0EE9"/>
    <w:rsid w:val="00FF0EEE"/>
    <w:rsid w:val="00FF0F7F"/>
    <w:rsid w:val="00FF2793"/>
    <w:rsid w:val="00FF2AD8"/>
    <w:rsid w:val="00FF3815"/>
    <w:rsid w:val="00FF3EA9"/>
    <w:rsid w:val="00FF510D"/>
    <w:rsid w:val="00FF5B92"/>
    <w:rsid w:val="00FF5D78"/>
    <w:rsid w:val="00FF7034"/>
    <w:rsid w:val="01305439"/>
    <w:rsid w:val="020970CA"/>
    <w:rsid w:val="028E1852"/>
    <w:rsid w:val="0769686A"/>
    <w:rsid w:val="07E80E47"/>
    <w:rsid w:val="0AAE61A2"/>
    <w:rsid w:val="1200548C"/>
    <w:rsid w:val="12E83AF4"/>
    <w:rsid w:val="13EB6EE3"/>
    <w:rsid w:val="188127C0"/>
    <w:rsid w:val="1A8670A6"/>
    <w:rsid w:val="1B00542F"/>
    <w:rsid w:val="1B3F3E40"/>
    <w:rsid w:val="1BF509C2"/>
    <w:rsid w:val="1BF95FEE"/>
    <w:rsid w:val="1D867707"/>
    <w:rsid w:val="21001530"/>
    <w:rsid w:val="21F872A0"/>
    <w:rsid w:val="235E2230"/>
    <w:rsid w:val="24B84D56"/>
    <w:rsid w:val="254E0ABD"/>
    <w:rsid w:val="25A10883"/>
    <w:rsid w:val="2A4D6A20"/>
    <w:rsid w:val="2A5B72BC"/>
    <w:rsid w:val="2E0E3BA8"/>
    <w:rsid w:val="2E6C0366"/>
    <w:rsid w:val="2EC65EEE"/>
    <w:rsid w:val="2F7C71E7"/>
    <w:rsid w:val="2FCB6344"/>
    <w:rsid w:val="31CF1856"/>
    <w:rsid w:val="328578F4"/>
    <w:rsid w:val="349061CD"/>
    <w:rsid w:val="34C30CC3"/>
    <w:rsid w:val="34E87A0C"/>
    <w:rsid w:val="371E7967"/>
    <w:rsid w:val="37726C9D"/>
    <w:rsid w:val="3A436689"/>
    <w:rsid w:val="3AE549BF"/>
    <w:rsid w:val="3ED33D0D"/>
    <w:rsid w:val="410113A2"/>
    <w:rsid w:val="41F643AB"/>
    <w:rsid w:val="43F11B33"/>
    <w:rsid w:val="44565A46"/>
    <w:rsid w:val="44EA0816"/>
    <w:rsid w:val="453134A7"/>
    <w:rsid w:val="45830A1B"/>
    <w:rsid w:val="466E7C68"/>
    <w:rsid w:val="46801C8B"/>
    <w:rsid w:val="49CD4BEA"/>
    <w:rsid w:val="4BF953FF"/>
    <w:rsid w:val="509636E2"/>
    <w:rsid w:val="52FC46EA"/>
    <w:rsid w:val="53A33245"/>
    <w:rsid w:val="5403314B"/>
    <w:rsid w:val="55253F5D"/>
    <w:rsid w:val="57E633A7"/>
    <w:rsid w:val="5AA0313D"/>
    <w:rsid w:val="5BBD01B3"/>
    <w:rsid w:val="5CB86F3C"/>
    <w:rsid w:val="5D851C35"/>
    <w:rsid w:val="5F222921"/>
    <w:rsid w:val="5FDC7E75"/>
    <w:rsid w:val="624A23CC"/>
    <w:rsid w:val="6566621E"/>
    <w:rsid w:val="65987EB1"/>
    <w:rsid w:val="660C4CA5"/>
    <w:rsid w:val="6791283C"/>
    <w:rsid w:val="67A9335C"/>
    <w:rsid w:val="6B736486"/>
    <w:rsid w:val="6E3B72E7"/>
    <w:rsid w:val="6E527AC3"/>
    <w:rsid w:val="711F47CD"/>
    <w:rsid w:val="737020CB"/>
    <w:rsid w:val="73CC19D5"/>
    <w:rsid w:val="74681E3D"/>
    <w:rsid w:val="747A559E"/>
    <w:rsid w:val="78B9366E"/>
    <w:rsid w:val="79676F3A"/>
    <w:rsid w:val="79FC742D"/>
    <w:rsid w:val="7A9523C9"/>
    <w:rsid w:val="7AC20826"/>
    <w:rsid w:val="7BC80470"/>
    <w:rsid w:val="7E750423"/>
    <w:rsid w:val="7E944638"/>
    <w:rsid w:val="7F23352A"/>
    <w:rsid w:val="7F2E4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2"/>
    <w:basedOn w:val="1"/>
    <w:next w:val="1"/>
    <w:link w:val="4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44"/>
    <w:unhideWhenUsed/>
    <w:qFormat/>
    <w:uiPriority w:val="9"/>
    <w:pPr>
      <w:keepNext/>
      <w:keepLines/>
      <w:spacing w:before="260" w:after="260" w:line="416" w:lineRule="auto"/>
      <w:outlineLvl w:val="2"/>
    </w:pPr>
    <w:rPr>
      <w:b/>
      <w:bCs/>
      <w:sz w:val="32"/>
      <w:szCs w:val="32"/>
    </w:rPr>
  </w:style>
  <w:style w:type="paragraph" w:styleId="4">
    <w:name w:val="heading 5"/>
    <w:basedOn w:val="1"/>
    <w:next w:val="1"/>
    <w:link w:val="48"/>
    <w:semiHidden/>
    <w:unhideWhenUsed/>
    <w:qFormat/>
    <w:uiPriority w:val="9"/>
    <w:pPr>
      <w:keepNext/>
      <w:keepLines/>
      <w:spacing w:before="280" w:after="290" w:line="376" w:lineRule="auto"/>
      <w:outlineLvl w:val="4"/>
    </w:pPr>
    <w:rPr>
      <w:b/>
      <w:bCs/>
      <w:sz w:val="28"/>
      <w:szCs w:val="28"/>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link w:val="38"/>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6">
    <w:name w:val="Document Map"/>
    <w:basedOn w:val="1"/>
    <w:link w:val="37"/>
    <w:semiHidden/>
    <w:unhideWhenUsed/>
    <w:qFormat/>
    <w:uiPriority w:val="99"/>
    <w:rPr>
      <w:rFonts w:ascii="宋体"/>
      <w:sz w:val="18"/>
      <w:szCs w:val="18"/>
    </w:rPr>
  </w:style>
  <w:style w:type="paragraph" w:styleId="7">
    <w:name w:val="annotation text"/>
    <w:basedOn w:val="1"/>
    <w:link w:val="35"/>
    <w:unhideWhenUsed/>
    <w:qFormat/>
    <w:uiPriority w:val="0"/>
    <w:pPr>
      <w:jc w:val="left"/>
    </w:pPr>
  </w:style>
  <w:style w:type="paragraph" w:styleId="8">
    <w:name w:val="Balloon Text"/>
    <w:basedOn w:val="1"/>
    <w:link w:val="33"/>
    <w:semiHidden/>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List"/>
    <w:basedOn w:val="1"/>
    <w:semiHidden/>
    <w:unhideWhenUsed/>
    <w:qFormat/>
    <w:uiPriority w:val="99"/>
    <w:pPr>
      <w:ind w:left="200" w:hanging="200" w:hangingChars="200"/>
      <w:contextualSpacing/>
    </w:pPr>
  </w:style>
  <w:style w:type="paragraph" w:styleId="12">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3">
    <w:name w:val="annotation subject"/>
    <w:basedOn w:val="7"/>
    <w:next w:val="7"/>
    <w:link w:val="36"/>
    <w:semiHidden/>
    <w:unhideWhenUsed/>
    <w:qFormat/>
    <w:uiPriority w:val="99"/>
    <w:rPr>
      <w:b/>
      <w:bCs/>
    </w:rPr>
  </w:style>
  <w:style w:type="table" w:styleId="15">
    <w:name w:val="Table Grid"/>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unhideWhenUsed/>
    <w:qFormat/>
    <w:uiPriority w:val="99"/>
    <w:rPr>
      <w:color w:val="0000FF"/>
      <w:u w:val="single"/>
    </w:rPr>
  </w:style>
  <w:style w:type="character" w:styleId="18">
    <w:name w:val="annotation reference"/>
    <w:basedOn w:val="16"/>
    <w:unhideWhenUsed/>
    <w:qFormat/>
    <w:uiPriority w:val="99"/>
    <w:rPr>
      <w:sz w:val="21"/>
      <w:szCs w:val="21"/>
    </w:rPr>
  </w:style>
  <w:style w:type="character" w:customStyle="1" w:styleId="19">
    <w:name w:val="Header Char"/>
    <w:basedOn w:val="16"/>
    <w:link w:val="10"/>
    <w:qFormat/>
    <w:uiPriority w:val="99"/>
    <w:rPr>
      <w:sz w:val="18"/>
      <w:szCs w:val="18"/>
    </w:rPr>
  </w:style>
  <w:style w:type="character" w:customStyle="1" w:styleId="20">
    <w:name w:val="Footer Char"/>
    <w:basedOn w:val="16"/>
    <w:link w:val="9"/>
    <w:qFormat/>
    <w:uiPriority w:val="99"/>
    <w:rPr>
      <w:sz w:val="18"/>
      <w:szCs w:val="18"/>
    </w:rPr>
  </w:style>
  <w:style w:type="character" w:customStyle="1" w:styleId="21">
    <w:name w:val="Char Char"/>
    <w:link w:val="22"/>
    <w:qFormat/>
    <w:uiPriority w:val="0"/>
    <w:rPr>
      <w:rFonts w:ascii="Arial" w:hAnsi="Arial"/>
      <w:sz w:val="32"/>
      <w:szCs w:val="36"/>
    </w:rPr>
  </w:style>
  <w:style w:type="paragraph" w:customStyle="1" w:styleId="22">
    <w:name w:val="Char"/>
    <w:basedOn w:val="23"/>
    <w:link w:val="21"/>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3">
    <w:name w:val="List Paragraph"/>
    <w:basedOn w:val="1"/>
    <w:link w:val="39"/>
    <w:qFormat/>
    <w:uiPriority w:val="34"/>
    <w:pPr>
      <w:ind w:firstLine="420" w:firstLineChars="200"/>
    </w:pPr>
  </w:style>
  <w:style w:type="character" w:customStyle="1" w:styleId="24">
    <w:name w:val="TAH Car"/>
    <w:link w:val="25"/>
    <w:qFormat/>
    <w:uiPriority w:val="0"/>
    <w:rPr>
      <w:rFonts w:ascii="Arial" w:hAnsi="Arial" w:eastAsia="Times New Roman" w:cs="Times New Roman"/>
      <w:b/>
      <w:kern w:val="0"/>
      <w:sz w:val="18"/>
      <w:szCs w:val="20"/>
      <w:lang w:val="en-GB" w:eastAsia="ja-JP"/>
    </w:rPr>
  </w:style>
  <w:style w:type="paragraph" w:customStyle="1" w:styleId="25">
    <w:name w:val="TAH"/>
    <w:basedOn w:val="26"/>
    <w:link w:val="24"/>
    <w:qFormat/>
    <w:uiPriority w:val="0"/>
    <w:rPr>
      <w:b/>
    </w:rPr>
  </w:style>
  <w:style w:type="paragraph" w:customStyle="1" w:styleId="26">
    <w:name w:val="TAC"/>
    <w:basedOn w:val="27"/>
    <w:link w:val="30"/>
    <w:qFormat/>
    <w:uiPriority w:val="0"/>
    <w:pPr>
      <w:overflowPunct w:val="0"/>
      <w:autoSpaceDE w:val="0"/>
      <w:autoSpaceDN w:val="0"/>
      <w:adjustRightInd w:val="0"/>
      <w:jc w:val="center"/>
      <w:textAlignment w:val="baseline"/>
    </w:pPr>
    <w:rPr>
      <w:lang w:eastAsia="ja-JP"/>
    </w:rPr>
  </w:style>
  <w:style w:type="paragraph" w:customStyle="1" w:styleId="27">
    <w:name w:val="TAL"/>
    <w:basedOn w:val="1"/>
    <w:link w:val="34"/>
    <w:qFormat/>
    <w:uiPriority w:val="0"/>
    <w:pPr>
      <w:keepNext/>
      <w:keepLines/>
      <w:widowControl/>
      <w:jc w:val="left"/>
    </w:pPr>
    <w:rPr>
      <w:rFonts w:ascii="Arial" w:hAnsi="Arial" w:eastAsia="Times New Roman"/>
      <w:kern w:val="0"/>
      <w:sz w:val="18"/>
      <w:szCs w:val="20"/>
      <w:lang w:val="en-GB" w:eastAsia="en-US"/>
    </w:rPr>
  </w:style>
  <w:style w:type="character" w:customStyle="1" w:styleId="28">
    <w:name w:val="B1 Char"/>
    <w:link w:val="29"/>
    <w:qFormat/>
    <w:uiPriority w:val="0"/>
    <w:rPr>
      <w:rFonts w:ascii="Times New Roman" w:hAnsi="Times New Roman" w:eastAsia="MS Mincho"/>
      <w:lang w:val="en-GB" w:eastAsia="de-DE"/>
    </w:rPr>
  </w:style>
  <w:style w:type="paragraph" w:customStyle="1" w:styleId="29">
    <w:name w:val="B1"/>
    <w:basedOn w:val="11"/>
    <w:link w:val="28"/>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0">
    <w:name w:val="TAC Char"/>
    <w:link w:val="26"/>
    <w:qFormat/>
    <w:uiPriority w:val="0"/>
    <w:rPr>
      <w:rFonts w:ascii="Arial" w:hAnsi="Arial" w:eastAsia="Times New Roman" w:cs="Times New Roman"/>
      <w:kern w:val="0"/>
      <w:sz w:val="18"/>
      <w:szCs w:val="20"/>
      <w:lang w:val="en-GB" w:eastAsia="ja-JP"/>
    </w:rPr>
  </w:style>
  <w:style w:type="paragraph" w:styleId="31">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2">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3">
    <w:name w:val="Balloon Text Char"/>
    <w:basedOn w:val="16"/>
    <w:link w:val="8"/>
    <w:semiHidden/>
    <w:qFormat/>
    <w:uiPriority w:val="99"/>
    <w:rPr>
      <w:rFonts w:ascii="CG Times (WN)" w:hAnsi="CG Times (WN)" w:eastAsia="宋体" w:cs="Times New Roman"/>
      <w:sz w:val="18"/>
      <w:szCs w:val="18"/>
    </w:rPr>
  </w:style>
  <w:style w:type="character" w:customStyle="1" w:styleId="34">
    <w:name w:val="TAL Char"/>
    <w:link w:val="27"/>
    <w:qFormat/>
    <w:uiPriority w:val="0"/>
    <w:rPr>
      <w:rFonts w:ascii="Arial" w:hAnsi="Arial" w:eastAsia="Times New Roman" w:cs="Times New Roman"/>
      <w:kern w:val="0"/>
      <w:sz w:val="18"/>
      <w:szCs w:val="20"/>
      <w:lang w:val="en-GB" w:eastAsia="en-US"/>
    </w:rPr>
  </w:style>
  <w:style w:type="character" w:customStyle="1" w:styleId="35">
    <w:name w:val="Comment Text Char"/>
    <w:basedOn w:val="16"/>
    <w:link w:val="7"/>
    <w:qFormat/>
    <w:uiPriority w:val="0"/>
    <w:rPr>
      <w:rFonts w:ascii="CG Times (WN)" w:hAnsi="CG Times (WN)" w:eastAsia="宋体" w:cs="Times New Roman"/>
    </w:rPr>
  </w:style>
  <w:style w:type="character" w:customStyle="1" w:styleId="36">
    <w:name w:val="Comment Subject Char"/>
    <w:basedOn w:val="35"/>
    <w:link w:val="13"/>
    <w:semiHidden/>
    <w:qFormat/>
    <w:uiPriority w:val="99"/>
    <w:rPr>
      <w:rFonts w:ascii="CG Times (WN)" w:hAnsi="CG Times (WN)" w:eastAsia="宋体" w:cs="Times New Roman"/>
      <w:b/>
      <w:bCs/>
    </w:rPr>
  </w:style>
  <w:style w:type="character" w:customStyle="1" w:styleId="37">
    <w:name w:val="Document Map Char"/>
    <w:basedOn w:val="16"/>
    <w:link w:val="6"/>
    <w:semiHidden/>
    <w:qFormat/>
    <w:uiPriority w:val="99"/>
    <w:rPr>
      <w:rFonts w:ascii="宋体" w:hAnsi="CG Times (WN)" w:eastAsia="宋体" w:cs="Times New Roman"/>
      <w:sz w:val="18"/>
      <w:szCs w:val="18"/>
    </w:rPr>
  </w:style>
  <w:style w:type="character" w:customStyle="1" w:styleId="38">
    <w:name w:val="Caption Char"/>
    <w:link w:val="5"/>
    <w:qFormat/>
    <w:uiPriority w:val="35"/>
    <w:rPr>
      <w:rFonts w:ascii="Times New Roman" w:hAnsi="Times New Roman" w:eastAsia="MS Mincho" w:cs="Times New Roman"/>
      <w:b/>
      <w:kern w:val="0"/>
      <w:sz w:val="20"/>
      <w:szCs w:val="20"/>
      <w:lang w:val="en-GB" w:eastAsia="en-US"/>
    </w:rPr>
  </w:style>
  <w:style w:type="character" w:customStyle="1" w:styleId="39">
    <w:name w:val="List Paragraph Char"/>
    <w:link w:val="23"/>
    <w:qFormat/>
    <w:uiPriority w:val="34"/>
    <w:rPr>
      <w:rFonts w:ascii="CG Times (WN)" w:hAnsi="CG Times (WN)" w:eastAsia="宋体" w:cs="Times New Roma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1">
    <w:name w:val="Heading 2 Char"/>
    <w:basedOn w:val="16"/>
    <w:link w:val="2"/>
    <w:qFormat/>
    <w:uiPriority w:val="9"/>
    <w:rPr>
      <w:rFonts w:asciiTheme="majorHAnsi" w:hAnsiTheme="majorHAnsi" w:eastAsiaTheme="majorEastAsia" w:cstheme="majorBidi"/>
      <w:b/>
      <w:bCs/>
      <w:sz w:val="32"/>
      <w:szCs w:val="32"/>
    </w:rPr>
  </w:style>
  <w:style w:type="table" w:customStyle="1" w:styleId="42">
    <w:name w:val="网格型1"/>
    <w:basedOn w:val="14"/>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
    <w:name w:val="网格型2"/>
    <w:basedOn w:val="14"/>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
    <w:name w:val="Heading 3 Char"/>
    <w:basedOn w:val="16"/>
    <w:link w:val="3"/>
    <w:qFormat/>
    <w:uiPriority w:val="9"/>
    <w:rPr>
      <w:rFonts w:ascii="CG Times (WN)" w:hAnsi="CG Times (WN)" w:eastAsia="宋体" w:cs="Times New Roman"/>
      <w:b/>
      <w:bCs/>
      <w:sz w:val="32"/>
      <w:szCs w:val="32"/>
    </w:rPr>
  </w:style>
  <w:style w:type="table" w:customStyle="1" w:styleId="45">
    <w:name w:val="网格型3"/>
    <w:basedOn w:val="14"/>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laceholder Text"/>
    <w:basedOn w:val="16"/>
    <w:semiHidden/>
    <w:qFormat/>
    <w:uiPriority w:val="99"/>
    <w:rPr>
      <w:color w:val="808080"/>
    </w:rPr>
  </w:style>
  <w:style w:type="table" w:customStyle="1" w:styleId="47">
    <w:name w:val="Table Grid1"/>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
    <w:name w:val="Heading 5 Char"/>
    <w:basedOn w:val="16"/>
    <w:link w:val="4"/>
    <w:semiHidden/>
    <w:qFormat/>
    <w:uiPriority w:val="9"/>
    <w:rPr>
      <w:rFonts w:ascii="CG Times (WN)" w:hAnsi="CG Times (WN)" w:eastAsia="宋体" w:cs="Times New Roman"/>
      <w:b/>
      <w:bCs/>
      <w:sz w:val="28"/>
      <w:szCs w:val="28"/>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EQ"/>
    <w:basedOn w:val="1"/>
    <w:next w:val="1"/>
    <w:qFormat/>
    <w:uiPriority w:val="0"/>
    <w:pPr>
      <w:keepLines/>
      <w:tabs>
        <w:tab w:val="center" w:pos="4536"/>
        <w:tab w:val="right" w:pos="9072"/>
      </w:tabs>
    </w:pPr>
  </w:style>
  <w:style w:type="table" w:customStyle="1" w:styleId="51">
    <w:name w:val="网格型11"/>
    <w:basedOn w:val="14"/>
    <w:qFormat/>
    <w:uiPriority w:val="0"/>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
    <w:name w:val="网格型12"/>
    <w:basedOn w:val="14"/>
    <w:qFormat/>
    <w:uiPriority w:val="0"/>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21"/>
    <w:basedOn w:val="14"/>
    <w:qFormat/>
    <w:uiPriority w:val="39"/>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
    <w:name w:val="Revision"/>
    <w:hidden/>
    <w:semiHidden/>
    <w:qFormat/>
    <w:uiPriority w:val="99"/>
    <w:rPr>
      <w:rFonts w:ascii="CG Times (WN)" w:hAnsi="CG Times (W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05761-AB0E-4BC4-B5E7-55F7865E20FB}">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1375</Words>
  <Characters>7843</Characters>
  <Lines>65</Lines>
  <Paragraphs>18</Paragraphs>
  <TotalTime>0</TotalTime>
  <ScaleCrop>false</ScaleCrop>
  <LinksUpToDate>false</LinksUpToDate>
  <CharactersWithSpaces>9200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2023-04-04T12:18:00Z</dcterms:created>
  <dc:creator>cmcc</dc:creator>
  <cp:lastModifiedBy>cmcc-chunxia Guo</cp:lastModifiedBy>
  <dcterms:modified xsi:type="dcterms:W3CDTF">2023-08-11T08:28:48Z</dcterms:modified>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A10757A2B6A949B5B70D7271EFEC54F1</vt:lpwstr>
  </property>
</Properties>
</file>