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3F4E" w14:textId="28439775" w:rsidR="00F1433D" w:rsidRDefault="00F1433D" w:rsidP="00F143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r w:rsidR="00360B3B" w:rsidRPr="00F37493">
        <w:rPr>
          <w:b/>
          <w:noProof/>
          <w:sz w:val="24"/>
        </w:rPr>
        <w:t>R4-23097</w:t>
      </w:r>
      <w:r w:rsidR="00360B3B">
        <w:rPr>
          <w:b/>
          <w:noProof/>
          <w:sz w:val="24"/>
        </w:rPr>
        <w:t>20</w:t>
      </w:r>
    </w:p>
    <w:p w14:paraId="1C8B4D1C" w14:textId="77777777" w:rsidR="00F1433D" w:rsidRDefault="00F1433D" w:rsidP="00F1433D">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7F08846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 xml:space="preserve">Discussion on ATG </w:t>
      </w:r>
      <w:r w:rsidR="00AB3254">
        <w:rPr>
          <w:rFonts w:ascii="Arial" w:eastAsia="Calibri" w:hAnsi="Arial" w:cs="Arial"/>
          <w:b/>
          <w:bCs/>
          <w:sz w:val="24"/>
        </w:rPr>
        <w:t xml:space="preserve">Measurement </w:t>
      </w:r>
      <w:r w:rsidR="00994DFA">
        <w:rPr>
          <w:rFonts w:ascii="Arial" w:eastAsia="Calibri" w:hAnsi="Arial" w:cs="Arial"/>
          <w:b/>
          <w:bCs/>
          <w:sz w:val="24"/>
        </w:rPr>
        <w:t>Requirements</w:t>
      </w:r>
    </w:p>
    <w:p w14:paraId="1DCE9C6B" w14:textId="49735C6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64232">
        <w:rPr>
          <w:rFonts w:ascii="Arial" w:eastAsia="MS Mincho" w:hAnsi="Arial" w:cs="Arial"/>
          <w:b/>
          <w:bCs/>
          <w:sz w:val="24"/>
          <w:szCs w:val="20"/>
        </w:rPr>
        <w:t>8</w:t>
      </w:r>
      <w:r w:rsidR="00994DFA">
        <w:rPr>
          <w:rFonts w:ascii="Arial" w:eastAsia="MS Mincho" w:hAnsi="Arial" w:cs="Arial"/>
          <w:b/>
          <w:bCs/>
          <w:sz w:val="24"/>
          <w:szCs w:val="20"/>
        </w:rPr>
        <w:t>.14.4.</w:t>
      </w:r>
      <w:r w:rsidR="005862C8">
        <w:rPr>
          <w:rFonts w:ascii="Arial" w:eastAsia="MS Mincho" w:hAnsi="Arial" w:cs="Arial"/>
          <w:b/>
          <w:bCs/>
          <w:sz w:val="24"/>
          <w:szCs w:val="20"/>
        </w:rPr>
        <w:t>5</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04E5A9E0"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79B2B10A" w14:textId="21D4C0C9" w:rsidR="00B542DA" w:rsidRDefault="00935232" w:rsidP="005C23A4">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w:t>
      </w:r>
      <w:r w:rsidR="006838BC">
        <w:t xml:space="preserve">extremely large inter-site distance, and the list of objectives for RRM discussion include  </w:t>
      </w:r>
      <w:r w:rsidR="006838BC" w:rsidRPr="000E761E">
        <w:rPr>
          <w:i/>
          <w:iCs/>
        </w:rPr>
        <w:t>“</w:t>
      </w:r>
      <w:r w:rsidR="000E761E">
        <w:rPr>
          <w:i/>
          <w:iCs/>
        </w:rPr>
        <w:t>c</w:t>
      </w:r>
      <w:r w:rsidR="006838BC" w:rsidRPr="000E761E">
        <w:rPr>
          <w:i/>
          <w:iCs/>
        </w:rPr>
        <w:t>onsidering the different nature of ATG UEs and their view of the network, increased cell sizes and other relevant aspects</w:t>
      </w:r>
      <w:r w:rsidR="000E761E" w:rsidRPr="000E761E">
        <w:rPr>
          <w:i/>
          <w:iCs/>
        </w:rPr>
        <w:t>”</w:t>
      </w:r>
      <w:r w:rsidR="000E761E">
        <w:rPr>
          <w:i/>
          <w:iCs/>
        </w:rPr>
        <w:t xml:space="preserve">. </w:t>
      </w:r>
      <w:r w:rsidR="000E761E">
        <w:t>The work has been progressing in RAN4 since then, and in RAN4 #106</w:t>
      </w:r>
      <w:r w:rsidR="005862C8">
        <w:t>-bis</w:t>
      </w:r>
      <w:r w:rsidR="000E761E">
        <w:t xml:space="preserve">, a Way-Forward on the topic was discussed and approved in </w:t>
      </w:r>
      <w:r w:rsidR="008D142A">
        <w:fldChar w:fldCharType="begin"/>
      </w:r>
      <w:r w:rsidR="008D142A">
        <w:instrText xml:space="preserve"> REF _Ref131678419 \r \h </w:instrText>
      </w:r>
      <w:r w:rsidR="008D142A">
        <w:fldChar w:fldCharType="separate"/>
      </w:r>
      <w:r w:rsidR="005862C8">
        <w:t>[2]</w:t>
      </w:r>
      <w:r w:rsidR="008D142A">
        <w:fldChar w:fldCharType="end"/>
      </w:r>
      <w:r w:rsidR="000E761E">
        <w:t>. The WF presents still some relevant open issues to be addressed in this Work Item. In this document we’ll focus our contributions on the open item regarding:</w:t>
      </w:r>
    </w:p>
    <w:p w14:paraId="2C3F654A" w14:textId="36AAB1CB" w:rsidR="000E761E" w:rsidRPr="000E761E" w:rsidRDefault="000E761E" w:rsidP="000E761E">
      <w:pPr>
        <w:pStyle w:val="ListParagraph"/>
        <w:numPr>
          <w:ilvl w:val="0"/>
          <w:numId w:val="27"/>
        </w:numPr>
      </w:pPr>
      <w:r>
        <w:t xml:space="preserve">ATG </w:t>
      </w:r>
      <w:r w:rsidR="005862C8">
        <w:t>Measurement</w:t>
      </w:r>
      <w:r w:rsidR="00A672A8">
        <w:t xml:space="preserve"> Requirements</w:t>
      </w:r>
    </w:p>
    <w:p w14:paraId="3EAEB011" w14:textId="77777777" w:rsidR="0060543D" w:rsidRPr="00EF698B" w:rsidRDefault="0060543D" w:rsidP="005C23A4"/>
    <w:p w14:paraId="4EA546E1" w14:textId="77777777" w:rsidR="003B659E" w:rsidRPr="00EF698B" w:rsidRDefault="003B659E" w:rsidP="00AE56B1">
      <w:pPr>
        <w:pStyle w:val="RAN4H1"/>
        <w:rPr>
          <w:lang w:val="en-US"/>
        </w:rPr>
      </w:pPr>
      <w:bookmarkStart w:id="1" w:name="_Toc116995842"/>
      <w:r w:rsidRPr="00EF698B">
        <w:rPr>
          <w:lang w:val="en-US"/>
        </w:rPr>
        <w:t>Discussion</w:t>
      </w:r>
      <w:bookmarkEnd w:id="1"/>
    </w:p>
    <w:p w14:paraId="1EFF92D9" w14:textId="0580F7D6" w:rsidR="008D142A" w:rsidRDefault="008D142A" w:rsidP="00300956">
      <w:r>
        <w:t xml:space="preserve">In </w:t>
      </w:r>
      <w:r>
        <w:fldChar w:fldCharType="begin"/>
      </w:r>
      <w:r>
        <w:instrText xml:space="preserve"> REF _Ref131678419 \r \h </w:instrText>
      </w:r>
      <w:r>
        <w:fldChar w:fldCharType="separate"/>
      </w:r>
      <w:r>
        <w:t>[2]</w:t>
      </w:r>
      <w:r>
        <w:fldChar w:fldCharType="end"/>
      </w:r>
      <w:r>
        <w:t xml:space="preserve">, several timing aspects for ATG operation were discussed. In this contribution we will focus on some of the key open issues on the cited WF. </w:t>
      </w:r>
    </w:p>
    <w:tbl>
      <w:tblPr>
        <w:tblStyle w:val="TableGrid"/>
        <w:tblW w:w="0" w:type="auto"/>
        <w:tblLook w:val="04A0" w:firstRow="1" w:lastRow="0" w:firstColumn="1" w:lastColumn="0" w:noHBand="0" w:noVBand="1"/>
      </w:tblPr>
      <w:tblGrid>
        <w:gridCol w:w="9617"/>
      </w:tblGrid>
      <w:tr w:rsidR="005862C8" w14:paraId="73A623FE" w14:textId="77777777" w:rsidTr="005862C8">
        <w:tc>
          <w:tcPr>
            <w:tcW w:w="9617" w:type="dxa"/>
          </w:tcPr>
          <w:p w14:paraId="67D0C3F6" w14:textId="77777777" w:rsidR="005862C8" w:rsidRDefault="005862C8" w:rsidP="005862C8">
            <w:pPr>
              <w:rPr>
                <w:b/>
                <w:sz w:val="21"/>
                <w:szCs w:val="21"/>
                <w:u w:val="single"/>
                <w:lang w:eastAsia="ko-KR"/>
              </w:rPr>
            </w:pPr>
            <w:r>
              <w:rPr>
                <w:b/>
                <w:sz w:val="21"/>
                <w:szCs w:val="21"/>
                <w:u w:val="single"/>
                <w:lang w:eastAsia="ko-KR"/>
              </w:rPr>
              <w:t>Issue 5-1: Measurement mechanism</w:t>
            </w:r>
          </w:p>
          <w:p w14:paraId="4EFAAFD9" w14:textId="77777777" w:rsidR="005862C8" w:rsidRDefault="005862C8" w:rsidP="005862C8">
            <w:pPr>
              <w:pStyle w:val="ListParagraph"/>
              <w:numPr>
                <w:ilvl w:val="0"/>
                <w:numId w:val="33"/>
              </w:numPr>
              <w:autoSpaceDN w:val="0"/>
              <w:spacing w:after="120"/>
              <w:contextualSpacing w:val="0"/>
              <w:rPr>
                <w:rFonts w:eastAsia="SimSun"/>
                <w:sz w:val="21"/>
                <w:szCs w:val="21"/>
                <w:lang w:eastAsia="zh-CN"/>
              </w:rPr>
            </w:pPr>
            <w:r>
              <w:rPr>
                <w:rFonts w:eastAsia="SimSun"/>
                <w:sz w:val="21"/>
                <w:szCs w:val="21"/>
              </w:rPr>
              <w:t>Option 1:</w:t>
            </w:r>
          </w:p>
          <w:p w14:paraId="0238FEDD" w14:textId="77777777" w:rsidR="005862C8" w:rsidRDefault="005862C8" w:rsidP="005862C8">
            <w:pPr>
              <w:pStyle w:val="ListParagraph"/>
              <w:numPr>
                <w:ilvl w:val="1"/>
                <w:numId w:val="33"/>
              </w:numPr>
              <w:autoSpaceDN w:val="0"/>
              <w:spacing w:after="120"/>
              <w:contextualSpacing w:val="0"/>
              <w:rPr>
                <w:rFonts w:eastAsia="SimSun"/>
                <w:sz w:val="21"/>
                <w:szCs w:val="21"/>
                <w:lang w:val="en-US"/>
              </w:rPr>
            </w:pPr>
            <w:r>
              <w:rPr>
                <w:rFonts w:eastAsia="SimSun"/>
                <w:sz w:val="21"/>
                <w:szCs w:val="21"/>
              </w:rPr>
              <w:t>If ATG UE altitude higher than certain threshold, ATG UE perform measurement and measurement report</w:t>
            </w:r>
          </w:p>
          <w:p w14:paraId="5F960E65" w14:textId="77777777" w:rsidR="005862C8" w:rsidRDefault="005862C8" w:rsidP="005862C8">
            <w:pPr>
              <w:pStyle w:val="ListParagraph"/>
              <w:numPr>
                <w:ilvl w:val="1"/>
                <w:numId w:val="33"/>
              </w:numPr>
              <w:autoSpaceDN w:val="0"/>
              <w:spacing w:after="120"/>
              <w:contextualSpacing w:val="0"/>
              <w:rPr>
                <w:rFonts w:eastAsia="SimSun"/>
                <w:sz w:val="21"/>
                <w:szCs w:val="21"/>
              </w:rPr>
            </w:pPr>
            <w:r>
              <w:rPr>
                <w:rFonts w:eastAsia="SimSun"/>
                <w:sz w:val="21"/>
                <w:szCs w:val="21"/>
              </w:rPr>
              <w:t>If ATG UE altitude lower than certain threshold, ATG UE may not perform measurement and/or does not perform measurement report</w:t>
            </w:r>
          </w:p>
          <w:p w14:paraId="1AB315AF" w14:textId="77777777" w:rsidR="005862C8" w:rsidRDefault="005862C8" w:rsidP="005862C8">
            <w:pPr>
              <w:pStyle w:val="ListParagraph"/>
              <w:numPr>
                <w:ilvl w:val="0"/>
                <w:numId w:val="33"/>
              </w:numPr>
              <w:autoSpaceDN w:val="0"/>
              <w:spacing w:after="120"/>
              <w:contextualSpacing w:val="0"/>
              <w:rPr>
                <w:rFonts w:eastAsia="SimSun"/>
                <w:sz w:val="21"/>
                <w:szCs w:val="21"/>
              </w:rPr>
            </w:pPr>
            <w:r>
              <w:rPr>
                <w:sz w:val="21"/>
                <w:szCs w:val="21"/>
              </w:rPr>
              <w:t xml:space="preserve">Option </w:t>
            </w:r>
            <w:r>
              <w:rPr>
                <w:rFonts w:asciiTheme="minorEastAsia" w:eastAsiaTheme="minorEastAsia" w:hAnsiTheme="minorEastAsia" w:hint="eastAsia"/>
                <w:sz w:val="21"/>
                <w:szCs w:val="21"/>
              </w:rPr>
              <w:t>2</w:t>
            </w:r>
            <w:r>
              <w:rPr>
                <w:sz w:val="21"/>
                <w:szCs w:val="21"/>
              </w:rPr>
              <w:t>: Wait for the progress in RAN2 for the height-dependent configuration for measurements in connected mode for reusing the framework in ATG.</w:t>
            </w:r>
          </w:p>
          <w:p w14:paraId="63538EA6" w14:textId="77777777" w:rsidR="005862C8" w:rsidRDefault="005862C8" w:rsidP="005862C8">
            <w:pPr>
              <w:pStyle w:val="ListParagraph"/>
              <w:numPr>
                <w:ilvl w:val="0"/>
                <w:numId w:val="33"/>
              </w:numPr>
              <w:autoSpaceDN w:val="0"/>
              <w:spacing w:after="120"/>
              <w:contextualSpacing w:val="0"/>
              <w:rPr>
                <w:rFonts w:eastAsia="SimSun"/>
                <w:sz w:val="21"/>
                <w:szCs w:val="21"/>
              </w:rPr>
            </w:pPr>
            <w:r>
              <w:rPr>
                <w:rFonts w:eastAsia="SimSun"/>
                <w:sz w:val="21"/>
                <w:szCs w:val="21"/>
              </w:rPr>
              <w:t xml:space="preserve">Option 3: </w:t>
            </w:r>
            <w:r>
              <w:rPr>
                <w:sz w:val="21"/>
                <w:szCs w:val="21"/>
              </w:rPr>
              <w:t xml:space="preserve">Do not introduce height-dependent requirements for measurement procedures for ATG UES </w:t>
            </w:r>
          </w:p>
          <w:p w14:paraId="1794595D" w14:textId="77777777" w:rsidR="005862C8" w:rsidRDefault="005862C8" w:rsidP="005862C8">
            <w:pPr>
              <w:pStyle w:val="ListParagraph"/>
              <w:numPr>
                <w:ilvl w:val="1"/>
                <w:numId w:val="33"/>
              </w:numPr>
              <w:autoSpaceDN w:val="0"/>
              <w:spacing w:after="120"/>
              <w:contextualSpacing w:val="0"/>
              <w:rPr>
                <w:rFonts w:eastAsia="SimSun"/>
                <w:sz w:val="21"/>
                <w:szCs w:val="21"/>
              </w:rPr>
            </w:pPr>
            <w:r>
              <w:rPr>
                <w:rFonts w:eastAsiaTheme="minorEastAsia"/>
                <w:sz w:val="21"/>
                <w:szCs w:val="21"/>
              </w:rPr>
              <w:t>Option 4-1: All requirements are applicable for the ATG CPE which is not lower than 3km</w:t>
            </w:r>
          </w:p>
          <w:p w14:paraId="3134FD35" w14:textId="77777777" w:rsidR="005862C8" w:rsidRDefault="005862C8" w:rsidP="005862C8">
            <w:pPr>
              <w:pStyle w:val="ListParagraph"/>
              <w:numPr>
                <w:ilvl w:val="0"/>
                <w:numId w:val="33"/>
              </w:numPr>
              <w:autoSpaceDN w:val="0"/>
              <w:spacing w:after="120"/>
              <w:contextualSpacing w:val="0"/>
              <w:rPr>
                <w:rFonts w:eastAsia="SimSun"/>
                <w:sz w:val="21"/>
                <w:szCs w:val="21"/>
              </w:rPr>
            </w:pPr>
            <w:r>
              <w:rPr>
                <w:rFonts w:eastAsiaTheme="minorEastAsia"/>
                <w:sz w:val="21"/>
                <w:szCs w:val="21"/>
              </w:rPr>
              <w:t xml:space="preserve">Option 4: De-prioritize new measurement mechanism </w:t>
            </w:r>
          </w:p>
          <w:p w14:paraId="58E2AB7A" w14:textId="77777777" w:rsidR="005862C8" w:rsidRDefault="005862C8" w:rsidP="005862C8">
            <w:pPr>
              <w:rPr>
                <w:rFonts w:eastAsiaTheme="minorEastAsia"/>
                <w:i/>
                <w:color w:val="0070C0"/>
                <w:sz w:val="21"/>
                <w:szCs w:val="21"/>
              </w:rPr>
            </w:pPr>
          </w:p>
          <w:p w14:paraId="0AD93D44" w14:textId="77777777" w:rsidR="005862C8" w:rsidRDefault="005862C8" w:rsidP="005862C8">
            <w:pPr>
              <w:rPr>
                <w:rFonts w:eastAsia="SimSun"/>
                <w:b/>
                <w:sz w:val="21"/>
                <w:szCs w:val="21"/>
                <w:u w:val="single"/>
              </w:rPr>
            </w:pPr>
            <w:r>
              <w:rPr>
                <w:b/>
                <w:sz w:val="21"/>
                <w:szCs w:val="21"/>
                <w:u w:val="single"/>
              </w:rPr>
              <w:t>Issue 5-2: Measurement requirement:</w:t>
            </w:r>
          </w:p>
          <w:p w14:paraId="4B101A4A" w14:textId="77777777" w:rsidR="005862C8" w:rsidRDefault="005862C8" w:rsidP="005862C8">
            <w:pPr>
              <w:pStyle w:val="ListParagraph"/>
              <w:numPr>
                <w:ilvl w:val="0"/>
                <w:numId w:val="33"/>
              </w:numPr>
              <w:autoSpaceDN w:val="0"/>
              <w:spacing w:after="120"/>
              <w:contextualSpacing w:val="0"/>
              <w:rPr>
                <w:rFonts w:eastAsia="Times New Roman"/>
                <w:b/>
                <w:sz w:val="21"/>
                <w:szCs w:val="21"/>
                <w:u w:val="single"/>
                <w:lang w:val="en-US"/>
              </w:rPr>
            </w:pPr>
            <w:r>
              <w:rPr>
                <w:rFonts w:eastAsia="SimSun"/>
                <w:sz w:val="21"/>
                <w:szCs w:val="21"/>
              </w:rPr>
              <w:t xml:space="preserve">Option 1: </w:t>
            </w:r>
            <w:r>
              <w:rPr>
                <w:rFonts w:eastAsia="Yu Mincho"/>
                <w:sz w:val="21"/>
                <w:szCs w:val="21"/>
              </w:rPr>
              <w:t>Further discuss whether the assumption of a directional antenna affects the measurement requirements.</w:t>
            </w:r>
          </w:p>
          <w:p w14:paraId="52CBE893" w14:textId="77777777" w:rsidR="005862C8" w:rsidRPr="005862C8" w:rsidRDefault="005862C8" w:rsidP="00300956">
            <w:pPr>
              <w:rPr>
                <w:lang w:val="en-US"/>
              </w:rPr>
            </w:pPr>
          </w:p>
        </w:tc>
      </w:tr>
    </w:tbl>
    <w:p w14:paraId="3FB08504" w14:textId="535CE213" w:rsidR="005862C8" w:rsidRDefault="005862C8" w:rsidP="00300956"/>
    <w:p w14:paraId="69E23D41" w14:textId="00A37632" w:rsidR="005862C8" w:rsidRDefault="005862C8" w:rsidP="005862C8">
      <w:r>
        <w:t xml:space="preserve">The main idea behind introducing height-dependent mechanisms is that the ATG UE (the aircraft) is under very different propagation conditions when on the ground and when flying. However, as we’ll discuss in this paper the </w:t>
      </w:r>
      <w:r>
        <w:lastRenderedPageBreak/>
        <w:t>advantage in creating a new procedure to do it does not justify the effort need in certain cases.</w:t>
      </w:r>
      <w:r>
        <w:t xml:space="preserve"> There are many reasons why this modification does not seem to produce significative gains in performance:</w:t>
      </w:r>
    </w:p>
    <w:p w14:paraId="72A251C0" w14:textId="220B3ED2" w:rsidR="005862C8" w:rsidRDefault="005862C8" w:rsidP="005862C8">
      <w:pPr>
        <w:pStyle w:val="ListParagraph"/>
        <w:numPr>
          <w:ilvl w:val="0"/>
          <w:numId w:val="31"/>
        </w:numPr>
      </w:pPr>
      <w:r>
        <w:t>Aircrafts on the ground have very low mobility for most of the time. Unless they are landing or taking off, it is unlikely that the ATG UE will be moving in a very significant manner</w:t>
      </w:r>
      <w:r w:rsidRPr="00536E7B">
        <w:rPr>
          <w:b/>
          <w:bCs/>
        </w:rPr>
        <w:t xml:space="preserve">. </w:t>
      </w:r>
    </w:p>
    <w:p w14:paraId="58271D12" w14:textId="19FA193C" w:rsidR="005862C8" w:rsidRDefault="005862C8" w:rsidP="005862C8">
      <w:pPr>
        <w:pStyle w:val="ListParagraph"/>
        <w:numPr>
          <w:ilvl w:val="0"/>
          <w:numId w:val="31"/>
        </w:numPr>
      </w:pPr>
      <w:r>
        <w:t xml:space="preserve">If the aircrafts are on the </w:t>
      </w:r>
      <w:proofErr w:type="gramStart"/>
      <w:r>
        <w:t>ground</w:t>
      </w:r>
      <w:proofErr w:type="gramEnd"/>
      <w:r>
        <w:t xml:space="preserve"> it is more likely that the CPE will be turned off. It is more likely that the CPE in the aircraft will be turned on when the aircraft is close to start moving. </w:t>
      </w:r>
    </w:p>
    <w:p w14:paraId="2AA6C7B3" w14:textId="057F8336" w:rsidR="005862C8" w:rsidRDefault="005862C8" w:rsidP="005862C8">
      <w:pPr>
        <w:pStyle w:val="ListParagraph"/>
        <w:numPr>
          <w:ilvl w:val="0"/>
          <w:numId w:val="31"/>
        </w:numPr>
      </w:pPr>
      <w:r>
        <w:t>The ATG UE is unlikely to be limited in power.</w:t>
      </w:r>
    </w:p>
    <w:p w14:paraId="4916C933" w14:textId="7374D86E" w:rsidR="005862C8" w:rsidRDefault="005862C8" w:rsidP="005862C8">
      <w:r>
        <w:t>Besides, a mechanism for height-dependent measurement configuration and criteria is already being discussed for UAVs in RAN2. Even if RAN4 decides to adopt the height-dependent measurements in connected mode, the framework already considered for UAVs should be reused.</w:t>
      </w:r>
    </w:p>
    <w:p w14:paraId="0A317C2D" w14:textId="54594714" w:rsidR="005862C8" w:rsidRDefault="005862C8" w:rsidP="005862C8">
      <w:pPr>
        <w:pStyle w:val="RAN4proposal"/>
      </w:pPr>
      <w:bookmarkStart w:id="2" w:name="_Toc131688704"/>
      <w:bookmarkStart w:id="3" w:name="_Toc135090225"/>
      <w:r>
        <w:t xml:space="preserve">Do not introduce additional height dependent measurement mechanisms for ATG. </w:t>
      </w:r>
      <w:r>
        <w:t>Wait for the progress in RAN2 for the height-dependent configuration for measurements in connected mode for reusing the framework in ATG.</w:t>
      </w:r>
      <w:bookmarkEnd w:id="2"/>
      <w:bookmarkEnd w:id="3"/>
      <w:r>
        <w:t xml:space="preserve"> </w:t>
      </w:r>
    </w:p>
    <w:p w14:paraId="275A0D5F" w14:textId="647DA66B" w:rsidR="009C1E82" w:rsidRDefault="005862C8" w:rsidP="009C1E82">
      <w:pPr>
        <w:rPr>
          <w:lang w:val="en-US"/>
        </w:rPr>
      </w:pPr>
      <w:r>
        <w:t xml:space="preserve">Issue 5-2 presents a relevant discussion for ATG UEs. </w:t>
      </w:r>
      <w:r w:rsidR="009C1E82">
        <w:rPr>
          <w:lang w:val="en-US"/>
        </w:rPr>
        <w:t xml:space="preserve">This WI has considered ATG implementations at frequencies around 2 and 4 GHz. As it is currently discussed in RF topics, the ATG UE operating at 4 GHz is assumed to be a CPE UE capable of directional transmissions towards the base station. </w:t>
      </w:r>
    </w:p>
    <w:p w14:paraId="0780F2B7" w14:textId="77777777" w:rsidR="009C1E82" w:rsidRDefault="009C1E82" w:rsidP="009C1E82">
      <w:r>
        <w:rPr>
          <w:lang w:val="en-US"/>
        </w:rPr>
        <w:t xml:space="preserve">However, 4 GHz is still a frequency in the range of FR1 where the mobility requirements were designed for a UE using omni directional transmission. </w:t>
      </w:r>
      <w:bookmarkStart w:id="4" w:name="_Toc116981541"/>
      <w:bookmarkStart w:id="5" w:name="_Toc116982824"/>
      <w:bookmarkStart w:id="6" w:name="_Toc116982859"/>
      <w:bookmarkStart w:id="7" w:name="_Toc116982882"/>
      <w:bookmarkStart w:id="8" w:name="_Toc116994710"/>
      <w:bookmarkStart w:id="9" w:name="_Toc116994823"/>
      <w:bookmarkStart w:id="10" w:name="_Toc116994895"/>
      <w:bookmarkStart w:id="11" w:name="_Toc116994909"/>
      <w:bookmarkStart w:id="12" w:name="_Toc116995098"/>
      <w:bookmarkStart w:id="13" w:name="_Toc116995141"/>
      <w:bookmarkStart w:id="14" w:name="_Toc116995897"/>
      <w:bookmarkStart w:id="15" w:name="_Toc116995923"/>
      <w:bookmarkStart w:id="16" w:name="_Toc116995943"/>
      <w:bookmarkStart w:id="17" w:name="_Toc116996063"/>
      <w:bookmarkStart w:id="18" w:name="_Toc116996084"/>
      <w:bookmarkStart w:id="19" w:name="_Toc116996089"/>
      <w:bookmarkStart w:id="20" w:name="_Toc116996131"/>
      <w:bookmarkStart w:id="21" w:name="_Toc116996431"/>
      <w:bookmarkStart w:id="22" w:name="_Toc116996752"/>
      <w:bookmarkStart w:id="23" w:name="_Toc116997065"/>
      <w:bookmarkStart w:id="24" w:name="_Toc132796768"/>
      <w:r>
        <w:t xml:space="preserve">For cell reselection, UEs operating in the band above 10 GHz are expected to have beam directionality according to the WID. </w:t>
      </w:r>
    </w:p>
    <w:p w14:paraId="581C25DA" w14:textId="4AA890B2" w:rsidR="009C1E82" w:rsidRPr="009C1E82" w:rsidRDefault="009C1E82" w:rsidP="009C1E82">
      <w:pPr>
        <w:rPr>
          <w:lang w:val="en-US"/>
        </w:rPr>
      </w:pPr>
      <w:r>
        <w:t xml:space="preserve">A UE capable of directional transmission is performing “tracking” of the base station to a certain degree. This brings the advantage to enhance the antenna gain in the direction of the serving cell, but it potentially decreases the antenna gain in the direction of </w:t>
      </w:r>
      <w:proofErr w:type="spellStart"/>
      <w:r>
        <w:t>neighboring</w:t>
      </w:r>
      <w:proofErr w:type="spellEnd"/>
      <w:r>
        <w:t xml:space="preserve"> cells. Therefore, the UE shall perform </w:t>
      </w:r>
      <w:r w:rsidRPr="009C1E82">
        <w:rPr>
          <w:b/>
          <w:bCs/>
          <w:u w:val="single"/>
        </w:rPr>
        <w:t xml:space="preserve">measurements also in different directions when measuring </w:t>
      </w:r>
      <w:proofErr w:type="spellStart"/>
      <w:r>
        <w:rPr>
          <w:b/>
          <w:bCs/>
          <w:u w:val="single"/>
        </w:rPr>
        <w:t>neighbor</w:t>
      </w:r>
      <w:proofErr w:type="spellEnd"/>
      <w:r>
        <w:rPr>
          <w:b/>
          <w:bCs/>
          <w:u w:val="single"/>
        </w:rPr>
        <w:t xml:space="preserve"> cells</w:t>
      </w:r>
      <w:r>
        <w:t xml:space="preserve">. </w:t>
      </w:r>
    </w:p>
    <w:p w14:paraId="14BD720F" w14:textId="38D08D0C" w:rsidR="009C1E82" w:rsidRDefault="009C1E82" w:rsidP="009C1E82">
      <w:pPr>
        <w:pStyle w:val="RAN4proposal"/>
      </w:pPr>
      <w:bookmarkStart w:id="25" w:name="_Toc135062935"/>
      <w:bookmarkStart w:id="26" w:name="_Toc135071207"/>
      <w:bookmarkStart w:id="27" w:name="_Toc135090226"/>
      <w:r>
        <w:t xml:space="preserve">For </w:t>
      </w:r>
      <w:r w:rsidR="00264232">
        <w:t>UEs with directional antennas operating in 4 GHz</w:t>
      </w:r>
      <w:r>
        <w:t xml:space="preserve">, use a scaling </w:t>
      </w:r>
      <w:bookmarkEnd w:id="25"/>
      <w:bookmarkEnd w:id="26"/>
      <w:r w:rsidR="005862C8">
        <w:t>N for ATG UEs measurement requirements to account for measurement across multiple directional beams.</w:t>
      </w:r>
      <w:bookmarkEnd w:id="27"/>
    </w:p>
    <w:p w14:paraId="6745D18E" w14:textId="2C381418" w:rsidR="005862C8" w:rsidRDefault="005862C8" w:rsidP="005862C8">
      <w:pPr>
        <w:pStyle w:val="RAN4proposal"/>
        <w:rPr>
          <w:lang w:val="pt-BR"/>
        </w:rPr>
      </w:pPr>
      <w:bookmarkStart w:id="28" w:name="_Toc1350902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Start"/>
      <w:r w:rsidRPr="005862C8">
        <w:rPr>
          <w:lang w:val="pt-BR"/>
        </w:rPr>
        <w:t>Adopt</w:t>
      </w:r>
      <w:proofErr w:type="spellEnd"/>
      <w:r w:rsidRPr="005862C8">
        <w:rPr>
          <w:lang w:val="pt-BR"/>
        </w:rPr>
        <w:t xml:space="preserve"> “N” </w:t>
      </w:r>
      <w:proofErr w:type="spellStart"/>
      <w:r w:rsidRPr="005862C8">
        <w:rPr>
          <w:lang w:val="pt-BR"/>
        </w:rPr>
        <w:t>factor</w:t>
      </w:r>
      <w:proofErr w:type="spellEnd"/>
      <w:r w:rsidRPr="005862C8">
        <w:rPr>
          <w:lang w:val="pt-BR"/>
        </w:rPr>
        <w:t xml:space="preserve"> </w:t>
      </w:r>
      <w:proofErr w:type="spellStart"/>
      <w:r w:rsidRPr="005862C8">
        <w:rPr>
          <w:lang w:val="pt-BR"/>
        </w:rPr>
        <w:t>equal</w:t>
      </w:r>
      <w:proofErr w:type="spellEnd"/>
      <w:r w:rsidRPr="005862C8">
        <w:rPr>
          <w:lang w:val="pt-BR"/>
        </w:rPr>
        <w:t xml:space="preserve"> </w:t>
      </w:r>
      <w:proofErr w:type="spellStart"/>
      <w:r w:rsidRPr="005862C8">
        <w:rPr>
          <w:lang w:val="pt-BR"/>
        </w:rPr>
        <w:t>t</w:t>
      </w:r>
      <w:r>
        <w:rPr>
          <w:lang w:val="pt-BR"/>
        </w:rPr>
        <w:t>o</w:t>
      </w:r>
      <w:proofErr w:type="spellEnd"/>
      <w:r>
        <w:rPr>
          <w:lang w:val="pt-BR"/>
        </w:rPr>
        <w:t xml:space="preserve"> 4.</w:t>
      </w:r>
      <w:bookmarkEnd w:id="28"/>
      <w:r>
        <w:rPr>
          <w:lang w:val="pt-BR"/>
        </w:rPr>
        <w:t xml:space="preserve"> </w:t>
      </w:r>
    </w:p>
    <w:p w14:paraId="7C88FB1A" w14:textId="59E28C2A" w:rsidR="00E24510" w:rsidRPr="00E24510" w:rsidRDefault="00E24510" w:rsidP="00E24510"/>
    <w:p w14:paraId="005E3F8D" w14:textId="77777777" w:rsidR="009C1E82" w:rsidRPr="00E24510" w:rsidRDefault="009C1E82" w:rsidP="009C1E82"/>
    <w:p w14:paraId="0087DD56" w14:textId="77777777" w:rsidR="0060543D" w:rsidRPr="00E24510" w:rsidRDefault="0060543D" w:rsidP="0060543D"/>
    <w:p w14:paraId="7742CB7C" w14:textId="77777777" w:rsidR="0060543D" w:rsidRPr="00E24510" w:rsidRDefault="0060543D" w:rsidP="0060543D"/>
    <w:p w14:paraId="58854A6F" w14:textId="77777777" w:rsidR="00CD7492" w:rsidRPr="00EF698B" w:rsidRDefault="00CD7492" w:rsidP="00A37002">
      <w:pPr>
        <w:pStyle w:val="RAN4H1"/>
        <w:rPr>
          <w:lang w:val="en-US"/>
        </w:rPr>
      </w:pPr>
      <w:bookmarkStart w:id="29" w:name="_Toc116995848"/>
      <w:r w:rsidRPr="00EF698B">
        <w:rPr>
          <w:lang w:val="en-US"/>
        </w:rPr>
        <w:t>Conclusion</w:t>
      </w:r>
      <w:bookmarkEnd w:id="29"/>
    </w:p>
    <w:p w14:paraId="2E9A2635" w14:textId="73AEFC3F" w:rsidR="00D5270B" w:rsidRPr="00360B3B" w:rsidRDefault="008B0961" w:rsidP="00936159">
      <w:r>
        <w:t>In the paper,</w:t>
      </w:r>
      <w:r w:rsidR="00F16B66">
        <w:t xml:space="preserve"> we analysed some of the open issues for ATG timing requirements. T</w:t>
      </w:r>
      <w:r w:rsidR="005B4801">
        <w:t xml:space="preserve">he </w:t>
      </w:r>
      <w:r w:rsidR="005B4801" w:rsidRPr="00E55751">
        <w:t xml:space="preserve">following Observations </w:t>
      </w:r>
      <w:r w:rsidRPr="00E55751">
        <w:t>and</w:t>
      </w:r>
      <w:r w:rsidR="005B4801">
        <w:t xml:space="preserve"> Proposals were made:</w:t>
      </w:r>
    </w:p>
    <w:bookmarkStart w:id="30" w:name="_Toc116995849"/>
    <w:p w14:paraId="22A56216" w14:textId="77777777" w:rsidR="00360B3B" w:rsidRPr="00360B3B" w:rsidRDefault="009F5872">
      <w:pPr>
        <w:pStyle w:val="TOC1"/>
        <w:rPr>
          <w:rFonts w:asciiTheme="minorHAnsi" w:eastAsiaTheme="minorEastAsia" w:hAnsiTheme="minorHAnsi"/>
          <w:b/>
          <w:bCs/>
          <w:i w:val="0"/>
          <w:iCs w:val="0"/>
          <w:sz w:val="22"/>
          <w:u w:val="none"/>
          <w:lang w:eastAsia="en-GB"/>
        </w:rPr>
      </w:pPr>
      <w:r w:rsidRPr="00360B3B">
        <w:rPr>
          <w:b/>
          <w:bCs/>
          <w:i w:val="0"/>
          <w:iCs w:val="0"/>
          <w:u w:val="none"/>
          <w:lang w:val="en-US"/>
        </w:rPr>
        <w:fldChar w:fldCharType="begin"/>
      </w:r>
      <w:r w:rsidRPr="00360B3B">
        <w:rPr>
          <w:b/>
          <w:bCs/>
          <w:i w:val="0"/>
          <w:iCs w:val="0"/>
          <w:u w:val="none"/>
          <w:lang w:val="en-US"/>
        </w:rPr>
        <w:instrText xml:space="preserve"> TOC \n \p " " \t "RAN4 proposal;1;RAN4 observation;1" </w:instrText>
      </w:r>
      <w:r w:rsidRPr="00360B3B">
        <w:rPr>
          <w:b/>
          <w:bCs/>
          <w:i w:val="0"/>
          <w:iCs w:val="0"/>
          <w:u w:val="none"/>
          <w:lang w:val="en-US"/>
        </w:rPr>
        <w:fldChar w:fldCharType="separate"/>
      </w:r>
      <w:r w:rsidR="00360B3B" w:rsidRPr="00360B3B">
        <w:rPr>
          <w:b/>
          <w:bCs/>
          <w:i w:val="0"/>
          <w:iCs w:val="0"/>
          <w:u w:val="none"/>
        </w:rPr>
        <w:t>Proposal 1: Do not introduce additional height dependent measurement mechanisms for ATG. Wait for the progress in RAN2 for the height-dependent configuration for measurements in connected mode for reusing the framework in ATG.</w:t>
      </w:r>
    </w:p>
    <w:p w14:paraId="3DB0A190" w14:textId="77777777" w:rsidR="00360B3B" w:rsidRPr="00360B3B" w:rsidRDefault="00360B3B">
      <w:pPr>
        <w:pStyle w:val="TOC1"/>
        <w:rPr>
          <w:rFonts w:asciiTheme="minorHAnsi" w:eastAsiaTheme="minorEastAsia" w:hAnsiTheme="minorHAnsi"/>
          <w:b/>
          <w:bCs/>
          <w:i w:val="0"/>
          <w:iCs w:val="0"/>
          <w:sz w:val="22"/>
          <w:u w:val="none"/>
          <w:lang w:eastAsia="en-GB"/>
        </w:rPr>
      </w:pPr>
      <w:r w:rsidRPr="00360B3B">
        <w:rPr>
          <w:b/>
          <w:bCs/>
          <w:i w:val="0"/>
          <w:iCs w:val="0"/>
          <w:u w:val="none"/>
        </w:rPr>
        <w:t>Proposal 2: For UEs with directional antennas operating in 4 GHz, use a scaling N for ATG UEs measurement requirements to account for measurement across multiple directional beams.</w:t>
      </w:r>
    </w:p>
    <w:p w14:paraId="3C32D44D" w14:textId="77777777" w:rsidR="00360B3B" w:rsidRPr="00360B3B" w:rsidRDefault="00360B3B">
      <w:pPr>
        <w:pStyle w:val="TOC1"/>
        <w:rPr>
          <w:rFonts w:asciiTheme="minorHAnsi" w:eastAsiaTheme="minorEastAsia" w:hAnsiTheme="minorHAnsi"/>
          <w:b/>
          <w:bCs/>
          <w:i w:val="0"/>
          <w:iCs w:val="0"/>
          <w:sz w:val="22"/>
          <w:u w:val="none"/>
          <w:lang w:eastAsia="en-GB"/>
        </w:rPr>
      </w:pPr>
      <w:r w:rsidRPr="00360B3B">
        <w:rPr>
          <w:b/>
          <w:bCs/>
          <w:i w:val="0"/>
          <w:iCs w:val="0"/>
          <w:u w:val="none"/>
          <w:lang w:val="pt-BR"/>
        </w:rPr>
        <w:t>Proposal 3: Adopt “N” factor equal to 4.</w:t>
      </w:r>
    </w:p>
    <w:p w14:paraId="163FF8D0" w14:textId="0507504A" w:rsidR="003B659E" w:rsidRPr="0060543D" w:rsidRDefault="009F5872" w:rsidP="0060543D">
      <w:pPr>
        <w:pStyle w:val="RAN4H1"/>
        <w:numPr>
          <w:ilvl w:val="0"/>
          <w:numId w:val="0"/>
        </w:numPr>
        <w:ind w:left="360" w:hanging="360"/>
      </w:pPr>
      <w:r w:rsidRPr="00360B3B">
        <w:rPr>
          <w:rFonts w:ascii="Times New Roman" w:eastAsiaTheme="minorHAnsi" w:hAnsi="Times New Roman" w:cstheme="minorBidi"/>
          <w:b/>
          <w:bCs/>
          <w:noProof/>
          <w:sz w:val="20"/>
          <w:szCs w:val="22"/>
          <w:lang w:val="en-US"/>
        </w:rPr>
        <w:fldChar w:fldCharType="end"/>
      </w:r>
      <w:r w:rsidR="003B659E" w:rsidRPr="00EF698B">
        <w:t>References</w:t>
      </w:r>
      <w:bookmarkEnd w:id="30"/>
    </w:p>
    <w:p w14:paraId="2F38FBC3" w14:textId="14C1A23C" w:rsidR="00687FA0" w:rsidRPr="003C4FDE" w:rsidRDefault="00935232" w:rsidP="00D66188">
      <w:pPr>
        <w:pStyle w:val="ListParagraph"/>
        <w:numPr>
          <w:ilvl w:val="0"/>
          <w:numId w:val="21"/>
        </w:numPr>
        <w:ind w:right="-22"/>
      </w:pPr>
      <w:bookmarkStart w:id="31" w:name="_Ref114500673"/>
      <w:bookmarkStart w:id="32" w:name="_Ref131674798"/>
      <w:bookmarkEnd w:id="31"/>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32"/>
      <w:r w:rsidR="000040DC" w:rsidRPr="003C4FDE">
        <w:t xml:space="preserve"> </w:t>
      </w:r>
    </w:p>
    <w:p w14:paraId="1DBAF4D7" w14:textId="35033A74" w:rsidR="000040DC" w:rsidRPr="00893330" w:rsidRDefault="00F1433D" w:rsidP="000040DC">
      <w:pPr>
        <w:pStyle w:val="ListParagraph"/>
        <w:numPr>
          <w:ilvl w:val="0"/>
          <w:numId w:val="21"/>
        </w:numPr>
        <w:ind w:right="-22"/>
      </w:pPr>
      <w:bookmarkStart w:id="33" w:name="_Ref131678419"/>
      <w:r w:rsidRPr="00F1433D">
        <w:lastRenderedPageBreak/>
        <w:t>R4-2306344</w:t>
      </w:r>
      <w:r w:rsidR="008D142A" w:rsidRPr="003C4FDE">
        <w:t xml:space="preserve">, </w:t>
      </w:r>
      <w:r w:rsidR="008D142A">
        <w:t>“</w:t>
      </w:r>
      <w:r w:rsidR="008D142A" w:rsidRPr="008D142A">
        <w:rPr>
          <w:i/>
          <w:iCs/>
        </w:rPr>
        <w:t>WF on NR ATG RRM requirements</w:t>
      </w:r>
      <w:r w:rsidR="008D142A">
        <w:rPr>
          <w:i/>
          <w:iCs/>
        </w:rPr>
        <w:t>”</w:t>
      </w:r>
      <w:r w:rsidR="008D142A" w:rsidRPr="003C4FDE">
        <w:t xml:space="preserve">, </w:t>
      </w:r>
      <w:r w:rsidR="008D142A" w:rsidRPr="00935232">
        <w:t>CMCC</w:t>
      </w:r>
      <w:r w:rsidR="008D142A" w:rsidRPr="003C4FDE">
        <w:t>, RAN</w:t>
      </w:r>
      <w:r w:rsidR="008D142A">
        <w:t>4</w:t>
      </w:r>
      <w:r w:rsidR="008D142A" w:rsidRPr="003C4FDE">
        <w:t xml:space="preserve"> #</w:t>
      </w:r>
      <w:r w:rsidR="008D142A">
        <w:t>106</w:t>
      </w:r>
      <w:r w:rsidR="008D142A" w:rsidRPr="003C4FDE">
        <w:t xml:space="preserve">, </w:t>
      </w:r>
      <w:r w:rsidR="008D142A">
        <w:t>Feb 27 – March 03</w:t>
      </w:r>
      <w:r w:rsidR="008D142A" w:rsidRPr="003C4FDE">
        <w:t>, 202</w:t>
      </w:r>
      <w:r w:rsidR="008D142A">
        <w:t>3, Athens, Greece</w:t>
      </w:r>
      <w:bookmarkEnd w:id="33"/>
      <w:r w:rsidR="008D142A" w:rsidRPr="003C4FDE">
        <w:t xml:space="preserve"> </w:t>
      </w: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9E49" w14:textId="77777777" w:rsidR="00AF3A4C" w:rsidRDefault="00AF3A4C" w:rsidP="00001C9B">
      <w:pPr>
        <w:spacing w:after="0" w:line="240" w:lineRule="auto"/>
      </w:pPr>
      <w:r>
        <w:separator/>
      </w:r>
    </w:p>
  </w:endnote>
  <w:endnote w:type="continuationSeparator" w:id="0">
    <w:p w14:paraId="47FAB73C" w14:textId="77777777" w:rsidR="00AF3A4C" w:rsidRDefault="00AF3A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7DA3" w14:textId="77777777" w:rsidR="00AF3A4C" w:rsidRDefault="00AF3A4C" w:rsidP="00001C9B">
      <w:pPr>
        <w:spacing w:after="0" w:line="240" w:lineRule="auto"/>
      </w:pPr>
      <w:r>
        <w:separator/>
      </w:r>
    </w:p>
  </w:footnote>
  <w:footnote w:type="continuationSeparator" w:id="0">
    <w:p w14:paraId="56CF436C" w14:textId="77777777" w:rsidR="00AF3A4C" w:rsidRDefault="00AF3A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558BC"/>
    <w:multiLevelType w:val="hybridMultilevel"/>
    <w:tmpl w:val="AC049B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5D9A6A1E"/>
    <w:lvl w:ilvl="0" w:tplc="630298E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652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F03D0F"/>
    <w:multiLevelType w:val="hybridMultilevel"/>
    <w:tmpl w:val="690ED3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3"/>
  </w:num>
  <w:num w:numId="29" w16cid:durableId="1080445979">
    <w:abstractNumId w:val="13"/>
  </w:num>
  <w:num w:numId="30" w16cid:durableId="405566104">
    <w:abstractNumId w:val="17"/>
  </w:num>
  <w:num w:numId="31" w16cid:durableId="962614232">
    <w:abstractNumId w:val="5"/>
  </w:num>
  <w:num w:numId="32" w16cid:durableId="856232470">
    <w:abstractNumId w:val="8"/>
  </w:num>
  <w:num w:numId="33" w16cid:durableId="1735152948">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08B1"/>
    <w:rsid w:val="000151EF"/>
    <w:rsid w:val="000239F5"/>
    <w:rsid w:val="000322BE"/>
    <w:rsid w:val="0004155B"/>
    <w:rsid w:val="0008612A"/>
    <w:rsid w:val="00090E18"/>
    <w:rsid w:val="000A10BC"/>
    <w:rsid w:val="000B0056"/>
    <w:rsid w:val="000B3DC4"/>
    <w:rsid w:val="000C3C7B"/>
    <w:rsid w:val="000D0F93"/>
    <w:rsid w:val="000E761E"/>
    <w:rsid w:val="00106416"/>
    <w:rsid w:val="00110481"/>
    <w:rsid w:val="001127C9"/>
    <w:rsid w:val="001138D5"/>
    <w:rsid w:val="00115B88"/>
    <w:rsid w:val="00132F6A"/>
    <w:rsid w:val="00133913"/>
    <w:rsid w:val="00140221"/>
    <w:rsid w:val="00147E19"/>
    <w:rsid w:val="00150A36"/>
    <w:rsid w:val="001642FC"/>
    <w:rsid w:val="0016496B"/>
    <w:rsid w:val="001743E2"/>
    <w:rsid w:val="001745F8"/>
    <w:rsid w:val="001838CF"/>
    <w:rsid w:val="001868EE"/>
    <w:rsid w:val="001A3BA4"/>
    <w:rsid w:val="001A6D1F"/>
    <w:rsid w:val="001C4428"/>
    <w:rsid w:val="001D415C"/>
    <w:rsid w:val="001E30F6"/>
    <w:rsid w:val="001E7E8C"/>
    <w:rsid w:val="00213769"/>
    <w:rsid w:val="00217EE5"/>
    <w:rsid w:val="00235F5C"/>
    <w:rsid w:val="00257FA3"/>
    <w:rsid w:val="00264232"/>
    <w:rsid w:val="00277B56"/>
    <w:rsid w:val="002A19F5"/>
    <w:rsid w:val="002A729B"/>
    <w:rsid w:val="002B4922"/>
    <w:rsid w:val="002C22C3"/>
    <w:rsid w:val="002C2D19"/>
    <w:rsid w:val="002D10FA"/>
    <w:rsid w:val="002D4C55"/>
    <w:rsid w:val="002D5E8E"/>
    <w:rsid w:val="002E6DED"/>
    <w:rsid w:val="002F3C23"/>
    <w:rsid w:val="00300956"/>
    <w:rsid w:val="00301613"/>
    <w:rsid w:val="00317187"/>
    <w:rsid w:val="0032499A"/>
    <w:rsid w:val="003341F7"/>
    <w:rsid w:val="003464BC"/>
    <w:rsid w:val="00347FEC"/>
    <w:rsid w:val="00356F45"/>
    <w:rsid w:val="00360B3B"/>
    <w:rsid w:val="00366B74"/>
    <w:rsid w:val="003672FB"/>
    <w:rsid w:val="00380E07"/>
    <w:rsid w:val="003A710A"/>
    <w:rsid w:val="003B659E"/>
    <w:rsid w:val="003C275E"/>
    <w:rsid w:val="003C4FDE"/>
    <w:rsid w:val="003E58DF"/>
    <w:rsid w:val="003F0922"/>
    <w:rsid w:val="00404C4C"/>
    <w:rsid w:val="0041423F"/>
    <w:rsid w:val="00414F81"/>
    <w:rsid w:val="00436A0F"/>
    <w:rsid w:val="00437150"/>
    <w:rsid w:val="0043750A"/>
    <w:rsid w:val="00452A97"/>
    <w:rsid w:val="00452BA7"/>
    <w:rsid w:val="004732E9"/>
    <w:rsid w:val="004803D9"/>
    <w:rsid w:val="004854BB"/>
    <w:rsid w:val="00494493"/>
    <w:rsid w:val="00496606"/>
    <w:rsid w:val="004E5E66"/>
    <w:rsid w:val="004E7ADB"/>
    <w:rsid w:val="00503B4D"/>
    <w:rsid w:val="00504EE9"/>
    <w:rsid w:val="00510CBF"/>
    <w:rsid w:val="0051103F"/>
    <w:rsid w:val="00521576"/>
    <w:rsid w:val="005250E6"/>
    <w:rsid w:val="00542D23"/>
    <w:rsid w:val="0054442C"/>
    <w:rsid w:val="00550285"/>
    <w:rsid w:val="00562492"/>
    <w:rsid w:val="00572A20"/>
    <w:rsid w:val="00573EF7"/>
    <w:rsid w:val="005836F8"/>
    <w:rsid w:val="005862C8"/>
    <w:rsid w:val="005918FA"/>
    <w:rsid w:val="00592A86"/>
    <w:rsid w:val="00592D37"/>
    <w:rsid w:val="005A3045"/>
    <w:rsid w:val="005A6AF6"/>
    <w:rsid w:val="005B03C5"/>
    <w:rsid w:val="005B4801"/>
    <w:rsid w:val="005C23A4"/>
    <w:rsid w:val="005D1CDF"/>
    <w:rsid w:val="005D2BB7"/>
    <w:rsid w:val="005E61A8"/>
    <w:rsid w:val="005F6419"/>
    <w:rsid w:val="0060543D"/>
    <w:rsid w:val="006104DD"/>
    <w:rsid w:val="006130B5"/>
    <w:rsid w:val="00617400"/>
    <w:rsid w:val="00632D29"/>
    <w:rsid w:val="00664950"/>
    <w:rsid w:val="00683220"/>
    <w:rsid w:val="006838BC"/>
    <w:rsid w:val="00687FA0"/>
    <w:rsid w:val="006A3C11"/>
    <w:rsid w:val="006B7010"/>
    <w:rsid w:val="006C03AD"/>
    <w:rsid w:val="006C3095"/>
    <w:rsid w:val="006C7F38"/>
    <w:rsid w:val="006E1151"/>
    <w:rsid w:val="006E2BC3"/>
    <w:rsid w:val="006E6311"/>
    <w:rsid w:val="007145FF"/>
    <w:rsid w:val="00715B2A"/>
    <w:rsid w:val="00734C65"/>
    <w:rsid w:val="007450F1"/>
    <w:rsid w:val="00751515"/>
    <w:rsid w:val="007626B7"/>
    <w:rsid w:val="0078212B"/>
    <w:rsid w:val="00784DF6"/>
    <w:rsid w:val="00785232"/>
    <w:rsid w:val="007B186C"/>
    <w:rsid w:val="007B58D8"/>
    <w:rsid w:val="007B63C0"/>
    <w:rsid w:val="007C1696"/>
    <w:rsid w:val="007C3ED0"/>
    <w:rsid w:val="007C5971"/>
    <w:rsid w:val="007F54B9"/>
    <w:rsid w:val="00805724"/>
    <w:rsid w:val="00806A76"/>
    <w:rsid w:val="00811C9D"/>
    <w:rsid w:val="00816C80"/>
    <w:rsid w:val="00824F20"/>
    <w:rsid w:val="00841BCD"/>
    <w:rsid w:val="008509EC"/>
    <w:rsid w:val="00851A8E"/>
    <w:rsid w:val="0085365B"/>
    <w:rsid w:val="00873C03"/>
    <w:rsid w:val="008826C1"/>
    <w:rsid w:val="00883DFD"/>
    <w:rsid w:val="00893330"/>
    <w:rsid w:val="008A1BF7"/>
    <w:rsid w:val="008A5B0E"/>
    <w:rsid w:val="008B0961"/>
    <w:rsid w:val="008D142A"/>
    <w:rsid w:val="0090091A"/>
    <w:rsid w:val="009042BD"/>
    <w:rsid w:val="00904FE4"/>
    <w:rsid w:val="00935232"/>
    <w:rsid w:val="00936159"/>
    <w:rsid w:val="00937203"/>
    <w:rsid w:val="00942664"/>
    <w:rsid w:val="00944279"/>
    <w:rsid w:val="009445D3"/>
    <w:rsid w:val="00977E1D"/>
    <w:rsid w:val="00985468"/>
    <w:rsid w:val="00994DFA"/>
    <w:rsid w:val="009B0573"/>
    <w:rsid w:val="009B7B4B"/>
    <w:rsid w:val="009B7C21"/>
    <w:rsid w:val="009C1E82"/>
    <w:rsid w:val="009D708F"/>
    <w:rsid w:val="009E17E9"/>
    <w:rsid w:val="009F5872"/>
    <w:rsid w:val="00A04992"/>
    <w:rsid w:val="00A1381C"/>
    <w:rsid w:val="00A147AA"/>
    <w:rsid w:val="00A201B7"/>
    <w:rsid w:val="00A21D71"/>
    <w:rsid w:val="00A22B78"/>
    <w:rsid w:val="00A25AE5"/>
    <w:rsid w:val="00A37002"/>
    <w:rsid w:val="00A4355E"/>
    <w:rsid w:val="00A672A8"/>
    <w:rsid w:val="00A67D2F"/>
    <w:rsid w:val="00A92BCD"/>
    <w:rsid w:val="00AA1B0E"/>
    <w:rsid w:val="00AA47B6"/>
    <w:rsid w:val="00AB3254"/>
    <w:rsid w:val="00AC163B"/>
    <w:rsid w:val="00AC5CA7"/>
    <w:rsid w:val="00AC6058"/>
    <w:rsid w:val="00AE2BA5"/>
    <w:rsid w:val="00AE56B1"/>
    <w:rsid w:val="00AE5AEF"/>
    <w:rsid w:val="00AE6D09"/>
    <w:rsid w:val="00AF3A4C"/>
    <w:rsid w:val="00AF7A7C"/>
    <w:rsid w:val="00B12F4E"/>
    <w:rsid w:val="00B15AF0"/>
    <w:rsid w:val="00B258E5"/>
    <w:rsid w:val="00B274AF"/>
    <w:rsid w:val="00B3094F"/>
    <w:rsid w:val="00B408B6"/>
    <w:rsid w:val="00B542DA"/>
    <w:rsid w:val="00B73862"/>
    <w:rsid w:val="00B73F43"/>
    <w:rsid w:val="00B9791E"/>
    <w:rsid w:val="00BA3B96"/>
    <w:rsid w:val="00BA6B66"/>
    <w:rsid w:val="00BA6E48"/>
    <w:rsid w:val="00BE0AF6"/>
    <w:rsid w:val="00BE1F03"/>
    <w:rsid w:val="00BE58A7"/>
    <w:rsid w:val="00BF0176"/>
    <w:rsid w:val="00BF2218"/>
    <w:rsid w:val="00BF2692"/>
    <w:rsid w:val="00C0426B"/>
    <w:rsid w:val="00C045DF"/>
    <w:rsid w:val="00C26D43"/>
    <w:rsid w:val="00C27254"/>
    <w:rsid w:val="00C46548"/>
    <w:rsid w:val="00C574D5"/>
    <w:rsid w:val="00C62061"/>
    <w:rsid w:val="00C7029C"/>
    <w:rsid w:val="00C73F32"/>
    <w:rsid w:val="00C84910"/>
    <w:rsid w:val="00C87462"/>
    <w:rsid w:val="00CA180C"/>
    <w:rsid w:val="00CA64B0"/>
    <w:rsid w:val="00CB22B2"/>
    <w:rsid w:val="00CC3EE2"/>
    <w:rsid w:val="00CD7492"/>
    <w:rsid w:val="00CE3A6B"/>
    <w:rsid w:val="00CF3BE2"/>
    <w:rsid w:val="00D00211"/>
    <w:rsid w:val="00D06309"/>
    <w:rsid w:val="00D13868"/>
    <w:rsid w:val="00D32D67"/>
    <w:rsid w:val="00D351EA"/>
    <w:rsid w:val="00D40288"/>
    <w:rsid w:val="00D43403"/>
    <w:rsid w:val="00D5270B"/>
    <w:rsid w:val="00D62E71"/>
    <w:rsid w:val="00D6430D"/>
    <w:rsid w:val="00D66188"/>
    <w:rsid w:val="00D67934"/>
    <w:rsid w:val="00D731F6"/>
    <w:rsid w:val="00D740CA"/>
    <w:rsid w:val="00D85728"/>
    <w:rsid w:val="00D935DE"/>
    <w:rsid w:val="00D95481"/>
    <w:rsid w:val="00DA4976"/>
    <w:rsid w:val="00DC0F25"/>
    <w:rsid w:val="00DC581A"/>
    <w:rsid w:val="00DC7A13"/>
    <w:rsid w:val="00DF2997"/>
    <w:rsid w:val="00E10BC4"/>
    <w:rsid w:val="00E1415D"/>
    <w:rsid w:val="00E24510"/>
    <w:rsid w:val="00E271B8"/>
    <w:rsid w:val="00E323E9"/>
    <w:rsid w:val="00E34018"/>
    <w:rsid w:val="00E437D2"/>
    <w:rsid w:val="00E55751"/>
    <w:rsid w:val="00E624B2"/>
    <w:rsid w:val="00E90497"/>
    <w:rsid w:val="00EA2311"/>
    <w:rsid w:val="00EC7BC3"/>
    <w:rsid w:val="00ED7600"/>
    <w:rsid w:val="00EF6073"/>
    <w:rsid w:val="00EF698B"/>
    <w:rsid w:val="00F1362C"/>
    <w:rsid w:val="00F1433D"/>
    <w:rsid w:val="00F16B66"/>
    <w:rsid w:val="00F232E4"/>
    <w:rsid w:val="00F414F1"/>
    <w:rsid w:val="00F508B8"/>
    <w:rsid w:val="00F72CB1"/>
    <w:rsid w:val="00F73F4C"/>
    <w:rsid w:val="00F8215E"/>
    <w:rsid w:val="00F824F5"/>
    <w:rsid w:val="00F837F8"/>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15:docId w15:val="{B081E89B-3CA9-491E-8001-68E37D56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customStyle="1" w:styleId="CRCoverPage">
    <w:name w:val="CR Cover Page"/>
    <w:rsid w:val="00F1433D"/>
    <w:pPr>
      <w:spacing w:after="120" w:line="240" w:lineRule="auto"/>
    </w:pPr>
    <w:rPr>
      <w:rFonts w:ascii="Arial" w:eastAsia="Times New Roman" w:hAnsi="Arial" w:cs="Times New Roman"/>
      <w:sz w:val="20"/>
      <w:szCs w:val="20"/>
      <w:lang w:val="en-GB"/>
    </w:rPr>
  </w:style>
  <w:style w:type="paragraph" w:customStyle="1" w:styleId="TAH">
    <w:name w:val="TAH"/>
    <w:basedOn w:val="TAC"/>
    <w:link w:val="TAHCar"/>
    <w:rsid w:val="009C1E82"/>
    <w:rPr>
      <w:b/>
    </w:rPr>
  </w:style>
  <w:style w:type="paragraph" w:customStyle="1" w:styleId="TAC">
    <w:name w:val="TAC"/>
    <w:basedOn w:val="Normal"/>
    <w:link w:val="TACChar"/>
    <w:rsid w:val="009C1E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9C1E82"/>
    <w:rPr>
      <w:rFonts w:ascii="Arial" w:eastAsia="Times New Roman" w:hAnsi="Arial" w:cs="Times New Roman"/>
      <w:sz w:val="18"/>
      <w:szCs w:val="20"/>
      <w:lang w:val="en-GB" w:eastAsia="en-GB"/>
    </w:rPr>
  </w:style>
  <w:style w:type="character" w:customStyle="1" w:styleId="TAHCar">
    <w:name w:val="TAH Car"/>
    <w:link w:val="TAH"/>
    <w:qFormat/>
    <w:rsid w:val="009C1E82"/>
    <w:rPr>
      <w:rFonts w:ascii="Arial" w:eastAsia="Times New Roman" w:hAnsi="Arial" w:cs="Times New Roman"/>
      <w:b/>
      <w:sz w:val="18"/>
      <w:szCs w:val="20"/>
      <w:lang w:val="en-GB" w:eastAsia="en-GB"/>
    </w:rPr>
  </w:style>
  <w:style w:type="paragraph" w:customStyle="1" w:styleId="TH">
    <w:name w:val="TH"/>
    <w:basedOn w:val="Normal"/>
    <w:link w:val="THChar"/>
    <w:rsid w:val="009C1E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9C1E82"/>
    <w:rPr>
      <w:rFonts w:ascii="Arial" w:eastAsia="Times New Roman" w:hAnsi="Arial" w:cs="Times New Roman"/>
      <w:b/>
      <w:sz w:val="20"/>
      <w:szCs w:val="20"/>
      <w:lang w:val="en-GB" w:eastAsia="en-GB"/>
    </w:rPr>
  </w:style>
  <w:style w:type="paragraph" w:customStyle="1" w:styleId="TAN">
    <w:name w:val="TAN"/>
    <w:basedOn w:val="Normal"/>
    <w:link w:val="TANChar"/>
    <w:rsid w:val="009C1E8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9C1E82"/>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121654181">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 w:id="1631595236">
      <w:bodyDiv w:val="1"/>
      <w:marLeft w:val="0"/>
      <w:marRight w:val="0"/>
      <w:marTop w:val="0"/>
      <w:marBottom w:val="0"/>
      <w:divBdr>
        <w:top w:val="none" w:sz="0" w:space="0" w:color="auto"/>
        <w:left w:val="none" w:sz="0" w:space="0" w:color="auto"/>
        <w:bottom w:val="none" w:sz="0" w:space="0" w:color="auto"/>
        <w:right w:val="none" w:sz="0" w:space="0" w:color="auto"/>
      </w:divBdr>
    </w:div>
    <w:div w:id="165363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https://nokia.sharepoint.com/sites/c5g/5gradio/_layouts/15/DocIdRedir.aspx?ID=5AIRPNAIUNRU-1328258698-23652</Url>
      <Description>5AIRPNAIUNRU-1328258698-23652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Nokia</cp:lastModifiedBy>
  <cp:revision>2</cp:revision>
  <dcterms:created xsi:type="dcterms:W3CDTF">2023-05-15T22:44:00Z</dcterms:created>
  <dcterms:modified xsi:type="dcterms:W3CDTF">2023-05-15T22:44:00Z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f089a925-0010-48e5-ac44-0fb491d4be97</vt:lpwstr>
  </property>
  <property fmtid="{D5CDD505-2E9C-101B-9397-08002B2CF9AE}" pid="11" name="MediaServiceImageTags">
    <vt:lpwstr/>
  </property>
</Properties>
</file>