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EA3F4E" w14:textId="7655F3D5" w:rsidR="00F1433D" w:rsidRDefault="00F1433D" w:rsidP="00F1433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00D974CA" w:rsidRPr="00D974CA">
          <w:rPr>
            <w:b/>
            <w:noProof/>
            <w:sz w:val="24"/>
          </w:rPr>
          <w:t xml:space="preserve"> </w:t>
        </w:r>
        <w:r w:rsidR="00D974CA" w:rsidRPr="00F37493">
          <w:rPr>
            <w:b/>
            <w:noProof/>
            <w:sz w:val="24"/>
          </w:rPr>
          <w:t>R4-23097</w:t>
        </w:r>
        <w:r w:rsidR="00D974CA">
          <w:rPr>
            <w:b/>
            <w:noProof/>
            <w:sz w:val="24"/>
          </w:rPr>
          <w:t>19</w:t>
        </w:r>
      </w:fldSimple>
    </w:p>
    <w:p w14:paraId="1C8B4D1C" w14:textId="77777777" w:rsidR="00F1433D" w:rsidRDefault="00F1433D" w:rsidP="00F1433D">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p w14:paraId="2A3CAE58"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74F91F96"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43DB17C" w14:textId="76EEF34B"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94DFA">
        <w:rPr>
          <w:rFonts w:ascii="Arial" w:eastAsia="Calibri" w:hAnsi="Arial" w:cs="Arial"/>
          <w:b/>
          <w:bCs/>
          <w:sz w:val="24"/>
        </w:rPr>
        <w:t xml:space="preserve">Discussion on ATG </w:t>
      </w:r>
      <w:r w:rsidR="00893330">
        <w:rPr>
          <w:rFonts w:ascii="Arial" w:eastAsia="Calibri" w:hAnsi="Arial" w:cs="Arial"/>
          <w:b/>
          <w:bCs/>
          <w:sz w:val="24"/>
        </w:rPr>
        <w:t>Mobility</w:t>
      </w:r>
      <w:r w:rsidR="00994DFA">
        <w:rPr>
          <w:rFonts w:ascii="Arial" w:eastAsia="Calibri" w:hAnsi="Arial" w:cs="Arial"/>
          <w:b/>
          <w:bCs/>
          <w:sz w:val="24"/>
        </w:rPr>
        <w:t xml:space="preserve"> Requirements</w:t>
      </w:r>
    </w:p>
    <w:p w14:paraId="1DCE9C6B" w14:textId="38F19D8E"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264232">
        <w:rPr>
          <w:rFonts w:ascii="Arial" w:eastAsia="MS Mincho" w:hAnsi="Arial" w:cs="Arial"/>
          <w:b/>
          <w:bCs/>
          <w:sz w:val="24"/>
          <w:szCs w:val="20"/>
        </w:rPr>
        <w:t>8</w:t>
      </w:r>
      <w:r w:rsidR="00994DFA">
        <w:rPr>
          <w:rFonts w:ascii="Arial" w:eastAsia="MS Mincho" w:hAnsi="Arial" w:cs="Arial"/>
          <w:b/>
          <w:bCs/>
          <w:sz w:val="24"/>
          <w:szCs w:val="20"/>
        </w:rPr>
        <w:t>.14.4.</w:t>
      </w:r>
      <w:r w:rsidR="006C03AD">
        <w:rPr>
          <w:rFonts w:ascii="Arial" w:eastAsia="MS Mincho" w:hAnsi="Arial" w:cs="Arial"/>
          <w:b/>
          <w:bCs/>
          <w:sz w:val="24"/>
          <w:szCs w:val="20"/>
        </w:rPr>
        <w:t>2</w:t>
      </w:r>
    </w:p>
    <w:p w14:paraId="1A537B75"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FB3EF07" w14:textId="77777777" w:rsidR="00E323E9" w:rsidRPr="00EF698B" w:rsidRDefault="00E323E9" w:rsidP="00841BCD">
      <w:pPr>
        <w:tabs>
          <w:tab w:val="left" w:pos="1985"/>
        </w:tabs>
        <w:rPr>
          <w:rFonts w:ascii="Arial" w:eastAsia="Calibri" w:hAnsi="Arial" w:cs="Arial"/>
          <w:b/>
          <w:bCs/>
          <w:sz w:val="24"/>
        </w:rPr>
      </w:pPr>
    </w:p>
    <w:p w14:paraId="04E5A9E0" w14:textId="77777777" w:rsidR="00841BCD" w:rsidRPr="00EF698B" w:rsidRDefault="00841BCD" w:rsidP="00A37002">
      <w:pPr>
        <w:pStyle w:val="RAN4H1"/>
        <w:rPr>
          <w:lang w:val="en-US"/>
        </w:rPr>
      </w:pPr>
      <w:bookmarkStart w:id="0" w:name="_Toc116995841"/>
      <w:r w:rsidRPr="00EF698B">
        <w:rPr>
          <w:lang w:val="en-US"/>
        </w:rPr>
        <w:t>Intro</w:t>
      </w:r>
      <w:r w:rsidRPr="00EF698B">
        <w:rPr>
          <w:rStyle w:val="RAN4H1Char"/>
          <w:lang w:val="en-US"/>
        </w:rPr>
        <w:t>ductio</w:t>
      </w:r>
      <w:r w:rsidRPr="00EF698B">
        <w:rPr>
          <w:lang w:val="en-US"/>
        </w:rPr>
        <w:t>n</w:t>
      </w:r>
      <w:bookmarkEnd w:id="0"/>
    </w:p>
    <w:p w14:paraId="79B2B10A" w14:textId="60359873" w:rsidR="00B542DA" w:rsidRDefault="00935232" w:rsidP="005C23A4">
      <w:r>
        <w:t xml:space="preserve">In </w:t>
      </w:r>
      <w:r>
        <w:fldChar w:fldCharType="begin"/>
      </w:r>
      <w:r>
        <w:instrText xml:space="preserve"> REF _Ref131674798 \r \h </w:instrText>
      </w:r>
      <w:r>
        <w:fldChar w:fldCharType="separate"/>
      </w:r>
      <w:r>
        <w:t>[1]</w:t>
      </w:r>
      <w:r>
        <w:fldChar w:fldCharType="end"/>
      </w:r>
      <w:r>
        <w:t xml:space="preserve">, the work item for Air-to-Ground communication was approved to discuss requirements for the deployments of ATG UEs. The discussions are intended to address the characteristics of ATG networks, such as </w:t>
      </w:r>
      <w:r w:rsidR="006838BC">
        <w:t xml:space="preserve">extremely large inter-site distance, and the list of objectives for RRM discussion include  </w:t>
      </w:r>
      <w:r w:rsidR="006838BC" w:rsidRPr="000E761E">
        <w:rPr>
          <w:i/>
          <w:iCs/>
        </w:rPr>
        <w:t>“</w:t>
      </w:r>
      <w:r w:rsidR="000E761E">
        <w:rPr>
          <w:i/>
          <w:iCs/>
        </w:rPr>
        <w:t>c</w:t>
      </w:r>
      <w:r w:rsidR="006838BC" w:rsidRPr="000E761E">
        <w:rPr>
          <w:i/>
          <w:iCs/>
        </w:rPr>
        <w:t>onsidering the different nature of ATG UEs and their view of the network, increased cell sizes and other relevant aspects</w:t>
      </w:r>
      <w:r w:rsidR="000E761E" w:rsidRPr="000E761E">
        <w:rPr>
          <w:i/>
          <w:iCs/>
        </w:rPr>
        <w:t>”</w:t>
      </w:r>
      <w:r w:rsidR="000E761E">
        <w:rPr>
          <w:i/>
          <w:iCs/>
        </w:rPr>
        <w:t xml:space="preserve">. </w:t>
      </w:r>
      <w:r w:rsidR="000E761E">
        <w:t xml:space="preserve">The work has been progressing in RAN4 since then, and in RAN4 #106, a Way-Forward on the topic was discussed and approved in </w:t>
      </w:r>
      <w:r w:rsidR="008D142A">
        <w:fldChar w:fldCharType="begin"/>
      </w:r>
      <w:r w:rsidR="008D142A">
        <w:instrText xml:space="preserve"> REF _Ref131678419 \r \h </w:instrText>
      </w:r>
      <w:r w:rsidR="008D142A">
        <w:fldChar w:fldCharType="separate"/>
      </w:r>
      <w:r w:rsidR="008D142A">
        <w:t>[</w:t>
      </w:r>
      <w:r w:rsidR="00F1433D">
        <w:t>3</w:t>
      </w:r>
      <w:r w:rsidR="008D142A">
        <w:t>]</w:t>
      </w:r>
      <w:r w:rsidR="008D142A">
        <w:fldChar w:fldCharType="end"/>
      </w:r>
      <w:r w:rsidR="000E761E">
        <w:t>. The WF presents still some relevant open issues to be addressed in this Work Item. In this document we’ll focus our contributions on the open item regarding:</w:t>
      </w:r>
    </w:p>
    <w:p w14:paraId="2C3F654A" w14:textId="0092ABF4" w:rsidR="000E761E" w:rsidRPr="000E761E" w:rsidRDefault="000E761E" w:rsidP="000E761E">
      <w:pPr>
        <w:pStyle w:val="ListParagraph"/>
        <w:numPr>
          <w:ilvl w:val="0"/>
          <w:numId w:val="27"/>
        </w:numPr>
      </w:pPr>
      <w:r>
        <w:t xml:space="preserve">ATG </w:t>
      </w:r>
      <w:r w:rsidR="00A672A8">
        <w:t>Mobility Requirements</w:t>
      </w:r>
    </w:p>
    <w:p w14:paraId="3EAEB011" w14:textId="77777777" w:rsidR="0060543D" w:rsidRPr="00EF698B" w:rsidRDefault="0060543D" w:rsidP="005C23A4"/>
    <w:p w14:paraId="4EA546E1" w14:textId="77777777" w:rsidR="003B659E" w:rsidRPr="00EF698B" w:rsidRDefault="003B659E" w:rsidP="00AE56B1">
      <w:pPr>
        <w:pStyle w:val="RAN4H1"/>
        <w:rPr>
          <w:lang w:val="en-US"/>
        </w:rPr>
      </w:pPr>
      <w:bookmarkStart w:id="1" w:name="_Toc116995842"/>
      <w:r w:rsidRPr="00EF698B">
        <w:rPr>
          <w:lang w:val="en-US"/>
        </w:rPr>
        <w:t>Discussion</w:t>
      </w:r>
      <w:bookmarkEnd w:id="1"/>
    </w:p>
    <w:p w14:paraId="1EFF92D9" w14:textId="77777777" w:rsidR="008D142A" w:rsidRDefault="008D142A" w:rsidP="00300956">
      <w:r>
        <w:t xml:space="preserve">In </w:t>
      </w:r>
      <w:r>
        <w:fldChar w:fldCharType="begin"/>
      </w:r>
      <w:r>
        <w:instrText xml:space="preserve"> REF _Ref131678419 \r \h </w:instrText>
      </w:r>
      <w:r>
        <w:fldChar w:fldCharType="separate"/>
      </w:r>
      <w:r>
        <w:t>[2]</w:t>
      </w:r>
      <w:r>
        <w:fldChar w:fldCharType="end"/>
      </w:r>
      <w:r>
        <w:t xml:space="preserve">, several timing aspects for ATG operation were discussed. In this contribution we will focus on some of the key open issues on the cited WF. </w:t>
      </w:r>
    </w:p>
    <w:p w14:paraId="7B842F51" w14:textId="1C11D78A" w:rsidR="008D142A" w:rsidRDefault="0051103F" w:rsidP="008D142A">
      <w:pPr>
        <w:pStyle w:val="RAN4H2"/>
      </w:pPr>
      <w:r>
        <w:t>RRC_IDLE</w:t>
      </w:r>
    </w:p>
    <w:p w14:paraId="6F4885EB" w14:textId="489D946B" w:rsidR="008D142A" w:rsidRDefault="009445D3" w:rsidP="00300956">
      <w:r>
        <w:t xml:space="preserve">One of the issues regarding the mobility for ATG UEs in RRC IDLE was the discussion whether to introduce the </w:t>
      </w:r>
      <w:r w:rsidR="00B274AF">
        <w:t xml:space="preserve">cell reselection mechanism based on distance threshold and </w:t>
      </w:r>
      <w:r w:rsidR="00D974CA">
        <w:t>height</w:t>
      </w:r>
      <w:r w:rsidR="00DA4976">
        <w:t>.</w:t>
      </w:r>
      <w:r w:rsidR="008D142A">
        <w:t xml:space="preserve"> The issue was further captured in the WF </w:t>
      </w:r>
      <w:r w:rsidR="008D142A">
        <w:fldChar w:fldCharType="begin"/>
      </w:r>
      <w:r w:rsidR="008D142A">
        <w:instrText xml:space="preserve"> REF _Ref131678419 \r \h </w:instrText>
      </w:r>
      <w:r w:rsidR="008D142A">
        <w:fldChar w:fldCharType="separate"/>
      </w:r>
      <w:r w:rsidR="008D142A">
        <w:t>[2]</w:t>
      </w:r>
      <w:r w:rsidR="008D142A">
        <w:fldChar w:fldCharType="end"/>
      </w:r>
      <w:r w:rsidR="008D142A">
        <w:t>:</w:t>
      </w:r>
    </w:p>
    <w:tbl>
      <w:tblPr>
        <w:tblStyle w:val="TableGrid"/>
        <w:tblW w:w="0" w:type="auto"/>
        <w:tblLook w:val="04A0" w:firstRow="1" w:lastRow="0" w:firstColumn="1" w:lastColumn="0" w:noHBand="0" w:noVBand="1"/>
      </w:tblPr>
      <w:tblGrid>
        <w:gridCol w:w="9617"/>
      </w:tblGrid>
      <w:tr w:rsidR="008D142A" w14:paraId="712AD383" w14:textId="77777777" w:rsidTr="008D142A">
        <w:tc>
          <w:tcPr>
            <w:tcW w:w="9617" w:type="dxa"/>
          </w:tcPr>
          <w:p w14:paraId="00B3DDD1" w14:textId="77777777" w:rsidR="00F1433D" w:rsidRDefault="00F1433D" w:rsidP="00F1433D">
            <w:pPr>
              <w:rPr>
                <w:b/>
                <w:sz w:val="21"/>
                <w:szCs w:val="21"/>
                <w:u w:val="single"/>
                <w:lang w:eastAsia="ko-KR"/>
              </w:rPr>
            </w:pPr>
            <w:bookmarkStart w:id="2" w:name="_Hlk133264447"/>
            <w:r>
              <w:rPr>
                <w:b/>
                <w:sz w:val="21"/>
                <w:szCs w:val="21"/>
                <w:u w:val="single"/>
                <w:lang w:eastAsia="ko-KR"/>
              </w:rPr>
              <w:t>Issue 2-1-1-1: Cell re-selection mechanism</w:t>
            </w:r>
          </w:p>
          <w:p w14:paraId="0F5148B6" w14:textId="77777777" w:rsidR="00F1433D" w:rsidRDefault="00F1433D" w:rsidP="00F1433D">
            <w:pPr>
              <w:pStyle w:val="ListParagraph"/>
              <w:numPr>
                <w:ilvl w:val="0"/>
                <w:numId w:val="28"/>
              </w:numPr>
              <w:spacing w:after="120"/>
              <w:contextualSpacing w:val="0"/>
              <w:rPr>
                <w:rFonts w:eastAsia="SimSun"/>
                <w:sz w:val="21"/>
                <w:szCs w:val="21"/>
                <w:lang w:eastAsia="zh-CN"/>
              </w:rPr>
            </w:pPr>
            <w:r>
              <w:rPr>
                <w:rFonts w:eastAsia="SimSun"/>
                <w:sz w:val="21"/>
                <w:szCs w:val="21"/>
              </w:rPr>
              <w:t>Option 1: Introduce distance-based triggering as an additional condition for intra- and inter-frequency cell measurement as NTN, whether and how to configure the feature is up to network implementation.</w:t>
            </w:r>
          </w:p>
          <w:p w14:paraId="3C5F20EC" w14:textId="77777777" w:rsidR="00F1433D" w:rsidRDefault="00F1433D" w:rsidP="00F1433D">
            <w:pPr>
              <w:pStyle w:val="ListParagraph"/>
              <w:numPr>
                <w:ilvl w:val="1"/>
                <w:numId w:val="28"/>
              </w:numPr>
              <w:autoSpaceDN w:val="0"/>
              <w:spacing w:after="120"/>
              <w:contextualSpacing w:val="0"/>
              <w:rPr>
                <w:rFonts w:eastAsia="Yu Mincho"/>
                <w:sz w:val="21"/>
                <w:szCs w:val="21"/>
                <w:lang w:val="en-US"/>
              </w:rPr>
            </w:pPr>
            <w:r>
              <w:rPr>
                <w:rFonts w:eastAsia="Yu Mincho"/>
                <w:sz w:val="21"/>
                <w:szCs w:val="21"/>
              </w:rPr>
              <w:t xml:space="preserve">If </w:t>
            </w:r>
            <w:proofErr w:type="spellStart"/>
            <w:r>
              <w:rPr>
                <w:rFonts w:eastAsia="Yu Mincho"/>
                <w:sz w:val="21"/>
                <w:szCs w:val="21"/>
              </w:rPr>
              <w:t>Srxlev</w:t>
            </w:r>
            <w:proofErr w:type="spellEnd"/>
            <w:r>
              <w:rPr>
                <w:rFonts w:eastAsia="Yu Mincho"/>
                <w:sz w:val="21"/>
                <w:szCs w:val="21"/>
              </w:rPr>
              <w:t xml:space="preserve"> &gt; S(non)</w:t>
            </w:r>
            <w:proofErr w:type="spellStart"/>
            <w:r>
              <w:rPr>
                <w:rFonts w:eastAsia="Yu Mincho"/>
                <w:sz w:val="21"/>
                <w:szCs w:val="21"/>
              </w:rPr>
              <w:t>IntraSearchP</w:t>
            </w:r>
            <w:proofErr w:type="spellEnd"/>
            <w:r>
              <w:rPr>
                <w:rFonts w:eastAsia="Yu Mincho"/>
                <w:sz w:val="21"/>
                <w:szCs w:val="21"/>
              </w:rPr>
              <w:t xml:space="preserve"> and </w:t>
            </w:r>
            <w:proofErr w:type="spellStart"/>
            <w:r>
              <w:rPr>
                <w:rFonts w:eastAsia="Yu Mincho"/>
                <w:sz w:val="21"/>
                <w:szCs w:val="21"/>
              </w:rPr>
              <w:t>Squal</w:t>
            </w:r>
            <w:proofErr w:type="spellEnd"/>
            <w:r>
              <w:rPr>
                <w:rFonts w:eastAsia="Yu Mincho"/>
                <w:sz w:val="21"/>
                <w:szCs w:val="21"/>
              </w:rPr>
              <w:t xml:space="preserve"> &gt; S(non)</w:t>
            </w:r>
            <w:proofErr w:type="spellStart"/>
            <w:r>
              <w:rPr>
                <w:rFonts w:eastAsia="Yu Mincho"/>
                <w:sz w:val="21"/>
                <w:szCs w:val="21"/>
              </w:rPr>
              <w:t>IntraSearchQ</w:t>
            </w:r>
            <w:proofErr w:type="spellEnd"/>
            <w:r>
              <w:rPr>
                <w:rFonts w:eastAsia="Yu Mincho"/>
                <w:sz w:val="21"/>
                <w:szCs w:val="21"/>
              </w:rPr>
              <w:t>,</w:t>
            </w:r>
            <w:r>
              <w:rPr>
                <w:rFonts w:eastAsia="Yu Mincho"/>
                <w:b/>
                <w:bCs/>
                <w:sz w:val="21"/>
                <w:szCs w:val="21"/>
                <w:u w:val="single"/>
              </w:rPr>
              <w:t xml:space="preserve"> and the distance between UE and serving cell reference location is smaller than </w:t>
            </w:r>
            <w:proofErr w:type="spellStart"/>
            <w:r>
              <w:rPr>
                <w:rFonts w:eastAsia="Yu Mincho"/>
                <w:b/>
                <w:bCs/>
                <w:sz w:val="21"/>
                <w:szCs w:val="21"/>
                <w:u w:val="single"/>
              </w:rPr>
              <w:t>distanceThresh</w:t>
            </w:r>
            <w:proofErr w:type="spellEnd"/>
            <w:r>
              <w:rPr>
                <w:rFonts w:eastAsia="Yu Mincho"/>
                <w:sz w:val="21"/>
                <w:szCs w:val="21"/>
              </w:rPr>
              <w:t xml:space="preserve"> if </w:t>
            </w:r>
            <w:proofErr w:type="spellStart"/>
            <w:r>
              <w:rPr>
                <w:rFonts w:eastAsia="Yu Mincho"/>
                <w:sz w:val="21"/>
                <w:szCs w:val="21"/>
              </w:rPr>
              <w:t>distanceThresh</w:t>
            </w:r>
            <w:proofErr w:type="spellEnd"/>
            <w:r>
              <w:rPr>
                <w:rFonts w:eastAsia="Yu Mincho"/>
                <w:sz w:val="21"/>
                <w:szCs w:val="21"/>
              </w:rPr>
              <w:t xml:space="preserve"> is configured and UE has location information, then the </w:t>
            </w:r>
            <w:r>
              <w:rPr>
                <w:rFonts w:eastAsia="Yu Mincho"/>
                <w:b/>
                <w:bCs/>
                <w:sz w:val="21"/>
                <w:szCs w:val="21"/>
                <w:u w:val="single"/>
              </w:rPr>
              <w:t>UE shall search for inter/intra-frequency layers of higher priority</w:t>
            </w:r>
            <w:r>
              <w:rPr>
                <w:rFonts w:eastAsia="Yu Mincho"/>
                <w:sz w:val="21"/>
                <w:szCs w:val="21"/>
              </w:rPr>
              <w:t>.</w:t>
            </w:r>
          </w:p>
          <w:p w14:paraId="287EC28F" w14:textId="77777777" w:rsidR="00F1433D" w:rsidRDefault="00F1433D" w:rsidP="00F1433D">
            <w:pPr>
              <w:pStyle w:val="ListParagraph"/>
              <w:numPr>
                <w:ilvl w:val="1"/>
                <w:numId w:val="28"/>
              </w:numPr>
              <w:autoSpaceDN w:val="0"/>
              <w:spacing w:after="120"/>
              <w:contextualSpacing w:val="0"/>
              <w:rPr>
                <w:rFonts w:eastAsia="Yu Mincho"/>
                <w:b/>
                <w:bCs/>
                <w:sz w:val="21"/>
                <w:szCs w:val="21"/>
                <w:u w:val="single"/>
                <w:lang w:eastAsia="zh-CN"/>
              </w:rPr>
            </w:pPr>
            <w:r>
              <w:rPr>
                <w:rFonts w:eastAsia="Yu Mincho"/>
                <w:sz w:val="21"/>
                <w:szCs w:val="21"/>
              </w:rPr>
              <w:t xml:space="preserve">If </w:t>
            </w:r>
            <w:proofErr w:type="spellStart"/>
            <w:r>
              <w:rPr>
                <w:rFonts w:eastAsia="Yu Mincho"/>
                <w:sz w:val="21"/>
                <w:szCs w:val="21"/>
              </w:rPr>
              <w:t>Srxlev</w:t>
            </w:r>
            <w:proofErr w:type="spellEnd"/>
            <w:r>
              <w:rPr>
                <w:rFonts w:eastAsia="Yu Mincho"/>
                <w:sz w:val="21"/>
                <w:szCs w:val="21"/>
              </w:rPr>
              <w:t xml:space="preserve"> </w:t>
            </w:r>
            <w:r>
              <w:rPr>
                <w:rFonts w:eastAsia="Yu Mincho" w:hint="eastAsia"/>
                <w:sz w:val="21"/>
                <w:szCs w:val="21"/>
              </w:rPr>
              <w:t>≤</w:t>
            </w:r>
            <w:r>
              <w:rPr>
                <w:rFonts w:eastAsia="Yu Mincho"/>
                <w:sz w:val="21"/>
                <w:szCs w:val="21"/>
              </w:rPr>
              <w:t xml:space="preserve"> S(non)</w:t>
            </w:r>
            <w:proofErr w:type="spellStart"/>
            <w:r>
              <w:rPr>
                <w:rFonts w:eastAsia="Yu Mincho"/>
                <w:sz w:val="21"/>
                <w:szCs w:val="21"/>
              </w:rPr>
              <w:t>IntraSearchP</w:t>
            </w:r>
            <w:proofErr w:type="spellEnd"/>
            <w:r>
              <w:rPr>
                <w:rFonts w:eastAsia="Yu Mincho"/>
                <w:sz w:val="21"/>
                <w:szCs w:val="21"/>
              </w:rPr>
              <w:t xml:space="preserve"> or </w:t>
            </w:r>
            <w:proofErr w:type="spellStart"/>
            <w:r>
              <w:rPr>
                <w:rFonts w:eastAsia="Yu Mincho"/>
                <w:sz w:val="21"/>
                <w:szCs w:val="21"/>
              </w:rPr>
              <w:t>Squal</w:t>
            </w:r>
            <w:proofErr w:type="spellEnd"/>
            <w:r>
              <w:rPr>
                <w:rFonts w:eastAsia="Yu Mincho"/>
                <w:sz w:val="21"/>
                <w:szCs w:val="21"/>
              </w:rPr>
              <w:t xml:space="preserve"> </w:t>
            </w:r>
            <w:r>
              <w:rPr>
                <w:rFonts w:eastAsia="Yu Mincho" w:hint="eastAsia"/>
                <w:sz w:val="21"/>
                <w:szCs w:val="21"/>
              </w:rPr>
              <w:t>≤</w:t>
            </w:r>
            <w:r>
              <w:rPr>
                <w:rFonts w:eastAsia="Yu Mincho"/>
                <w:sz w:val="21"/>
                <w:szCs w:val="21"/>
              </w:rPr>
              <w:t xml:space="preserve"> S(non)</w:t>
            </w:r>
            <w:proofErr w:type="spellStart"/>
            <w:r>
              <w:rPr>
                <w:rFonts w:eastAsia="Yu Mincho"/>
                <w:sz w:val="21"/>
                <w:szCs w:val="21"/>
              </w:rPr>
              <w:t>IntraSearchQ</w:t>
            </w:r>
            <w:proofErr w:type="spellEnd"/>
            <w:r>
              <w:rPr>
                <w:rFonts w:eastAsia="Yu Mincho"/>
                <w:sz w:val="21"/>
                <w:szCs w:val="21"/>
              </w:rPr>
              <w:t xml:space="preserve">, </w:t>
            </w:r>
            <w:r>
              <w:rPr>
                <w:rFonts w:eastAsia="Yu Mincho"/>
                <w:b/>
                <w:bCs/>
                <w:sz w:val="21"/>
                <w:szCs w:val="21"/>
                <w:u w:val="single"/>
              </w:rPr>
              <w:t xml:space="preserve">or the distance between UE and serving cell reference location is larger than </w:t>
            </w:r>
            <w:proofErr w:type="spellStart"/>
            <w:r>
              <w:rPr>
                <w:rFonts w:eastAsia="Yu Mincho"/>
                <w:b/>
                <w:bCs/>
                <w:sz w:val="21"/>
                <w:szCs w:val="21"/>
                <w:u w:val="single"/>
              </w:rPr>
              <w:t>distanceThresh</w:t>
            </w:r>
            <w:proofErr w:type="spellEnd"/>
            <w:r>
              <w:rPr>
                <w:rFonts w:eastAsia="Yu Mincho"/>
                <w:b/>
                <w:bCs/>
                <w:sz w:val="21"/>
                <w:szCs w:val="21"/>
                <w:u w:val="single"/>
              </w:rPr>
              <w:t xml:space="preserve"> </w:t>
            </w:r>
            <w:r>
              <w:rPr>
                <w:rFonts w:eastAsia="Yu Mincho"/>
                <w:sz w:val="21"/>
                <w:szCs w:val="21"/>
              </w:rPr>
              <w:t xml:space="preserve">if </w:t>
            </w:r>
            <w:proofErr w:type="spellStart"/>
            <w:r>
              <w:rPr>
                <w:rFonts w:eastAsia="Yu Mincho"/>
                <w:sz w:val="21"/>
                <w:szCs w:val="21"/>
              </w:rPr>
              <w:t>distanceThresh</w:t>
            </w:r>
            <w:proofErr w:type="spellEnd"/>
            <w:r>
              <w:rPr>
                <w:rFonts w:eastAsia="Yu Mincho"/>
                <w:sz w:val="21"/>
                <w:szCs w:val="21"/>
              </w:rPr>
              <w:t xml:space="preserve"> is configured and UE has location information, then the </w:t>
            </w:r>
            <w:r>
              <w:rPr>
                <w:rFonts w:eastAsia="Yu Mincho"/>
                <w:b/>
                <w:bCs/>
                <w:sz w:val="21"/>
                <w:szCs w:val="21"/>
                <w:u w:val="single"/>
              </w:rPr>
              <w:t xml:space="preserve">UE shall search for and measure inter/intra-frequency layers of higher, </w:t>
            </w:r>
            <w:proofErr w:type="gramStart"/>
            <w:r>
              <w:rPr>
                <w:rFonts w:eastAsia="Yu Mincho"/>
                <w:b/>
                <w:bCs/>
                <w:sz w:val="21"/>
                <w:szCs w:val="21"/>
                <w:u w:val="single"/>
              </w:rPr>
              <w:t>equal</w:t>
            </w:r>
            <w:proofErr w:type="gramEnd"/>
            <w:r>
              <w:rPr>
                <w:rFonts w:eastAsia="Yu Mincho"/>
                <w:b/>
                <w:bCs/>
                <w:sz w:val="21"/>
                <w:szCs w:val="21"/>
                <w:u w:val="single"/>
              </w:rPr>
              <w:t xml:space="preserve"> or lower priority in preparation for possible reselection.</w:t>
            </w:r>
          </w:p>
          <w:p w14:paraId="21FAA864" w14:textId="77777777" w:rsidR="00F1433D" w:rsidRDefault="00F1433D" w:rsidP="00F1433D">
            <w:pPr>
              <w:pStyle w:val="ListParagraph"/>
              <w:numPr>
                <w:ilvl w:val="0"/>
                <w:numId w:val="28"/>
              </w:numPr>
              <w:autoSpaceDN w:val="0"/>
              <w:spacing w:after="120"/>
              <w:contextualSpacing w:val="0"/>
              <w:rPr>
                <w:rFonts w:eastAsia="SimSun"/>
                <w:sz w:val="21"/>
                <w:szCs w:val="21"/>
              </w:rPr>
            </w:pPr>
            <w:r>
              <w:rPr>
                <w:rFonts w:eastAsia="SimSun"/>
                <w:sz w:val="21"/>
                <w:szCs w:val="21"/>
              </w:rPr>
              <w:t>Option 4:</w:t>
            </w:r>
          </w:p>
          <w:p w14:paraId="281ABFE6" w14:textId="77777777" w:rsidR="00F1433D" w:rsidRDefault="00F1433D" w:rsidP="00F1433D">
            <w:pPr>
              <w:pStyle w:val="ListParagraph"/>
              <w:numPr>
                <w:ilvl w:val="1"/>
                <w:numId w:val="28"/>
              </w:numPr>
              <w:autoSpaceDN w:val="0"/>
              <w:spacing w:after="120"/>
              <w:contextualSpacing w:val="0"/>
              <w:rPr>
                <w:rFonts w:eastAsia="SimSun"/>
                <w:sz w:val="21"/>
                <w:szCs w:val="21"/>
              </w:rPr>
            </w:pPr>
            <w:r>
              <w:rPr>
                <w:rFonts w:eastAsia="SimSun"/>
                <w:sz w:val="21"/>
                <w:szCs w:val="21"/>
              </w:rPr>
              <w:t xml:space="preserve">If ATG UE </w:t>
            </w:r>
            <w:r>
              <w:rPr>
                <w:rFonts w:eastAsia="SimSun"/>
                <w:b/>
                <w:bCs/>
                <w:sz w:val="21"/>
                <w:szCs w:val="21"/>
                <w:u w:val="single"/>
              </w:rPr>
              <w:t>altitude</w:t>
            </w:r>
            <w:r>
              <w:rPr>
                <w:rFonts w:eastAsia="SimSun"/>
                <w:sz w:val="21"/>
                <w:szCs w:val="21"/>
              </w:rPr>
              <w:t xml:space="preserve"> higher than certain threshold, ATG UE perform measurement</w:t>
            </w:r>
          </w:p>
          <w:p w14:paraId="25409D8B" w14:textId="77777777" w:rsidR="00F1433D" w:rsidRDefault="00F1433D" w:rsidP="00F1433D">
            <w:pPr>
              <w:pStyle w:val="ListParagraph"/>
              <w:numPr>
                <w:ilvl w:val="1"/>
                <w:numId w:val="28"/>
              </w:numPr>
              <w:autoSpaceDN w:val="0"/>
              <w:spacing w:after="120"/>
              <w:contextualSpacing w:val="0"/>
              <w:rPr>
                <w:rFonts w:eastAsia="SimSun"/>
                <w:sz w:val="21"/>
                <w:szCs w:val="21"/>
              </w:rPr>
            </w:pPr>
            <w:r>
              <w:rPr>
                <w:rFonts w:eastAsia="SimSun"/>
                <w:sz w:val="21"/>
                <w:szCs w:val="21"/>
              </w:rPr>
              <w:t xml:space="preserve">If ATG UE </w:t>
            </w:r>
            <w:r>
              <w:rPr>
                <w:rFonts w:eastAsia="SimSun"/>
                <w:b/>
                <w:bCs/>
                <w:sz w:val="21"/>
                <w:szCs w:val="21"/>
                <w:u w:val="single"/>
              </w:rPr>
              <w:t>altitude</w:t>
            </w:r>
            <w:r>
              <w:rPr>
                <w:rFonts w:eastAsia="SimSun"/>
                <w:sz w:val="21"/>
                <w:szCs w:val="21"/>
              </w:rPr>
              <w:t xml:space="preserve"> lower than certain threshold, ATG UE may not perform measurement</w:t>
            </w:r>
          </w:p>
          <w:p w14:paraId="3AE89FCF" w14:textId="77777777" w:rsidR="00F1433D" w:rsidRDefault="00F1433D" w:rsidP="00F1433D">
            <w:pPr>
              <w:pStyle w:val="ListParagraph"/>
              <w:numPr>
                <w:ilvl w:val="0"/>
                <w:numId w:val="28"/>
              </w:numPr>
              <w:overflowPunct w:val="0"/>
              <w:autoSpaceDE w:val="0"/>
              <w:autoSpaceDN w:val="0"/>
              <w:adjustRightInd w:val="0"/>
              <w:spacing w:after="120"/>
              <w:contextualSpacing w:val="0"/>
              <w:rPr>
                <w:rFonts w:eastAsia="SimSun"/>
                <w:sz w:val="21"/>
                <w:szCs w:val="21"/>
              </w:rPr>
            </w:pPr>
            <w:r>
              <w:rPr>
                <w:rFonts w:eastAsia="SimSun"/>
                <w:sz w:val="21"/>
                <w:szCs w:val="21"/>
              </w:rPr>
              <w:lastRenderedPageBreak/>
              <w:t xml:space="preserve">Option 5: No need to specify distance, </w:t>
            </w:r>
            <w:proofErr w:type="gramStart"/>
            <w:r>
              <w:rPr>
                <w:rFonts w:eastAsia="SimSun"/>
                <w:sz w:val="21"/>
                <w:szCs w:val="21"/>
              </w:rPr>
              <w:t>altitude</w:t>
            </w:r>
            <w:proofErr w:type="gramEnd"/>
            <w:r>
              <w:rPr>
                <w:rFonts w:eastAsia="SimSun"/>
                <w:sz w:val="21"/>
                <w:szCs w:val="21"/>
              </w:rPr>
              <w:t xml:space="preserve"> or speed-based enhancements to cell re-selection mechanism during Release 18. </w:t>
            </w:r>
          </w:p>
          <w:p w14:paraId="09479887" w14:textId="77777777" w:rsidR="00F1433D" w:rsidRDefault="00F1433D" w:rsidP="00F1433D">
            <w:pPr>
              <w:pStyle w:val="ListParagraph"/>
              <w:numPr>
                <w:ilvl w:val="1"/>
                <w:numId w:val="28"/>
              </w:numPr>
              <w:autoSpaceDN w:val="0"/>
              <w:spacing w:after="120"/>
              <w:contextualSpacing w:val="0"/>
              <w:rPr>
                <w:rFonts w:eastAsia="SimSun"/>
                <w:sz w:val="21"/>
                <w:szCs w:val="21"/>
              </w:rPr>
            </w:pPr>
            <w:r>
              <w:rPr>
                <w:rFonts w:eastAsia="SimSun"/>
                <w:sz w:val="21"/>
                <w:szCs w:val="21"/>
              </w:rPr>
              <w:t>If needed, such mechanisms may be discussed in future releases.</w:t>
            </w:r>
          </w:p>
          <w:p w14:paraId="1AB31BBB" w14:textId="77777777" w:rsidR="00F1433D" w:rsidRDefault="00F1433D" w:rsidP="00F1433D">
            <w:pPr>
              <w:rPr>
                <w:rFonts w:eastAsiaTheme="minorEastAsia"/>
                <w:b/>
                <w:bCs/>
                <w:iCs/>
                <w:sz w:val="21"/>
                <w:szCs w:val="21"/>
              </w:rPr>
            </w:pPr>
            <w:bookmarkStart w:id="3" w:name="_Hlk133264465"/>
            <w:bookmarkEnd w:id="2"/>
            <w:r>
              <w:rPr>
                <w:rFonts w:eastAsiaTheme="minorEastAsia"/>
                <w:b/>
                <w:bCs/>
                <w:iCs/>
                <w:sz w:val="21"/>
                <w:szCs w:val="21"/>
              </w:rPr>
              <w:t>Agreements:</w:t>
            </w:r>
          </w:p>
          <w:p w14:paraId="643BA09C" w14:textId="77777777" w:rsidR="00F1433D" w:rsidRDefault="00F1433D" w:rsidP="00F1433D">
            <w:pPr>
              <w:rPr>
                <w:rFonts w:eastAsiaTheme="minorEastAsia"/>
                <w:iCs/>
                <w:sz w:val="21"/>
                <w:szCs w:val="21"/>
              </w:rPr>
            </w:pPr>
            <w:r>
              <w:rPr>
                <w:rFonts w:eastAsiaTheme="minorEastAsia"/>
                <w:iCs/>
                <w:sz w:val="21"/>
                <w:szCs w:val="21"/>
              </w:rPr>
              <w:t>Candidate options for FFS:</w:t>
            </w:r>
          </w:p>
          <w:p w14:paraId="5E8D6C0B" w14:textId="77777777" w:rsidR="00F1433D" w:rsidRDefault="00F1433D" w:rsidP="00F1433D">
            <w:pPr>
              <w:pStyle w:val="ListParagraph"/>
              <w:numPr>
                <w:ilvl w:val="0"/>
                <w:numId w:val="28"/>
              </w:numPr>
              <w:autoSpaceDN w:val="0"/>
              <w:spacing w:after="120"/>
              <w:contextualSpacing w:val="0"/>
              <w:rPr>
                <w:rFonts w:eastAsia="SimSun"/>
                <w:sz w:val="21"/>
                <w:szCs w:val="21"/>
              </w:rPr>
            </w:pPr>
            <w:r>
              <w:rPr>
                <w:rFonts w:eastAsia="SimSun"/>
                <w:sz w:val="21"/>
                <w:szCs w:val="21"/>
              </w:rPr>
              <w:t>Option 1</w:t>
            </w:r>
          </w:p>
          <w:p w14:paraId="7276C6FF" w14:textId="77777777" w:rsidR="00F1433D" w:rsidRDefault="00F1433D" w:rsidP="00F1433D">
            <w:pPr>
              <w:pStyle w:val="ListParagraph"/>
              <w:numPr>
                <w:ilvl w:val="0"/>
                <w:numId w:val="28"/>
              </w:numPr>
              <w:autoSpaceDN w:val="0"/>
              <w:spacing w:after="120"/>
              <w:contextualSpacing w:val="0"/>
              <w:rPr>
                <w:rFonts w:eastAsia="SimSun"/>
                <w:sz w:val="21"/>
                <w:szCs w:val="21"/>
              </w:rPr>
            </w:pPr>
            <w:r>
              <w:rPr>
                <w:rFonts w:eastAsia="SimSun"/>
                <w:sz w:val="21"/>
                <w:szCs w:val="21"/>
              </w:rPr>
              <w:t xml:space="preserve">Option 1+4 </w:t>
            </w:r>
          </w:p>
          <w:p w14:paraId="51BD1F25" w14:textId="77777777" w:rsidR="00F1433D" w:rsidRDefault="00F1433D" w:rsidP="00F1433D">
            <w:pPr>
              <w:pStyle w:val="ListParagraph"/>
              <w:numPr>
                <w:ilvl w:val="0"/>
                <w:numId w:val="28"/>
              </w:numPr>
              <w:autoSpaceDN w:val="0"/>
              <w:spacing w:after="120"/>
              <w:contextualSpacing w:val="0"/>
              <w:rPr>
                <w:rFonts w:eastAsia="SimSun"/>
                <w:sz w:val="21"/>
                <w:szCs w:val="21"/>
              </w:rPr>
            </w:pPr>
            <w:r>
              <w:rPr>
                <w:rFonts w:eastAsia="SimSun"/>
                <w:sz w:val="21"/>
                <w:szCs w:val="21"/>
              </w:rPr>
              <w:t xml:space="preserve">Option 5 </w:t>
            </w:r>
            <w:bookmarkEnd w:id="3"/>
          </w:p>
          <w:p w14:paraId="559BC7AB" w14:textId="77777777" w:rsidR="00944279" w:rsidRPr="00ED048A" w:rsidRDefault="00944279" w:rsidP="00F1433D">
            <w:pPr>
              <w:pStyle w:val="ListParagraph"/>
              <w:numPr>
                <w:ilvl w:val="1"/>
                <w:numId w:val="28"/>
              </w:numPr>
              <w:spacing w:after="120"/>
              <w:contextualSpacing w:val="0"/>
              <w:rPr>
                <w:rFonts w:eastAsia="SimSun" w:cs="Times New Roman"/>
                <w:szCs w:val="20"/>
              </w:rPr>
            </w:pPr>
            <w:r w:rsidRPr="00ED048A">
              <w:rPr>
                <w:rFonts w:eastAsia="SimSun" w:cs="Times New Roman"/>
                <w:szCs w:val="20"/>
              </w:rPr>
              <w:t xml:space="preserve">For cell reselection, the A2G UE should resume the </w:t>
            </w:r>
            <w:proofErr w:type="spellStart"/>
            <w:r w:rsidRPr="00ED048A">
              <w:rPr>
                <w:rFonts w:eastAsia="SimSun" w:cs="Times New Roman"/>
                <w:szCs w:val="20"/>
              </w:rPr>
              <w:t>neighbor</w:t>
            </w:r>
            <w:proofErr w:type="spellEnd"/>
            <w:r w:rsidRPr="00ED048A">
              <w:rPr>
                <w:rFonts w:eastAsia="SimSun" w:cs="Times New Roman"/>
                <w:szCs w:val="20"/>
              </w:rPr>
              <w:t xml:space="preserve"> cell measurement in normal manner without any relaxation when the condition on distance between the aircraft and the reference location is no longer met.</w:t>
            </w:r>
          </w:p>
          <w:p w14:paraId="5447BE37" w14:textId="77777777" w:rsidR="00944279" w:rsidRPr="00ED048A" w:rsidRDefault="00944279" w:rsidP="00F1433D">
            <w:pPr>
              <w:pStyle w:val="ListParagraph"/>
              <w:numPr>
                <w:ilvl w:val="0"/>
                <w:numId w:val="28"/>
              </w:numPr>
              <w:spacing w:after="120"/>
              <w:contextualSpacing w:val="0"/>
              <w:rPr>
                <w:rFonts w:eastAsia="SimSun" w:cs="Times New Roman"/>
                <w:szCs w:val="20"/>
              </w:rPr>
            </w:pPr>
            <w:r w:rsidRPr="00ED048A">
              <w:rPr>
                <w:rFonts w:eastAsia="SimSun" w:cs="Times New Roman"/>
                <w:szCs w:val="20"/>
              </w:rPr>
              <w:t>Option 3: further consider the trade-off between the workload and performance gain brought by the new cell re-selection mechanisms.</w:t>
            </w:r>
          </w:p>
          <w:p w14:paraId="6B6A8986" w14:textId="77777777" w:rsidR="008D142A" w:rsidRDefault="008D142A" w:rsidP="00300956"/>
        </w:tc>
      </w:tr>
    </w:tbl>
    <w:p w14:paraId="10994C8D" w14:textId="77777777" w:rsidR="008D142A" w:rsidRDefault="008D142A" w:rsidP="00300956"/>
    <w:p w14:paraId="1484E70B" w14:textId="77777777" w:rsidR="00F1433D" w:rsidRDefault="00DA4976" w:rsidP="00300956">
      <w:r>
        <w:t>In Option 1, the discussion is whether to introduce distance threshold for cell reselection in Idle Mode. The distance threshold parameter was introduced as part of the mobility framework for NTN in Rel-17. The main justification used by then was</w:t>
      </w:r>
      <w:r w:rsidR="00F1433D">
        <w:t xml:space="preserve"> based on two main arguments:</w:t>
      </w:r>
    </w:p>
    <w:p w14:paraId="65DE897C" w14:textId="77777777" w:rsidR="00F1433D" w:rsidRDefault="00F1433D" w:rsidP="00F1433D">
      <w:pPr>
        <w:pStyle w:val="ListParagraph"/>
        <w:numPr>
          <w:ilvl w:val="0"/>
          <w:numId w:val="30"/>
        </w:numPr>
      </w:pPr>
      <w:r>
        <w:t>especially</w:t>
      </w:r>
      <w:r w:rsidR="00DA4976">
        <w:t xml:space="preserve"> in NGSO scenarios, the UE was expected to face several reselections a day, caused by the movement of the satellite</w:t>
      </w:r>
      <w:r>
        <w:t xml:space="preserve"> </w:t>
      </w:r>
    </w:p>
    <w:p w14:paraId="22D51721" w14:textId="77777777" w:rsidR="00F1433D" w:rsidRDefault="00F1433D" w:rsidP="00F1433D">
      <w:pPr>
        <w:pStyle w:val="ListParagraph"/>
        <w:numPr>
          <w:ilvl w:val="0"/>
          <w:numId w:val="30"/>
        </w:numPr>
      </w:pPr>
      <w:r>
        <w:t xml:space="preserve">The “near-far” effect in NTN is much less pronounced than in previous deployments, as the distances between UE and satellite are so large that there was virtually no difference between the propagation conditions observed between the satellite and the closest or the farthest UE in a cell. </w:t>
      </w:r>
    </w:p>
    <w:p w14:paraId="412A2F6B" w14:textId="7E1E0483" w:rsidR="00BA3B96" w:rsidRDefault="00F1433D" w:rsidP="00300956">
      <w:r>
        <w:t>Because of those two aspects,</w:t>
      </w:r>
      <w:r w:rsidR="00BA3B96">
        <w:t xml:space="preserve"> the mobility in idle mode should be enhanced to minimize UE power consumption.</w:t>
      </w:r>
      <w:r w:rsidR="00985468">
        <w:t xml:space="preserve"> </w:t>
      </w:r>
      <w:r>
        <w:t>This optimization c</w:t>
      </w:r>
      <w:r w:rsidR="00BA3B96">
        <w:t xml:space="preserve">ould prevent a UE in Idle mode to be camped in a cell with degrading conditions, to not jeopardize the UE performance in case this UE makes the transition to RRC connected. </w:t>
      </w:r>
      <w:r w:rsidR="00985468">
        <w:t xml:space="preserve">Although the functionality might bring some gain for ATG UEs, the gain is not likely to be as high as it was in NTN. </w:t>
      </w:r>
      <w:r w:rsidR="00BA3B96">
        <w:t>Another issue with Option 1 regards the availability of the distance threshold parameter.</w:t>
      </w:r>
    </w:p>
    <w:p w14:paraId="78B8BB2F" w14:textId="2FAC3F6E" w:rsidR="00F1433D" w:rsidRDefault="00F1433D" w:rsidP="00F1433D">
      <w:r>
        <w:t>RAN2 has sent a LS Reply to RAN4 (</w:t>
      </w:r>
      <w:r w:rsidRPr="00F1433D">
        <w:t>R2-2304565</w:t>
      </w:r>
      <w:r>
        <w:t xml:space="preserve">), indicating that they will provide signalling support for indicating the position of the base station (still under discussion whether the diluted or the real position is to be provided). As the adoption of SIB19 for NTN is not clearly defined, it cannot be expected that the </w:t>
      </w:r>
      <w:proofErr w:type="spellStart"/>
      <w:r>
        <w:t>distanceThresh</w:t>
      </w:r>
      <w:proofErr w:type="spellEnd"/>
      <w:r>
        <w:t xml:space="preserve"> parameter will be available for NTN. </w:t>
      </w:r>
    </w:p>
    <w:p w14:paraId="7E0A3D4B" w14:textId="3F2B99B1" w:rsidR="00F1433D" w:rsidRPr="00F1433D" w:rsidRDefault="00F1433D" w:rsidP="00F1433D">
      <w:pPr>
        <w:pStyle w:val="RAN4observation0"/>
      </w:pPr>
      <w:bookmarkStart w:id="4" w:name="_Toc131705481"/>
      <w:bookmarkStart w:id="5" w:name="_Toc135071202"/>
      <w:r>
        <w:t xml:space="preserve">The distance threshold parameter for cell reselection is broadcast in SIB19. It is still not clear whether RAN2 will utilize SIB19 to </w:t>
      </w:r>
      <w:proofErr w:type="gramStart"/>
      <w:r>
        <w:t>provide assistance</w:t>
      </w:r>
      <w:proofErr w:type="gramEnd"/>
      <w:r>
        <w:t xml:space="preserve"> information to the ATG UE or if this information will be provided in a different SIB.</w:t>
      </w:r>
      <w:bookmarkEnd w:id="4"/>
      <w:bookmarkEnd w:id="5"/>
      <w:r>
        <w:t xml:space="preserve"> </w:t>
      </w:r>
    </w:p>
    <w:p w14:paraId="2AB378A1" w14:textId="1D932F89" w:rsidR="00CA64B0" w:rsidRPr="00CA64B0" w:rsidRDefault="00F1433D" w:rsidP="00CA64B0">
      <w:pPr>
        <w:pStyle w:val="RAN4proposal"/>
      </w:pPr>
      <w:bookmarkStart w:id="6" w:name="_Toc131705483"/>
      <w:bookmarkStart w:id="7" w:name="_Toc135071203"/>
      <w:r>
        <w:t>As it remains unclear whether the</w:t>
      </w:r>
      <w:r w:rsidR="00CA64B0">
        <w:t xml:space="preserve"> distance threshold </w:t>
      </w:r>
      <w:r>
        <w:t xml:space="preserve">parameter will be available in ATG, </w:t>
      </w:r>
      <w:bookmarkEnd w:id="6"/>
      <w:r>
        <w:t>not using it as an enhancement for cell reselection</w:t>
      </w:r>
      <w:bookmarkEnd w:id="7"/>
      <w:r>
        <w:t xml:space="preserve"> </w:t>
      </w:r>
    </w:p>
    <w:p w14:paraId="48227FB6" w14:textId="4CF4DB03" w:rsidR="008509EC" w:rsidRDefault="00301613" w:rsidP="00300956">
      <w:r>
        <w:t xml:space="preserve">For Option </w:t>
      </w:r>
      <w:r w:rsidR="00D67934">
        <w:t>4</w:t>
      </w:r>
      <w:r>
        <w:t xml:space="preserve">, </w:t>
      </w:r>
      <w:r w:rsidR="00D67934">
        <w:t xml:space="preserve">it is not clear the gains that are harvested from such implementation. The measurement condition for cell reselection is based on the conditions of the serving cell. If the UE is below a “threshold height” but the radio signal conditions are degrading considerable, there is no reason to prevent this UE to perform measurements and move to a more suitable cell. </w:t>
      </w:r>
    </w:p>
    <w:p w14:paraId="63C75A85" w14:textId="77777777" w:rsidR="00D67934" w:rsidRDefault="00D67934" w:rsidP="00D67934">
      <w:r w:rsidRPr="000A3884">
        <w:t>In IDLE Mode, the U</w:t>
      </w:r>
      <w:r>
        <w:t xml:space="preserve">E only perform measurements to evaluate the condition of the serving cell. The main advantage of reducing the number of measurements collected by the UE is to save UE power. </w:t>
      </w:r>
      <w:proofErr w:type="gramStart"/>
      <w:r>
        <w:t>But,</w:t>
      </w:r>
      <w:proofErr w:type="gramEnd"/>
      <w:r>
        <w:t xml:space="preserve"> this gain is rather limited and almost negligible:</w:t>
      </w:r>
    </w:p>
    <w:p w14:paraId="71E888B0" w14:textId="77777777" w:rsidR="00D67934" w:rsidRDefault="00D67934" w:rsidP="00D67934">
      <w:pPr>
        <w:pStyle w:val="ListParagraph"/>
        <w:numPr>
          <w:ilvl w:val="0"/>
          <w:numId w:val="31"/>
        </w:numPr>
      </w:pPr>
      <w:r>
        <w:t>Aircrafts on the ground have very low mobility for most of the time. Unless they are landing or taking off, it is unlikely that the ATG UE will be moving in a very significant manner</w:t>
      </w:r>
      <w:r w:rsidRPr="00536E7B">
        <w:rPr>
          <w:b/>
          <w:bCs/>
        </w:rPr>
        <w:t>. Measurement relaxation for UEs with low mobility</w:t>
      </w:r>
      <w:r>
        <w:rPr>
          <w:b/>
          <w:bCs/>
        </w:rPr>
        <w:t xml:space="preserve"> and/or not at cell edge</w:t>
      </w:r>
      <w:r>
        <w:t xml:space="preserve"> can already be used here to minimize the impact of IDLE mode measurements. </w:t>
      </w:r>
    </w:p>
    <w:p w14:paraId="00D0C91E" w14:textId="77777777" w:rsidR="00D67934" w:rsidRDefault="00D67934" w:rsidP="00D67934">
      <w:pPr>
        <w:pStyle w:val="ListParagraph"/>
        <w:numPr>
          <w:ilvl w:val="0"/>
          <w:numId w:val="31"/>
        </w:numPr>
      </w:pPr>
      <w:r>
        <w:lastRenderedPageBreak/>
        <w:t xml:space="preserve">If the aircrafts are on the </w:t>
      </w:r>
      <w:proofErr w:type="gramStart"/>
      <w:r>
        <w:t>ground</w:t>
      </w:r>
      <w:proofErr w:type="gramEnd"/>
      <w:r>
        <w:t xml:space="preserve"> it is more likely that the CPE will be turned off. It is more likely that the CPE in the aircraft will be turned on when the aircraft is close to start moving. Therefore, creating extra exception for IDLE mode mobility does not seem justifiable here. </w:t>
      </w:r>
    </w:p>
    <w:p w14:paraId="64C03D11" w14:textId="77777777" w:rsidR="00D67934" w:rsidRDefault="00D67934" w:rsidP="00D67934">
      <w:pPr>
        <w:pStyle w:val="RAN4proposal"/>
      </w:pPr>
      <w:bookmarkStart w:id="8" w:name="_Toc131688702"/>
      <w:bookmarkStart w:id="9" w:name="_Toc135071204"/>
      <w:r>
        <w:t>Do not introduce height-dependent requirements for measurement procedures for ATG UES.</w:t>
      </w:r>
      <w:bookmarkEnd w:id="8"/>
      <w:bookmarkEnd w:id="9"/>
    </w:p>
    <w:p w14:paraId="1A6312AB" w14:textId="7C4BE46A" w:rsidR="00D67934" w:rsidRDefault="00D67934" w:rsidP="00D67934">
      <w:pPr>
        <w:pStyle w:val="RAN4observation0"/>
      </w:pPr>
      <w:bookmarkStart w:id="10" w:name="_Toc135071205"/>
      <w:r>
        <w:t>There are no significant gains for adopting height threshold for measurements in idle mode, that justifies asking RAN2 to provide signalling support for this new threshold.</w:t>
      </w:r>
      <w:bookmarkEnd w:id="10"/>
      <w:r>
        <w:t xml:space="preserve"> </w:t>
      </w:r>
    </w:p>
    <w:p w14:paraId="3D258761" w14:textId="77777777" w:rsidR="00D67934" w:rsidRDefault="00D67934" w:rsidP="00300956"/>
    <w:p w14:paraId="5B99445F" w14:textId="60C61D03" w:rsidR="007B58D8" w:rsidRDefault="007B58D8" w:rsidP="007B58D8">
      <w:pPr>
        <w:pStyle w:val="RAN4proposal"/>
      </w:pPr>
      <w:bookmarkStart w:id="11" w:name="_Toc131705484"/>
      <w:bookmarkStart w:id="12" w:name="_Toc135071206"/>
      <w:r>
        <w:t xml:space="preserve">Do not adopt </w:t>
      </w:r>
      <w:bookmarkEnd w:id="11"/>
      <w:r w:rsidR="00D67934">
        <w:t>introduce height dependent threshold for ATG UEs.</w:t>
      </w:r>
      <w:bookmarkEnd w:id="12"/>
      <w:r w:rsidR="00D67934">
        <w:t xml:space="preserve"> </w:t>
      </w:r>
    </w:p>
    <w:p w14:paraId="3EAD0558" w14:textId="2833955C" w:rsidR="00110481" w:rsidRDefault="009C1E82" w:rsidP="009C1E82">
      <w:pPr>
        <w:pStyle w:val="RAN4H2"/>
      </w:pPr>
      <w:r>
        <w:t>Measurements using directional antennas</w:t>
      </w:r>
    </w:p>
    <w:p w14:paraId="275A0D5F" w14:textId="335090A2" w:rsidR="009C1E82" w:rsidRDefault="009C1E82" w:rsidP="009C1E82">
      <w:pPr>
        <w:rPr>
          <w:lang w:val="en-US"/>
        </w:rPr>
      </w:pPr>
      <w:r>
        <w:rPr>
          <w:lang w:val="en-US"/>
        </w:rPr>
        <w:t xml:space="preserve">This WI has considered ATG implementations at frequencies around 2 and 4 GHz. As it is currently discussed in RF topics, the ATG UE operating at 4 GHz is assumed to be a CPE UE capable of directional transmissions towards the base station. </w:t>
      </w:r>
    </w:p>
    <w:p w14:paraId="0780F2B7" w14:textId="77777777" w:rsidR="009C1E82" w:rsidRDefault="009C1E82" w:rsidP="009C1E82">
      <w:r>
        <w:rPr>
          <w:lang w:val="en-US"/>
        </w:rPr>
        <w:t xml:space="preserve">However, 4 GHz is still a frequency in the range of FR1 where the mobility requirements were designed for a UE using omni directional transmission. </w:t>
      </w:r>
      <w:bookmarkStart w:id="13" w:name="_Toc116981541"/>
      <w:bookmarkStart w:id="14" w:name="_Toc116982824"/>
      <w:bookmarkStart w:id="15" w:name="_Toc116982859"/>
      <w:bookmarkStart w:id="16" w:name="_Toc116982882"/>
      <w:bookmarkStart w:id="17" w:name="_Toc116994710"/>
      <w:bookmarkStart w:id="18" w:name="_Toc116994823"/>
      <w:bookmarkStart w:id="19" w:name="_Toc116994895"/>
      <w:bookmarkStart w:id="20" w:name="_Toc116994909"/>
      <w:bookmarkStart w:id="21" w:name="_Toc116995098"/>
      <w:bookmarkStart w:id="22" w:name="_Toc116995141"/>
      <w:bookmarkStart w:id="23" w:name="_Toc116995897"/>
      <w:bookmarkStart w:id="24" w:name="_Toc116995923"/>
      <w:bookmarkStart w:id="25" w:name="_Toc116995943"/>
      <w:bookmarkStart w:id="26" w:name="_Toc116996063"/>
      <w:bookmarkStart w:id="27" w:name="_Toc116996084"/>
      <w:bookmarkStart w:id="28" w:name="_Toc116996089"/>
      <w:bookmarkStart w:id="29" w:name="_Toc116996131"/>
      <w:bookmarkStart w:id="30" w:name="_Toc116996431"/>
      <w:bookmarkStart w:id="31" w:name="_Toc116996752"/>
      <w:bookmarkStart w:id="32" w:name="_Toc116997065"/>
      <w:bookmarkStart w:id="33" w:name="_Toc132796768"/>
      <w:r>
        <w:t xml:space="preserve">For cell reselection, UEs operating in the band above 10 GHz are expected to have beam directionality according to the WID. </w:t>
      </w:r>
    </w:p>
    <w:p w14:paraId="581C25DA" w14:textId="4AA890B2" w:rsidR="009C1E82" w:rsidRPr="009C1E82" w:rsidRDefault="009C1E82" w:rsidP="009C1E82">
      <w:pPr>
        <w:rPr>
          <w:lang w:val="en-US"/>
        </w:rPr>
      </w:pPr>
      <w:r>
        <w:t xml:space="preserve">A UE capable of directional transmission is performing “tracking” of the base station to a certain degree. This brings the advantage to enhance the antenna gain in the direction of the serving cell, but it potentially decreases the antenna gain in the direction of </w:t>
      </w:r>
      <w:proofErr w:type="spellStart"/>
      <w:r>
        <w:t>neighboring</w:t>
      </w:r>
      <w:proofErr w:type="spellEnd"/>
      <w:r>
        <w:t xml:space="preserve"> cells. Therefore, the UE shall perform </w:t>
      </w:r>
      <w:r w:rsidRPr="009C1E82">
        <w:rPr>
          <w:b/>
          <w:bCs/>
          <w:u w:val="single"/>
        </w:rPr>
        <w:t xml:space="preserve">measurements also in different directions when measuring </w:t>
      </w:r>
      <w:proofErr w:type="spellStart"/>
      <w:r>
        <w:rPr>
          <w:b/>
          <w:bCs/>
          <w:u w:val="single"/>
        </w:rPr>
        <w:t>neighbor</w:t>
      </w:r>
      <w:proofErr w:type="spellEnd"/>
      <w:r>
        <w:rPr>
          <w:b/>
          <w:bCs/>
          <w:u w:val="single"/>
        </w:rPr>
        <w:t xml:space="preserve"> cells</w:t>
      </w:r>
      <w:r>
        <w:t xml:space="preserve">. </w:t>
      </w:r>
    </w:p>
    <w:p w14:paraId="4AE4F80F" w14:textId="77777777" w:rsidR="009C1E82" w:rsidRDefault="009C1E82" w:rsidP="009C1E82">
      <w:r>
        <w:t xml:space="preserve">A similar procedure was adopted in legacy (terrestrial) deployments in FR2, as depicted in the Example from Table 4.2.2.3-1, from TS 38.133 </w:t>
      </w:r>
      <w:r>
        <w:fldChar w:fldCharType="begin"/>
      </w:r>
      <w:r>
        <w:instrText xml:space="preserve"> REF _Ref118130196 \r \h </w:instrText>
      </w:r>
      <w:r>
        <w:fldChar w:fldCharType="separate"/>
      </w:r>
      <w:r>
        <w:t>[4]</w:t>
      </w:r>
      <w:r>
        <w:fldChar w:fldCharType="end"/>
      </w:r>
      <w:r>
        <w:t xml:space="preserve">, for intra-frequency mobility in RRC_IDLE (highlights are our own): </w:t>
      </w:r>
    </w:p>
    <w:p w14:paraId="4D0D2573" w14:textId="77777777" w:rsidR="009C1E82" w:rsidRDefault="009C1E82" w:rsidP="009C1E82">
      <w:pPr>
        <w:pStyle w:val="TH"/>
        <w:rPr>
          <w:lang w:val="en-US"/>
        </w:rPr>
      </w:pPr>
      <w:r>
        <w:rPr>
          <w:lang w:val="en-US"/>
        </w:rPr>
        <w:t xml:space="preserve">Table 4.2.2.3-1: </w:t>
      </w:r>
      <w:proofErr w:type="spellStart"/>
      <w:r>
        <w:rPr>
          <w:lang w:val="en-US"/>
        </w:rPr>
        <w:t>T</w:t>
      </w:r>
      <w:r>
        <w:rPr>
          <w:vertAlign w:val="subscript"/>
          <w:lang w:val="en-US"/>
        </w:rPr>
        <w:t>detect,NR_Intra</w:t>
      </w:r>
      <w:proofErr w:type="spellEnd"/>
      <w:r>
        <w:rPr>
          <w:vertAlign w:val="subscript"/>
          <w:lang w:val="en-US"/>
        </w:rPr>
        <w:t>,</w:t>
      </w:r>
      <w:r>
        <w:rPr>
          <w:lang w:val="en-US"/>
        </w:rPr>
        <w:t xml:space="preserve"> </w:t>
      </w:r>
      <w:proofErr w:type="spellStart"/>
      <w:r>
        <w:rPr>
          <w:lang w:val="en-US"/>
        </w:rPr>
        <w:t>T</w:t>
      </w:r>
      <w:r>
        <w:rPr>
          <w:vertAlign w:val="subscript"/>
          <w:lang w:val="en-US"/>
        </w:rPr>
        <w:t>measure,NR_Intra</w:t>
      </w:r>
      <w:proofErr w:type="spellEnd"/>
      <w:r>
        <w:rPr>
          <w:lang w:val="en-US"/>
        </w:rPr>
        <w:t xml:space="preserve"> and </w:t>
      </w:r>
      <w:proofErr w:type="spellStart"/>
      <w:r>
        <w:rPr>
          <w:lang w:val="en-US"/>
        </w:rPr>
        <w:t>T</w:t>
      </w:r>
      <w:r>
        <w:rPr>
          <w:vertAlign w:val="subscript"/>
          <w:lang w:val="en-US"/>
        </w:rPr>
        <w:t>evaluate,NR_Intra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4"/>
        <w:gridCol w:w="576"/>
        <w:gridCol w:w="1915"/>
        <w:gridCol w:w="1868"/>
        <w:gridCol w:w="1397"/>
        <w:gridCol w:w="1542"/>
        <w:gridCol w:w="1465"/>
      </w:tblGrid>
      <w:tr w:rsidR="009C1E82" w14:paraId="698E54B3" w14:textId="77777777" w:rsidTr="005C67D8">
        <w:trPr>
          <w:cantSplit/>
          <w:trHeight w:val="308"/>
          <w:jc w:val="center"/>
        </w:trPr>
        <w:tc>
          <w:tcPr>
            <w:tcW w:w="0" w:type="auto"/>
            <w:tcBorders>
              <w:top w:val="single" w:sz="4" w:space="0" w:color="auto"/>
              <w:left w:val="single" w:sz="4" w:space="0" w:color="auto"/>
              <w:bottom w:val="nil"/>
              <w:right w:val="single" w:sz="4" w:space="0" w:color="auto"/>
            </w:tcBorders>
            <w:hideMark/>
          </w:tcPr>
          <w:p w14:paraId="0C6289FE" w14:textId="77777777" w:rsidR="009C1E82" w:rsidRDefault="009C1E82" w:rsidP="005C67D8">
            <w:pPr>
              <w:pStyle w:val="TAH"/>
            </w:pPr>
            <w:r>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B548740" w14:textId="77777777" w:rsidR="009C1E82" w:rsidRDefault="009C1E82" w:rsidP="005C67D8">
            <w:pPr>
              <w:pStyle w:val="TAH"/>
            </w:pPr>
            <w:r>
              <w:t>Scaling Factor (N1)</w:t>
            </w:r>
          </w:p>
        </w:tc>
        <w:tc>
          <w:tcPr>
            <w:tcW w:w="0" w:type="auto"/>
            <w:tcBorders>
              <w:top w:val="single" w:sz="4" w:space="0" w:color="auto"/>
              <w:left w:val="single" w:sz="4" w:space="0" w:color="auto"/>
              <w:bottom w:val="nil"/>
              <w:right w:val="single" w:sz="4" w:space="0" w:color="auto"/>
            </w:tcBorders>
            <w:hideMark/>
          </w:tcPr>
          <w:p w14:paraId="34D58202" w14:textId="77777777" w:rsidR="009C1E82" w:rsidRDefault="009C1E82" w:rsidP="005C67D8">
            <w:pPr>
              <w:pStyle w:val="TAH"/>
            </w:pPr>
            <w:proofErr w:type="spellStart"/>
            <w:r>
              <w:t>T</w:t>
            </w:r>
            <w:r>
              <w:rPr>
                <w:vertAlign w:val="subscript"/>
              </w:rPr>
              <w:t>detect,NR_Intra</w:t>
            </w:r>
            <w:proofErr w:type="spellEnd"/>
            <w:r>
              <w:t xml:space="preserve"> [s] (number of DRX cycles)</w:t>
            </w:r>
          </w:p>
        </w:tc>
        <w:tc>
          <w:tcPr>
            <w:tcW w:w="0" w:type="auto"/>
            <w:tcBorders>
              <w:top w:val="single" w:sz="4" w:space="0" w:color="auto"/>
              <w:left w:val="single" w:sz="4" w:space="0" w:color="auto"/>
              <w:bottom w:val="nil"/>
              <w:right w:val="single" w:sz="4" w:space="0" w:color="auto"/>
            </w:tcBorders>
            <w:hideMark/>
          </w:tcPr>
          <w:p w14:paraId="7DE965CF" w14:textId="77777777" w:rsidR="009C1E82" w:rsidRDefault="009C1E82" w:rsidP="005C67D8">
            <w:pPr>
              <w:pStyle w:val="TAH"/>
            </w:pPr>
            <w:proofErr w:type="spellStart"/>
            <w:r>
              <w:t>T</w:t>
            </w:r>
            <w:r>
              <w:rPr>
                <w:vertAlign w:val="subscript"/>
              </w:rPr>
              <w:t>measure,NR_Intra</w:t>
            </w:r>
            <w:proofErr w:type="spellEnd"/>
            <w:r>
              <w:t xml:space="preserve"> [s] (number of DRX cycles)</w:t>
            </w:r>
          </w:p>
        </w:tc>
        <w:tc>
          <w:tcPr>
            <w:tcW w:w="0" w:type="auto"/>
            <w:tcBorders>
              <w:top w:val="single" w:sz="4" w:space="0" w:color="auto"/>
              <w:left w:val="single" w:sz="4" w:space="0" w:color="auto"/>
              <w:bottom w:val="nil"/>
              <w:right w:val="single" w:sz="4" w:space="0" w:color="auto"/>
            </w:tcBorders>
            <w:hideMark/>
          </w:tcPr>
          <w:p w14:paraId="7DF3A34B" w14:textId="77777777" w:rsidR="009C1E82" w:rsidRDefault="009C1E82" w:rsidP="005C67D8">
            <w:pPr>
              <w:pStyle w:val="TAH"/>
              <w:rPr>
                <w:vertAlign w:val="subscript"/>
              </w:rPr>
            </w:pPr>
            <w:proofErr w:type="spellStart"/>
            <w:r>
              <w:t>T</w:t>
            </w:r>
            <w:r>
              <w:rPr>
                <w:vertAlign w:val="subscript"/>
              </w:rPr>
              <w:t>evaluate,NR_</w:t>
            </w:r>
            <w:r>
              <w:rPr>
                <w:rFonts w:cs="v4.2.0"/>
                <w:vertAlign w:val="subscript"/>
              </w:rPr>
              <w:t>Intra</w:t>
            </w:r>
            <w:proofErr w:type="spellEnd"/>
          </w:p>
          <w:p w14:paraId="06CC6012" w14:textId="77777777" w:rsidR="009C1E82" w:rsidRDefault="009C1E82" w:rsidP="005C67D8">
            <w:pPr>
              <w:pStyle w:val="TAH"/>
            </w:pPr>
            <w:r>
              <w:t>[s] (number of DRX cycles)</w:t>
            </w:r>
          </w:p>
        </w:tc>
      </w:tr>
      <w:tr w:rsidR="009C1E82" w14:paraId="59686D84" w14:textId="77777777" w:rsidTr="005C67D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14543FC8" w14:textId="77777777" w:rsidR="009C1E82" w:rsidRDefault="009C1E82" w:rsidP="005C67D8"/>
        </w:tc>
        <w:tc>
          <w:tcPr>
            <w:tcW w:w="0" w:type="auto"/>
            <w:tcBorders>
              <w:top w:val="single" w:sz="4" w:space="0" w:color="auto"/>
              <w:left w:val="single" w:sz="4" w:space="0" w:color="auto"/>
              <w:bottom w:val="single" w:sz="4" w:space="0" w:color="auto"/>
              <w:right w:val="single" w:sz="4" w:space="0" w:color="auto"/>
            </w:tcBorders>
            <w:hideMark/>
          </w:tcPr>
          <w:p w14:paraId="7F1F8C95" w14:textId="77777777" w:rsidR="009C1E82" w:rsidRDefault="009C1E82" w:rsidP="005C67D8">
            <w:pPr>
              <w:pStyle w:val="TAH"/>
              <w:rPr>
                <w:rFonts w:eastAsiaTheme="minorHAnsi" w:cstheme="minorBidi"/>
                <w:szCs w:val="22"/>
                <w:lang w:eastAsia="en-US"/>
              </w:rPr>
            </w:pPr>
            <w:r>
              <w:t>FR1</w:t>
            </w:r>
          </w:p>
        </w:tc>
        <w:tc>
          <w:tcPr>
            <w:tcW w:w="854" w:type="dxa"/>
            <w:tcBorders>
              <w:top w:val="single" w:sz="4" w:space="0" w:color="auto"/>
              <w:left w:val="single" w:sz="4" w:space="0" w:color="auto"/>
              <w:bottom w:val="single" w:sz="4" w:space="0" w:color="auto"/>
              <w:right w:val="single" w:sz="4" w:space="0" w:color="auto"/>
            </w:tcBorders>
            <w:hideMark/>
          </w:tcPr>
          <w:p w14:paraId="7861216B" w14:textId="77777777" w:rsidR="009C1E82" w:rsidRDefault="009C1E82" w:rsidP="005C67D8">
            <w:pPr>
              <w:pStyle w:val="TAH"/>
              <w:rPr>
                <w:vertAlign w:val="superscript"/>
              </w:rPr>
            </w:pPr>
            <w:r>
              <w:t>FR2-1</w:t>
            </w:r>
            <w:r w:rsidRPr="009F0510">
              <w:rPr>
                <w:highlight w:val="cyan"/>
                <w:vertAlign w:val="superscript"/>
              </w:rPr>
              <w:t>Note1</w:t>
            </w:r>
          </w:p>
        </w:tc>
        <w:tc>
          <w:tcPr>
            <w:tcW w:w="833" w:type="dxa"/>
            <w:tcBorders>
              <w:top w:val="single" w:sz="4" w:space="0" w:color="auto"/>
              <w:left w:val="single" w:sz="4" w:space="0" w:color="auto"/>
              <w:bottom w:val="single" w:sz="4" w:space="0" w:color="auto"/>
              <w:right w:val="single" w:sz="4" w:space="0" w:color="auto"/>
            </w:tcBorders>
            <w:hideMark/>
          </w:tcPr>
          <w:p w14:paraId="414BF849" w14:textId="77777777" w:rsidR="009C1E82" w:rsidRDefault="009C1E82" w:rsidP="005C67D8">
            <w:pPr>
              <w:pStyle w:val="TAH"/>
              <w:rPr>
                <w:vertAlign w:val="superscript"/>
              </w:rPr>
            </w:pPr>
            <w:r>
              <w:rPr>
                <w:lang w:eastAsia="zh-CN"/>
              </w:rPr>
              <w:t>FR2-2</w:t>
            </w:r>
            <w:r>
              <w:rPr>
                <w:vertAlign w:val="superscript"/>
              </w:rPr>
              <w:t xml:space="preserve"> Note2</w:t>
            </w:r>
          </w:p>
        </w:tc>
        <w:tc>
          <w:tcPr>
            <w:tcW w:w="0" w:type="auto"/>
            <w:tcBorders>
              <w:top w:val="nil"/>
              <w:left w:val="single" w:sz="4" w:space="0" w:color="auto"/>
              <w:bottom w:val="single" w:sz="4" w:space="0" w:color="auto"/>
              <w:right w:val="single" w:sz="4" w:space="0" w:color="auto"/>
            </w:tcBorders>
            <w:vAlign w:val="center"/>
            <w:hideMark/>
          </w:tcPr>
          <w:p w14:paraId="1A80F073" w14:textId="77777777" w:rsidR="009C1E82" w:rsidRDefault="009C1E82" w:rsidP="005C67D8">
            <w:pPr>
              <w:rPr>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5F951CC7" w14:textId="77777777" w:rsidR="009C1E82" w:rsidRDefault="009C1E82" w:rsidP="005C67D8">
            <w:pPr>
              <w:spacing w:after="0" w:line="240" w:lineRule="auto"/>
              <w:rPr>
                <w:rFonts w:eastAsia="SimSun" w:cs="Times New Roman"/>
                <w:szCs w:val="20"/>
                <w:lang w:eastAsia="en-GB"/>
              </w:rPr>
            </w:pPr>
          </w:p>
        </w:tc>
        <w:tc>
          <w:tcPr>
            <w:tcW w:w="0" w:type="auto"/>
            <w:tcBorders>
              <w:top w:val="nil"/>
              <w:left w:val="single" w:sz="4" w:space="0" w:color="auto"/>
              <w:bottom w:val="single" w:sz="4" w:space="0" w:color="auto"/>
              <w:right w:val="single" w:sz="4" w:space="0" w:color="auto"/>
            </w:tcBorders>
            <w:vAlign w:val="center"/>
            <w:hideMark/>
          </w:tcPr>
          <w:p w14:paraId="767DF68D" w14:textId="77777777" w:rsidR="009C1E82" w:rsidRDefault="009C1E82" w:rsidP="005C67D8">
            <w:pPr>
              <w:spacing w:after="0" w:line="240" w:lineRule="auto"/>
              <w:rPr>
                <w:rFonts w:eastAsia="SimSun" w:cs="Times New Roman"/>
                <w:szCs w:val="20"/>
                <w:lang w:eastAsia="en-GB"/>
              </w:rPr>
            </w:pPr>
          </w:p>
        </w:tc>
      </w:tr>
      <w:tr w:rsidR="009C1E82" w14:paraId="1C122DAA" w14:textId="77777777" w:rsidTr="005C67D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63E492E" w14:textId="77777777" w:rsidR="009C1E82" w:rsidRDefault="009C1E82" w:rsidP="005C67D8">
            <w:pPr>
              <w:pStyle w:val="TAC"/>
              <w:rPr>
                <w:rFonts w:eastAsiaTheme="minorHAnsi" w:cstheme="minorBidi"/>
                <w:szCs w:val="22"/>
                <w:lang w:eastAsia="en-US"/>
              </w:rPr>
            </w:pPr>
            <w:r>
              <w:t>0.32</w:t>
            </w:r>
          </w:p>
        </w:tc>
        <w:tc>
          <w:tcPr>
            <w:tcW w:w="0" w:type="auto"/>
            <w:tcBorders>
              <w:top w:val="single" w:sz="4" w:space="0" w:color="auto"/>
              <w:left w:val="single" w:sz="4" w:space="0" w:color="auto"/>
              <w:bottom w:val="nil"/>
              <w:right w:val="single" w:sz="4" w:space="0" w:color="auto"/>
            </w:tcBorders>
            <w:vAlign w:val="center"/>
            <w:hideMark/>
          </w:tcPr>
          <w:p w14:paraId="6E8A3696" w14:textId="77777777" w:rsidR="009C1E82" w:rsidRDefault="009C1E82" w:rsidP="005C67D8">
            <w:pPr>
              <w:pStyle w:val="TAC"/>
            </w:pPr>
            <w:r w:rsidRPr="009F0510">
              <w:rPr>
                <w:highlight w:val="yellow"/>
              </w:rPr>
              <w:t>1</w:t>
            </w:r>
          </w:p>
        </w:tc>
        <w:tc>
          <w:tcPr>
            <w:tcW w:w="854" w:type="dxa"/>
            <w:tcBorders>
              <w:top w:val="single" w:sz="4" w:space="0" w:color="auto"/>
              <w:left w:val="single" w:sz="4" w:space="0" w:color="auto"/>
              <w:bottom w:val="single" w:sz="4" w:space="0" w:color="auto"/>
              <w:right w:val="single" w:sz="4" w:space="0" w:color="auto"/>
            </w:tcBorders>
            <w:hideMark/>
          </w:tcPr>
          <w:p w14:paraId="475D0045" w14:textId="77777777" w:rsidR="009C1E82" w:rsidRPr="009F0510" w:rsidRDefault="009C1E82" w:rsidP="005C67D8">
            <w:pPr>
              <w:pStyle w:val="TAC"/>
              <w:rPr>
                <w:highlight w:val="yellow"/>
              </w:rPr>
            </w:pPr>
            <w:r w:rsidRPr="009F0510">
              <w:rPr>
                <w:highlight w:val="yellow"/>
              </w:rPr>
              <w:t>8</w:t>
            </w:r>
          </w:p>
        </w:tc>
        <w:tc>
          <w:tcPr>
            <w:tcW w:w="833" w:type="dxa"/>
            <w:tcBorders>
              <w:top w:val="single" w:sz="4" w:space="0" w:color="auto"/>
              <w:left w:val="single" w:sz="4" w:space="0" w:color="auto"/>
              <w:bottom w:val="single" w:sz="4" w:space="0" w:color="auto"/>
              <w:right w:val="single" w:sz="4" w:space="0" w:color="auto"/>
            </w:tcBorders>
            <w:hideMark/>
          </w:tcPr>
          <w:p w14:paraId="55E02092" w14:textId="77777777" w:rsidR="009C1E82" w:rsidRDefault="009C1E82" w:rsidP="005C67D8">
            <w:pPr>
              <w:pStyle w:val="TAC"/>
              <w:rPr>
                <w:szCs w:val="18"/>
              </w:rPr>
            </w:pPr>
            <w:r>
              <w:rPr>
                <w:rFonts w:cs="Arial"/>
                <w:szCs w:val="18"/>
                <w:lang w:eastAsia="zh-CN"/>
              </w:rPr>
              <w:t>12</w:t>
            </w:r>
          </w:p>
        </w:tc>
        <w:tc>
          <w:tcPr>
            <w:tcW w:w="0" w:type="auto"/>
            <w:tcBorders>
              <w:top w:val="single" w:sz="4" w:space="0" w:color="auto"/>
              <w:left w:val="single" w:sz="4" w:space="0" w:color="auto"/>
              <w:bottom w:val="single" w:sz="4" w:space="0" w:color="auto"/>
              <w:right w:val="single" w:sz="4" w:space="0" w:color="auto"/>
            </w:tcBorders>
            <w:hideMark/>
          </w:tcPr>
          <w:p w14:paraId="124E6226" w14:textId="77777777" w:rsidR="009C1E82" w:rsidRDefault="009C1E82" w:rsidP="005C67D8">
            <w:pPr>
              <w:pStyle w:val="TAC"/>
              <w:rPr>
                <w:szCs w:val="22"/>
              </w:rPr>
            </w:pPr>
            <w:r>
              <w:t xml:space="preserve">11.52 x N1 </w:t>
            </w:r>
            <w:r>
              <w:rPr>
                <w:rFonts w:cs="Arial"/>
                <w:lang w:eastAsia="zh-CN"/>
              </w:rPr>
              <w:t xml:space="preserve">x M2 </w:t>
            </w:r>
            <w:r>
              <w:t>(36 x N1</w:t>
            </w:r>
            <w:r>
              <w:rPr>
                <w:rFonts w:cs="Arial"/>
                <w:lang w:eastAsia="zh-CN"/>
              </w:rPr>
              <w:t xml:space="preserve"> x M2</w:t>
            </w:r>
            <w:r>
              <w:t>)</w:t>
            </w:r>
          </w:p>
        </w:tc>
        <w:tc>
          <w:tcPr>
            <w:tcW w:w="0" w:type="auto"/>
            <w:tcBorders>
              <w:top w:val="single" w:sz="4" w:space="0" w:color="auto"/>
              <w:left w:val="single" w:sz="4" w:space="0" w:color="auto"/>
              <w:bottom w:val="single" w:sz="4" w:space="0" w:color="auto"/>
              <w:right w:val="single" w:sz="4" w:space="0" w:color="auto"/>
            </w:tcBorders>
            <w:hideMark/>
          </w:tcPr>
          <w:p w14:paraId="64180EDD" w14:textId="77777777" w:rsidR="009C1E82" w:rsidRDefault="009C1E82" w:rsidP="005C67D8">
            <w:pPr>
              <w:pStyle w:val="TAC"/>
            </w:pPr>
            <w:r>
              <w:t xml:space="preserve">1.28 x N1 </w:t>
            </w:r>
            <w:r>
              <w:rPr>
                <w:rFonts w:cs="Arial"/>
                <w:lang w:eastAsia="zh-CN"/>
              </w:rPr>
              <w:t>x M2</w:t>
            </w:r>
            <w:r>
              <w:rPr>
                <w:rFonts w:cs="Arial"/>
                <w:snapToGrid w:val="0"/>
              </w:rPr>
              <w:t xml:space="preserve"> </w:t>
            </w:r>
            <w:r>
              <w:t>(4 x N1</w:t>
            </w:r>
            <w:r>
              <w:rPr>
                <w:rFonts w:cs="Arial"/>
                <w:lang w:eastAsia="zh-CN"/>
              </w:rPr>
              <w:t xml:space="preserve"> x M2</w:t>
            </w:r>
            <w:r>
              <w:t>)</w:t>
            </w:r>
          </w:p>
        </w:tc>
        <w:tc>
          <w:tcPr>
            <w:tcW w:w="0" w:type="auto"/>
            <w:tcBorders>
              <w:top w:val="single" w:sz="4" w:space="0" w:color="auto"/>
              <w:left w:val="single" w:sz="4" w:space="0" w:color="auto"/>
              <w:bottom w:val="single" w:sz="4" w:space="0" w:color="auto"/>
              <w:right w:val="single" w:sz="4" w:space="0" w:color="auto"/>
            </w:tcBorders>
            <w:hideMark/>
          </w:tcPr>
          <w:p w14:paraId="09FF23EF" w14:textId="77777777" w:rsidR="009C1E82" w:rsidRDefault="009C1E82" w:rsidP="005C67D8">
            <w:pPr>
              <w:pStyle w:val="TAC"/>
            </w:pPr>
            <w:r>
              <w:t xml:space="preserve">5.12 x N1 </w:t>
            </w:r>
            <w:r>
              <w:rPr>
                <w:rFonts w:cs="Arial"/>
                <w:lang w:eastAsia="zh-CN"/>
              </w:rPr>
              <w:t>x M2</w:t>
            </w:r>
            <w:r>
              <w:rPr>
                <w:rFonts w:cs="Arial"/>
                <w:snapToGrid w:val="0"/>
              </w:rPr>
              <w:t xml:space="preserve"> </w:t>
            </w:r>
            <w:r>
              <w:t>(16 x N1</w:t>
            </w:r>
            <w:r>
              <w:rPr>
                <w:rFonts w:cs="Arial"/>
                <w:lang w:eastAsia="zh-CN"/>
              </w:rPr>
              <w:t xml:space="preserve"> x M2</w:t>
            </w:r>
            <w:r>
              <w:t>)</w:t>
            </w:r>
          </w:p>
        </w:tc>
      </w:tr>
      <w:tr w:rsidR="009C1E82" w14:paraId="515BF3E4" w14:textId="77777777" w:rsidTr="005C67D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6EA230" w14:textId="77777777" w:rsidR="009C1E82" w:rsidRDefault="009C1E82" w:rsidP="005C67D8">
            <w:pPr>
              <w:pStyle w:val="TAC"/>
            </w:pPr>
            <w:r>
              <w:t>0.64</w:t>
            </w:r>
          </w:p>
        </w:tc>
        <w:tc>
          <w:tcPr>
            <w:tcW w:w="0" w:type="auto"/>
            <w:tcBorders>
              <w:top w:val="nil"/>
              <w:left w:val="single" w:sz="4" w:space="0" w:color="auto"/>
              <w:bottom w:val="nil"/>
              <w:right w:val="single" w:sz="4" w:space="0" w:color="auto"/>
            </w:tcBorders>
            <w:vAlign w:val="center"/>
            <w:hideMark/>
          </w:tcPr>
          <w:p w14:paraId="2F50AD3B" w14:textId="77777777" w:rsidR="009C1E82" w:rsidRDefault="009C1E82" w:rsidP="005C67D8"/>
        </w:tc>
        <w:tc>
          <w:tcPr>
            <w:tcW w:w="854" w:type="dxa"/>
            <w:tcBorders>
              <w:top w:val="single" w:sz="4" w:space="0" w:color="auto"/>
              <w:left w:val="single" w:sz="4" w:space="0" w:color="auto"/>
              <w:bottom w:val="single" w:sz="4" w:space="0" w:color="auto"/>
              <w:right w:val="single" w:sz="4" w:space="0" w:color="auto"/>
            </w:tcBorders>
            <w:hideMark/>
          </w:tcPr>
          <w:p w14:paraId="45128734" w14:textId="77777777" w:rsidR="009C1E82" w:rsidRPr="009F0510" w:rsidRDefault="009C1E82" w:rsidP="005C67D8">
            <w:pPr>
              <w:pStyle w:val="TAC"/>
              <w:rPr>
                <w:rFonts w:eastAsiaTheme="minorHAnsi" w:cstheme="minorBidi"/>
                <w:szCs w:val="22"/>
                <w:highlight w:val="yellow"/>
                <w:lang w:eastAsia="en-US"/>
              </w:rPr>
            </w:pPr>
            <w:r w:rsidRPr="009F0510">
              <w:rPr>
                <w:highlight w:val="yellow"/>
              </w:rPr>
              <w:t>5</w:t>
            </w:r>
          </w:p>
        </w:tc>
        <w:tc>
          <w:tcPr>
            <w:tcW w:w="833" w:type="dxa"/>
            <w:tcBorders>
              <w:top w:val="single" w:sz="4" w:space="0" w:color="auto"/>
              <w:left w:val="single" w:sz="4" w:space="0" w:color="auto"/>
              <w:bottom w:val="single" w:sz="4" w:space="0" w:color="auto"/>
              <w:right w:val="single" w:sz="4" w:space="0" w:color="auto"/>
            </w:tcBorders>
            <w:hideMark/>
          </w:tcPr>
          <w:p w14:paraId="72D9A1E7" w14:textId="77777777" w:rsidR="009C1E82" w:rsidRDefault="009C1E82" w:rsidP="005C67D8">
            <w:pPr>
              <w:pStyle w:val="TAC"/>
              <w:rPr>
                <w:szCs w:val="18"/>
              </w:rPr>
            </w:pPr>
            <w:r>
              <w:rPr>
                <w:rFonts w:cs="Arial"/>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22251281" w14:textId="77777777" w:rsidR="009C1E82" w:rsidRDefault="009C1E82" w:rsidP="005C67D8">
            <w:pPr>
              <w:pStyle w:val="TAC"/>
              <w:rPr>
                <w:szCs w:val="22"/>
              </w:rPr>
            </w:pPr>
            <w:r>
              <w:t>17.92 x N1 (28 x N1)</w:t>
            </w:r>
          </w:p>
        </w:tc>
        <w:tc>
          <w:tcPr>
            <w:tcW w:w="0" w:type="auto"/>
            <w:tcBorders>
              <w:top w:val="single" w:sz="4" w:space="0" w:color="auto"/>
              <w:left w:val="single" w:sz="4" w:space="0" w:color="auto"/>
              <w:bottom w:val="single" w:sz="4" w:space="0" w:color="auto"/>
              <w:right w:val="single" w:sz="4" w:space="0" w:color="auto"/>
            </w:tcBorders>
            <w:hideMark/>
          </w:tcPr>
          <w:p w14:paraId="0343B4CF" w14:textId="77777777" w:rsidR="009C1E82" w:rsidRDefault="009C1E82" w:rsidP="005C67D8">
            <w:pPr>
              <w:pStyle w:val="TAC"/>
            </w:pPr>
            <w:r>
              <w:t>1.28 x N1 (2 x N1)</w:t>
            </w:r>
          </w:p>
        </w:tc>
        <w:tc>
          <w:tcPr>
            <w:tcW w:w="0" w:type="auto"/>
            <w:tcBorders>
              <w:top w:val="single" w:sz="4" w:space="0" w:color="auto"/>
              <w:left w:val="single" w:sz="4" w:space="0" w:color="auto"/>
              <w:bottom w:val="single" w:sz="4" w:space="0" w:color="auto"/>
              <w:right w:val="single" w:sz="4" w:space="0" w:color="auto"/>
            </w:tcBorders>
            <w:hideMark/>
          </w:tcPr>
          <w:p w14:paraId="577C29C9" w14:textId="77777777" w:rsidR="009C1E82" w:rsidRDefault="009C1E82" w:rsidP="005C67D8">
            <w:pPr>
              <w:pStyle w:val="TAC"/>
            </w:pPr>
            <w:r>
              <w:t>5.12 x N1 (8 x N1)</w:t>
            </w:r>
          </w:p>
        </w:tc>
      </w:tr>
      <w:tr w:rsidR="009C1E82" w14:paraId="5FFB33BD" w14:textId="77777777" w:rsidTr="005C67D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A84393" w14:textId="77777777" w:rsidR="009C1E82" w:rsidRDefault="009C1E82" w:rsidP="005C67D8">
            <w:pPr>
              <w:pStyle w:val="TAC"/>
            </w:pPr>
            <w:r>
              <w:t>1.28</w:t>
            </w:r>
          </w:p>
        </w:tc>
        <w:tc>
          <w:tcPr>
            <w:tcW w:w="0" w:type="auto"/>
            <w:tcBorders>
              <w:top w:val="nil"/>
              <w:left w:val="single" w:sz="4" w:space="0" w:color="auto"/>
              <w:bottom w:val="nil"/>
              <w:right w:val="single" w:sz="4" w:space="0" w:color="auto"/>
            </w:tcBorders>
            <w:vAlign w:val="center"/>
            <w:hideMark/>
          </w:tcPr>
          <w:p w14:paraId="05353EC4" w14:textId="77777777" w:rsidR="009C1E82" w:rsidRDefault="009C1E82" w:rsidP="005C67D8"/>
        </w:tc>
        <w:tc>
          <w:tcPr>
            <w:tcW w:w="854" w:type="dxa"/>
            <w:tcBorders>
              <w:top w:val="single" w:sz="4" w:space="0" w:color="auto"/>
              <w:left w:val="single" w:sz="4" w:space="0" w:color="auto"/>
              <w:bottom w:val="single" w:sz="4" w:space="0" w:color="auto"/>
              <w:right w:val="single" w:sz="4" w:space="0" w:color="auto"/>
            </w:tcBorders>
            <w:hideMark/>
          </w:tcPr>
          <w:p w14:paraId="66B588F1" w14:textId="77777777" w:rsidR="009C1E82" w:rsidRPr="009F0510" w:rsidRDefault="009C1E82" w:rsidP="005C67D8">
            <w:pPr>
              <w:pStyle w:val="TAC"/>
              <w:rPr>
                <w:rFonts w:eastAsiaTheme="minorHAnsi" w:cstheme="minorBidi"/>
                <w:szCs w:val="22"/>
                <w:highlight w:val="yellow"/>
                <w:lang w:eastAsia="en-US"/>
              </w:rPr>
            </w:pPr>
            <w:r w:rsidRPr="009F0510">
              <w:rPr>
                <w:highlight w:val="yellow"/>
              </w:rPr>
              <w:t>4</w:t>
            </w:r>
          </w:p>
        </w:tc>
        <w:tc>
          <w:tcPr>
            <w:tcW w:w="833" w:type="dxa"/>
            <w:tcBorders>
              <w:top w:val="single" w:sz="4" w:space="0" w:color="auto"/>
              <w:left w:val="single" w:sz="4" w:space="0" w:color="auto"/>
              <w:bottom w:val="single" w:sz="4" w:space="0" w:color="auto"/>
              <w:right w:val="single" w:sz="4" w:space="0" w:color="auto"/>
            </w:tcBorders>
            <w:hideMark/>
          </w:tcPr>
          <w:p w14:paraId="5D53780A" w14:textId="77777777" w:rsidR="009C1E82" w:rsidRDefault="009C1E82" w:rsidP="005C67D8">
            <w:pPr>
              <w:pStyle w:val="TAC"/>
              <w:rPr>
                <w:szCs w:val="18"/>
              </w:rPr>
            </w:pPr>
            <w:r>
              <w:rPr>
                <w:rFonts w:cs="Arial"/>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6310673" w14:textId="77777777" w:rsidR="009C1E82" w:rsidRDefault="009C1E82" w:rsidP="005C67D8">
            <w:pPr>
              <w:pStyle w:val="TAC"/>
              <w:rPr>
                <w:szCs w:val="22"/>
              </w:rPr>
            </w:pPr>
            <w:r>
              <w:t>32 x N1 (25 x N1)</w:t>
            </w:r>
          </w:p>
        </w:tc>
        <w:tc>
          <w:tcPr>
            <w:tcW w:w="0" w:type="auto"/>
            <w:tcBorders>
              <w:top w:val="single" w:sz="4" w:space="0" w:color="auto"/>
              <w:left w:val="single" w:sz="4" w:space="0" w:color="auto"/>
              <w:bottom w:val="single" w:sz="4" w:space="0" w:color="auto"/>
              <w:right w:val="single" w:sz="4" w:space="0" w:color="auto"/>
            </w:tcBorders>
            <w:hideMark/>
          </w:tcPr>
          <w:p w14:paraId="01D15C6C" w14:textId="77777777" w:rsidR="009C1E82" w:rsidRDefault="009C1E82" w:rsidP="005C67D8">
            <w:pPr>
              <w:pStyle w:val="TAC"/>
            </w:pPr>
            <w:r>
              <w:t>1.28 x N1 (1 x N1)</w:t>
            </w:r>
          </w:p>
        </w:tc>
        <w:tc>
          <w:tcPr>
            <w:tcW w:w="0" w:type="auto"/>
            <w:tcBorders>
              <w:top w:val="single" w:sz="4" w:space="0" w:color="auto"/>
              <w:left w:val="single" w:sz="4" w:space="0" w:color="auto"/>
              <w:bottom w:val="single" w:sz="4" w:space="0" w:color="auto"/>
              <w:right w:val="single" w:sz="4" w:space="0" w:color="auto"/>
            </w:tcBorders>
            <w:hideMark/>
          </w:tcPr>
          <w:p w14:paraId="57D34B43" w14:textId="77777777" w:rsidR="009C1E82" w:rsidRDefault="009C1E82" w:rsidP="005C67D8">
            <w:pPr>
              <w:pStyle w:val="TAC"/>
            </w:pPr>
            <w:r>
              <w:t>6.4 x N1 (5 x N1)</w:t>
            </w:r>
          </w:p>
        </w:tc>
      </w:tr>
      <w:tr w:rsidR="009C1E82" w14:paraId="0B60B138" w14:textId="77777777" w:rsidTr="005C67D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FCC7CE" w14:textId="77777777" w:rsidR="009C1E82" w:rsidRDefault="009C1E82" w:rsidP="005C67D8">
            <w:pPr>
              <w:pStyle w:val="TAC"/>
            </w:pPr>
            <w:r>
              <w:t>2.56</w:t>
            </w:r>
          </w:p>
        </w:tc>
        <w:tc>
          <w:tcPr>
            <w:tcW w:w="0" w:type="auto"/>
            <w:tcBorders>
              <w:top w:val="nil"/>
              <w:left w:val="single" w:sz="4" w:space="0" w:color="auto"/>
              <w:bottom w:val="single" w:sz="4" w:space="0" w:color="auto"/>
              <w:right w:val="single" w:sz="4" w:space="0" w:color="auto"/>
            </w:tcBorders>
            <w:vAlign w:val="center"/>
            <w:hideMark/>
          </w:tcPr>
          <w:p w14:paraId="768A041F" w14:textId="77777777" w:rsidR="009C1E82" w:rsidRDefault="009C1E82" w:rsidP="005C67D8"/>
        </w:tc>
        <w:tc>
          <w:tcPr>
            <w:tcW w:w="854" w:type="dxa"/>
            <w:tcBorders>
              <w:top w:val="single" w:sz="4" w:space="0" w:color="auto"/>
              <w:left w:val="single" w:sz="4" w:space="0" w:color="auto"/>
              <w:bottom w:val="single" w:sz="4" w:space="0" w:color="auto"/>
              <w:right w:val="single" w:sz="4" w:space="0" w:color="auto"/>
            </w:tcBorders>
            <w:hideMark/>
          </w:tcPr>
          <w:p w14:paraId="27CD14BF" w14:textId="77777777" w:rsidR="009C1E82" w:rsidRPr="009F0510" w:rsidRDefault="009C1E82" w:rsidP="005C67D8">
            <w:pPr>
              <w:pStyle w:val="TAC"/>
              <w:rPr>
                <w:rFonts w:eastAsiaTheme="minorHAnsi" w:cs="Arial"/>
                <w:szCs w:val="22"/>
                <w:highlight w:val="yellow"/>
                <w:lang w:eastAsia="zh-CN"/>
              </w:rPr>
            </w:pPr>
            <w:r w:rsidRPr="009F0510">
              <w:rPr>
                <w:rFonts w:cs="Arial"/>
                <w:highlight w:val="yellow"/>
                <w:lang w:eastAsia="zh-CN"/>
              </w:rPr>
              <w:t>3</w:t>
            </w:r>
          </w:p>
        </w:tc>
        <w:tc>
          <w:tcPr>
            <w:tcW w:w="833" w:type="dxa"/>
            <w:tcBorders>
              <w:top w:val="single" w:sz="4" w:space="0" w:color="auto"/>
              <w:left w:val="single" w:sz="4" w:space="0" w:color="auto"/>
              <w:bottom w:val="single" w:sz="4" w:space="0" w:color="auto"/>
              <w:right w:val="single" w:sz="4" w:space="0" w:color="auto"/>
            </w:tcBorders>
            <w:hideMark/>
          </w:tcPr>
          <w:p w14:paraId="01A1A40E" w14:textId="77777777" w:rsidR="009C1E82" w:rsidRDefault="009C1E82" w:rsidP="005C67D8">
            <w:pPr>
              <w:pStyle w:val="TAC"/>
              <w:rPr>
                <w:rFonts w:cs="Arial"/>
                <w:szCs w:val="18"/>
                <w:lang w:eastAsia="zh-CN"/>
              </w:rPr>
            </w:pPr>
            <w:r>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311F5732" w14:textId="77777777" w:rsidR="009C1E82" w:rsidRDefault="009C1E82" w:rsidP="005C67D8">
            <w:pPr>
              <w:pStyle w:val="TAC"/>
              <w:rPr>
                <w:rFonts w:cstheme="minorBidi"/>
                <w:szCs w:val="22"/>
                <w:lang w:eastAsia="en-US"/>
              </w:rPr>
            </w:pPr>
            <w:r>
              <w:rPr>
                <w:rFonts w:cs="Arial"/>
                <w:lang w:eastAsia="zh-CN"/>
              </w:rPr>
              <w:t>58.88</w:t>
            </w:r>
            <w:r>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1A60F627" w14:textId="77777777" w:rsidR="009C1E82" w:rsidRDefault="009C1E82" w:rsidP="005C67D8">
            <w:pPr>
              <w:pStyle w:val="TAC"/>
            </w:pPr>
            <w:r>
              <w:t>2.56 x N1 (1 x N1)</w:t>
            </w:r>
          </w:p>
        </w:tc>
        <w:tc>
          <w:tcPr>
            <w:tcW w:w="0" w:type="auto"/>
            <w:tcBorders>
              <w:top w:val="single" w:sz="4" w:space="0" w:color="auto"/>
              <w:left w:val="single" w:sz="4" w:space="0" w:color="auto"/>
              <w:bottom w:val="single" w:sz="4" w:space="0" w:color="auto"/>
              <w:right w:val="single" w:sz="4" w:space="0" w:color="auto"/>
            </w:tcBorders>
            <w:hideMark/>
          </w:tcPr>
          <w:p w14:paraId="14D0051C" w14:textId="77777777" w:rsidR="009C1E82" w:rsidRDefault="009C1E82" w:rsidP="005C67D8">
            <w:pPr>
              <w:pStyle w:val="TAC"/>
            </w:pPr>
            <w:r>
              <w:t>7.68 x N1 (3 x N1)</w:t>
            </w:r>
          </w:p>
        </w:tc>
      </w:tr>
      <w:tr w:rsidR="009C1E82" w14:paraId="2AF93802" w14:textId="77777777" w:rsidTr="005C67D8">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77B695B" w14:textId="77777777" w:rsidR="009C1E82" w:rsidRDefault="009C1E82" w:rsidP="005C67D8">
            <w:pPr>
              <w:pStyle w:val="TAN"/>
            </w:pPr>
            <w:r>
              <w:rPr>
                <w:snapToGrid w:val="0"/>
                <w:lang w:eastAsia="zh-CN"/>
              </w:rPr>
              <w:t>Note 1</w:t>
            </w:r>
            <w:r>
              <w:t>:</w:t>
            </w:r>
            <w:r>
              <w:tab/>
            </w:r>
            <w:r w:rsidRPr="009F0510">
              <w:rPr>
                <w:highlight w:val="cyan"/>
              </w:rPr>
              <w:t xml:space="preserve">Applies for UE supporting FR2-1 power class </w:t>
            </w:r>
            <w:r w:rsidRPr="009F0510">
              <w:rPr>
                <w:highlight w:val="cyan"/>
                <w:lang w:eastAsia="zh-CN"/>
              </w:rPr>
              <w:t>2&amp;3&amp;4</w:t>
            </w:r>
            <w:r w:rsidRPr="009F0510">
              <w:rPr>
                <w:highlight w:val="cyan"/>
              </w:rPr>
              <w:t>. For UE supporting FR2-1 power class 1</w:t>
            </w:r>
            <w:r w:rsidRPr="009F0510">
              <w:rPr>
                <w:highlight w:val="cyan"/>
                <w:lang w:eastAsia="zh-CN"/>
              </w:rPr>
              <w:t xml:space="preserve"> or 5</w:t>
            </w:r>
            <w:r w:rsidRPr="009F0510">
              <w:rPr>
                <w:highlight w:val="cyan"/>
              </w:rPr>
              <w:t>, N1 = 8 for all DRX cycle length.</w:t>
            </w:r>
          </w:p>
          <w:p w14:paraId="74858622" w14:textId="77777777" w:rsidR="009C1E82" w:rsidRDefault="009C1E82" w:rsidP="005C67D8">
            <w:pPr>
              <w:pStyle w:val="TAN"/>
              <w:rPr>
                <w:snapToGrid w:val="0"/>
                <w:lang w:eastAsia="zh-CN"/>
              </w:rPr>
            </w:pPr>
            <w:r>
              <w:rPr>
                <w:lang w:eastAsia="zh-CN"/>
              </w:rPr>
              <w:t>Note 2:</w:t>
            </w:r>
            <w:r>
              <w:rPr>
                <w:lang w:eastAsia="zh-CN"/>
              </w:rPr>
              <w:tab/>
              <w:t>Applies for UE supporting FR2-2 power class 2&amp;3. For UE supporting FR2-2 power class 1, N1 = 12 for all DRX cycle length.</w:t>
            </w:r>
          </w:p>
          <w:p w14:paraId="4177C624" w14:textId="77777777" w:rsidR="009C1E82" w:rsidRDefault="009C1E82" w:rsidP="005C67D8">
            <w:pPr>
              <w:pStyle w:val="TAN"/>
              <w:rPr>
                <w:lang w:eastAsia="en-US"/>
              </w:rPr>
            </w:pPr>
            <w:r>
              <w:rPr>
                <w:snapToGrid w:val="0"/>
                <w:lang w:eastAsia="zh-CN"/>
              </w:rPr>
              <w:t>Note 3:</w:t>
            </w:r>
            <w:r>
              <w:tab/>
            </w:r>
            <w:r>
              <w:rPr>
                <w:snapToGrid w:val="0"/>
                <w:lang w:eastAsia="zh-CN"/>
              </w:rPr>
              <w:t>M2 = 1.5 if SMTC periodicity</w:t>
            </w:r>
            <w:r>
              <w:t xml:space="preserve"> </w:t>
            </w:r>
            <w:r>
              <w:rPr>
                <w:snapToGrid w:val="0"/>
                <w:lang w:eastAsia="zh-CN"/>
              </w:rPr>
              <w:t xml:space="preserve">of measured intra-frequency cell &gt; 20 </w:t>
            </w:r>
            <w:proofErr w:type="spellStart"/>
            <w:r>
              <w:rPr>
                <w:snapToGrid w:val="0"/>
                <w:lang w:eastAsia="zh-CN"/>
              </w:rPr>
              <w:t>ms</w:t>
            </w:r>
            <w:proofErr w:type="spellEnd"/>
            <w:r>
              <w:rPr>
                <w:snapToGrid w:val="0"/>
                <w:lang w:eastAsia="zh-CN"/>
              </w:rPr>
              <w:t>; otherwise M2=1.</w:t>
            </w:r>
            <w:r>
              <w:t xml:space="preserve"> </w:t>
            </w:r>
            <w:r>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Pr>
                <w:snapToGrid w:val="0"/>
                <w:lang w:eastAsia="zh-CN"/>
              </w:rPr>
              <w:t>T</w:t>
            </w:r>
            <w:r>
              <w:rPr>
                <w:snapToGrid w:val="0"/>
                <w:vertAlign w:val="subscript"/>
                <w:lang w:eastAsia="zh-CN"/>
              </w:rPr>
              <w:t>detect</w:t>
            </w:r>
            <w:proofErr w:type="spellEnd"/>
            <w:r>
              <w:rPr>
                <w:snapToGrid w:val="0"/>
                <w:vertAlign w:val="subscript"/>
                <w:lang w:eastAsia="zh-CN"/>
              </w:rPr>
              <w:t xml:space="preserve">, </w:t>
            </w:r>
            <w:proofErr w:type="spellStart"/>
            <w:r>
              <w:rPr>
                <w:snapToGrid w:val="0"/>
                <w:vertAlign w:val="subscript"/>
                <w:lang w:eastAsia="zh-CN"/>
              </w:rPr>
              <w:t>NR_intra</w:t>
            </w:r>
            <w:proofErr w:type="spellEnd"/>
            <w:r>
              <w:rPr>
                <w:snapToGrid w:val="0"/>
                <w:vertAlign w:val="subscript"/>
                <w:lang w:eastAsia="zh-CN"/>
              </w:rPr>
              <w:t xml:space="preserve"> </w:t>
            </w:r>
            <w:r>
              <w:rPr>
                <w:snapToGrid w:val="0"/>
                <w:lang w:eastAsia="zh-CN"/>
              </w:rPr>
              <w:t>is expected.</w:t>
            </w:r>
          </w:p>
        </w:tc>
      </w:tr>
    </w:tbl>
    <w:p w14:paraId="35E671E7" w14:textId="77777777" w:rsidR="009C1E82" w:rsidRDefault="009C1E82" w:rsidP="009C1E82"/>
    <w:p w14:paraId="66B10A2A" w14:textId="59D417F9" w:rsidR="009C1E82" w:rsidRDefault="009C1E82" w:rsidP="00264232">
      <w:r>
        <w:t xml:space="preserve">The table indicates that the time to detect may be enlarged to accommodate measurements across multiple beams at the UE side. </w:t>
      </w:r>
    </w:p>
    <w:p w14:paraId="30DFCCB8" w14:textId="7246C149" w:rsidR="009C1E82" w:rsidRDefault="009C1E82" w:rsidP="009C1E82">
      <w:r>
        <w:t xml:space="preserve">Therefore, for operation in </w:t>
      </w:r>
      <w:r w:rsidR="00264232">
        <w:t>4 GHz</w:t>
      </w:r>
      <w:r>
        <w:t>, we support a scaling factor for measurements across different beams, but in a smaller degree than the one applied for FR2.</w:t>
      </w:r>
    </w:p>
    <w:p w14:paraId="14BD720F" w14:textId="78E3D360" w:rsidR="009C1E82" w:rsidRDefault="009C1E82" w:rsidP="009C1E82">
      <w:pPr>
        <w:pStyle w:val="RAN4proposal"/>
      </w:pPr>
      <w:bookmarkStart w:id="34" w:name="_Toc135062935"/>
      <w:bookmarkStart w:id="35" w:name="_Toc135071207"/>
      <w:r>
        <w:lastRenderedPageBreak/>
        <w:t xml:space="preserve">For </w:t>
      </w:r>
      <w:r w:rsidR="00264232">
        <w:t>UEs with directional antennas operating in 4 GHz</w:t>
      </w:r>
      <w:r>
        <w:t>, use a scaling factor for cell reselection requirements (</w:t>
      </w:r>
      <w:proofErr w:type="spellStart"/>
      <w:r>
        <w:t>Tdetect</w:t>
      </w:r>
      <w:proofErr w:type="spellEnd"/>
      <w:r>
        <w:t xml:space="preserve">, </w:t>
      </w:r>
      <w:proofErr w:type="spellStart"/>
      <w:r>
        <w:t>Tevaluate</w:t>
      </w:r>
      <w:proofErr w:type="spellEnd"/>
      <w:r>
        <w:t>, T measure) for measurements across different beams</w:t>
      </w:r>
      <w:bookmarkEnd w:id="34"/>
      <w:r w:rsidR="00264232">
        <w:t>.</w:t>
      </w:r>
      <w:bookmarkEnd w:id="35"/>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05E3F8D" w14:textId="77777777" w:rsidR="009C1E82" w:rsidRPr="009C1E82" w:rsidRDefault="009C1E82" w:rsidP="009C1E82"/>
    <w:p w14:paraId="0087DD56" w14:textId="77777777" w:rsidR="0060543D" w:rsidRDefault="0060543D" w:rsidP="0060543D"/>
    <w:p w14:paraId="7742CB7C" w14:textId="77777777" w:rsidR="0060543D" w:rsidRPr="0060543D" w:rsidRDefault="0060543D" w:rsidP="0060543D"/>
    <w:p w14:paraId="58854A6F" w14:textId="77777777" w:rsidR="00CD7492" w:rsidRPr="00EF698B" w:rsidRDefault="00CD7492" w:rsidP="00A37002">
      <w:pPr>
        <w:pStyle w:val="RAN4H1"/>
        <w:rPr>
          <w:lang w:val="en-US"/>
        </w:rPr>
      </w:pPr>
      <w:bookmarkStart w:id="36" w:name="_Toc116995848"/>
      <w:r w:rsidRPr="00EF698B">
        <w:rPr>
          <w:lang w:val="en-US"/>
        </w:rPr>
        <w:t>Conclusion</w:t>
      </w:r>
      <w:bookmarkEnd w:id="36"/>
    </w:p>
    <w:p w14:paraId="51A88973" w14:textId="01A48A21" w:rsidR="00E55751" w:rsidRPr="00592A86" w:rsidRDefault="008B0961" w:rsidP="00936159">
      <w:r>
        <w:t>In the paper,</w:t>
      </w:r>
      <w:r w:rsidR="00F16B66">
        <w:t xml:space="preserve"> we analysed some of the open issues for ATG timing requirements. T</w:t>
      </w:r>
      <w:r w:rsidR="005B4801">
        <w:t xml:space="preserve">he </w:t>
      </w:r>
      <w:r w:rsidR="005B4801" w:rsidRPr="00E55751">
        <w:t xml:space="preserve">following Observations </w:t>
      </w:r>
      <w:r w:rsidRPr="00E55751">
        <w:t>and</w:t>
      </w:r>
      <w:r w:rsidR="005B4801">
        <w:t xml:space="preserve"> Proposals were made:</w:t>
      </w:r>
    </w:p>
    <w:p w14:paraId="2E9A2635" w14:textId="77777777" w:rsidR="00D5270B" w:rsidRPr="000D0F93" w:rsidRDefault="00D5270B" w:rsidP="00936159">
      <w:pPr>
        <w:rPr>
          <w:highlight w:val="yellow"/>
        </w:rPr>
      </w:pPr>
    </w:p>
    <w:bookmarkStart w:id="37" w:name="_Toc116995849"/>
    <w:p w14:paraId="1E1646D7" w14:textId="77777777" w:rsidR="00264232" w:rsidRPr="00264232" w:rsidRDefault="009F5872">
      <w:pPr>
        <w:pStyle w:val="TOC1"/>
        <w:rPr>
          <w:rFonts w:asciiTheme="minorHAnsi" w:eastAsiaTheme="minorEastAsia" w:hAnsiTheme="minorHAnsi"/>
          <w:b/>
          <w:bCs/>
          <w:i w:val="0"/>
          <w:iCs w:val="0"/>
          <w:sz w:val="22"/>
          <w:u w:val="none"/>
          <w:lang w:eastAsia="en-GB"/>
        </w:rPr>
      </w:pPr>
      <w:r w:rsidRPr="00264232">
        <w:rPr>
          <w:b/>
          <w:bCs/>
          <w:u w:val="none"/>
          <w:lang w:val="en-US"/>
        </w:rPr>
        <w:fldChar w:fldCharType="begin"/>
      </w:r>
      <w:r w:rsidRPr="00264232">
        <w:rPr>
          <w:b/>
          <w:bCs/>
          <w:u w:val="none"/>
          <w:lang w:val="en-US"/>
        </w:rPr>
        <w:instrText xml:space="preserve"> TOC \n \p " " \t "RAN4 proposal;1;RAN4 observation;1" </w:instrText>
      </w:r>
      <w:r w:rsidRPr="00264232">
        <w:rPr>
          <w:b/>
          <w:bCs/>
          <w:u w:val="none"/>
          <w:lang w:val="en-US"/>
        </w:rPr>
        <w:fldChar w:fldCharType="separate"/>
      </w:r>
      <w:r w:rsidR="00264232" w:rsidRPr="00264232">
        <w:rPr>
          <w:b/>
          <w:bCs/>
          <w:i w:val="0"/>
          <w:iCs w:val="0"/>
          <w:u w:val="none"/>
        </w:rPr>
        <w:t>Observation 1: The distance threshold parameter for cell reselection is broadcast in SIB19. It is still not clear whether RAN2 will utilize SIB19 to provide assistance information to the ATG UE or if this information will be provided in a different SIB.</w:t>
      </w:r>
    </w:p>
    <w:p w14:paraId="57A8735B" w14:textId="77777777" w:rsidR="00264232" w:rsidRPr="00264232" w:rsidRDefault="00264232">
      <w:pPr>
        <w:pStyle w:val="TOC1"/>
        <w:rPr>
          <w:rFonts w:asciiTheme="minorHAnsi" w:eastAsiaTheme="minorEastAsia" w:hAnsiTheme="minorHAnsi"/>
          <w:b/>
          <w:bCs/>
          <w:i w:val="0"/>
          <w:iCs w:val="0"/>
          <w:sz w:val="22"/>
          <w:u w:val="none"/>
          <w:lang w:eastAsia="en-GB"/>
        </w:rPr>
      </w:pPr>
      <w:r w:rsidRPr="00264232">
        <w:rPr>
          <w:b/>
          <w:bCs/>
          <w:i w:val="0"/>
          <w:iCs w:val="0"/>
          <w:u w:val="none"/>
        </w:rPr>
        <w:t>Proposal 1: As it remains unclear whether the distance threshold parameter will be available in ATG, not using it as an enhancement for cell reselection</w:t>
      </w:r>
    </w:p>
    <w:p w14:paraId="745E4E4F" w14:textId="77777777" w:rsidR="00264232" w:rsidRPr="00264232" w:rsidRDefault="00264232">
      <w:pPr>
        <w:pStyle w:val="TOC1"/>
        <w:rPr>
          <w:rFonts w:asciiTheme="minorHAnsi" w:eastAsiaTheme="minorEastAsia" w:hAnsiTheme="minorHAnsi"/>
          <w:b/>
          <w:bCs/>
          <w:i w:val="0"/>
          <w:iCs w:val="0"/>
          <w:sz w:val="22"/>
          <w:u w:val="none"/>
          <w:lang w:eastAsia="en-GB"/>
        </w:rPr>
      </w:pPr>
      <w:r w:rsidRPr="00264232">
        <w:rPr>
          <w:b/>
          <w:bCs/>
          <w:i w:val="0"/>
          <w:iCs w:val="0"/>
          <w:u w:val="none"/>
        </w:rPr>
        <w:t>Proposal 2: Do not introduce height-dependent requirements for measurement procedures for ATG UES.</w:t>
      </w:r>
    </w:p>
    <w:p w14:paraId="60EF2E40" w14:textId="77777777" w:rsidR="00264232" w:rsidRPr="00264232" w:rsidRDefault="00264232">
      <w:pPr>
        <w:pStyle w:val="TOC1"/>
        <w:rPr>
          <w:rFonts w:asciiTheme="minorHAnsi" w:eastAsiaTheme="minorEastAsia" w:hAnsiTheme="minorHAnsi"/>
          <w:b/>
          <w:bCs/>
          <w:i w:val="0"/>
          <w:iCs w:val="0"/>
          <w:sz w:val="22"/>
          <w:u w:val="none"/>
          <w:lang w:eastAsia="en-GB"/>
        </w:rPr>
      </w:pPr>
      <w:r w:rsidRPr="00264232">
        <w:rPr>
          <w:b/>
          <w:bCs/>
          <w:i w:val="0"/>
          <w:iCs w:val="0"/>
          <w:u w:val="none"/>
        </w:rPr>
        <w:t>Observation 2: There are no significant gains for adopting height threshold for measurements in idle mode, that justifies asking RAN2 to provide signalling support for this new threshold.</w:t>
      </w:r>
    </w:p>
    <w:p w14:paraId="52CE2956" w14:textId="77777777" w:rsidR="00264232" w:rsidRPr="00264232" w:rsidRDefault="00264232">
      <w:pPr>
        <w:pStyle w:val="TOC1"/>
        <w:rPr>
          <w:rFonts w:asciiTheme="minorHAnsi" w:eastAsiaTheme="minorEastAsia" w:hAnsiTheme="minorHAnsi"/>
          <w:b/>
          <w:bCs/>
          <w:i w:val="0"/>
          <w:iCs w:val="0"/>
          <w:sz w:val="22"/>
          <w:u w:val="none"/>
          <w:lang w:eastAsia="en-GB"/>
        </w:rPr>
      </w:pPr>
      <w:r w:rsidRPr="00264232">
        <w:rPr>
          <w:b/>
          <w:bCs/>
          <w:i w:val="0"/>
          <w:iCs w:val="0"/>
          <w:u w:val="none"/>
        </w:rPr>
        <w:t>Proposal 3: Do not adopt introduce height dependent threshold for ATG UEs.</w:t>
      </w:r>
    </w:p>
    <w:p w14:paraId="4A14AB26" w14:textId="77777777" w:rsidR="00264232" w:rsidRPr="00264232" w:rsidRDefault="00264232">
      <w:pPr>
        <w:pStyle w:val="TOC1"/>
        <w:rPr>
          <w:rFonts w:asciiTheme="minorHAnsi" w:eastAsiaTheme="minorEastAsia" w:hAnsiTheme="minorHAnsi"/>
          <w:b/>
          <w:bCs/>
          <w:sz w:val="22"/>
          <w:u w:val="none"/>
          <w:lang w:eastAsia="en-GB"/>
        </w:rPr>
      </w:pPr>
      <w:r w:rsidRPr="00264232">
        <w:rPr>
          <w:b/>
          <w:bCs/>
          <w:i w:val="0"/>
          <w:iCs w:val="0"/>
          <w:u w:val="none"/>
        </w:rPr>
        <w:t>Proposal 4: For UEs with directional antennas operating in 4 GHz, use a scaling factor for cell reselection requirements (Tdetect, Tevaluate, T measure) for measurements across different beams</w:t>
      </w:r>
      <w:r w:rsidRPr="00264232">
        <w:rPr>
          <w:b/>
          <w:bCs/>
          <w:u w:val="none"/>
        </w:rPr>
        <w:t>.</w:t>
      </w:r>
    </w:p>
    <w:p w14:paraId="163FF8D0" w14:textId="15F6A1A8" w:rsidR="003B659E" w:rsidRPr="0060543D" w:rsidRDefault="009F5872" w:rsidP="0060543D">
      <w:pPr>
        <w:pStyle w:val="RAN4H1"/>
        <w:numPr>
          <w:ilvl w:val="0"/>
          <w:numId w:val="0"/>
        </w:numPr>
        <w:ind w:left="360" w:hanging="360"/>
      </w:pPr>
      <w:r w:rsidRPr="00264232">
        <w:rPr>
          <w:rFonts w:ascii="Times New Roman" w:eastAsiaTheme="minorHAnsi" w:hAnsi="Times New Roman" w:cstheme="minorBidi"/>
          <w:b/>
          <w:bCs/>
          <w:i/>
          <w:iCs/>
          <w:noProof/>
          <w:sz w:val="20"/>
          <w:szCs w:val="22"/>
          <w:lang w:val="en-US"/>
        </w:rPr>
        <w:fldChar w:fldCharType="end"/>
      </w:r>
      <w:r w:rsidR="003B659E" w:rsidRPr="00EF698B">
        <w:t>References</w:t>
      </w:r>
      <w:bookmarkEnd w:id="37"/>
    </w:p>
    <w:p w14:paraId="2F38FBC3" w14:textId="14C1A23C" w:rsidR="00687FA0" w:rsidRPr="003C4FDE" w:rsidRDefault="00935232" w:rsidP="00D66188">
      <w:pPr>
        <w:pStyle w:val="ListParagraph"/>
        <w:numPr>
          <w:ilvl w:val="0"/>
          <w:numId w:val="21"/>
        </w:numPr>
        <w:ind w:right="-22"/>
      </w:pPr>
      <w:bookmarkStart w:id="38" w:name="_Ref114500673"/>
      <w:bookmarkStart w:id="39" w:name="_Ref131674798"/>
      <w:bookmarkEnd w:id="38"/>
      <w:r w:rsidRPr="00935232">
        <w:t>RP-220962</w:t>
      </w:r>
      <w:r w:rsidR="00D40288" w:rsidRPr="003C4FDE">
        <w:t>,</w:t>
      </w:r>
      <w:r w:rsidR="000040DC" w:rsidRPr="003C4FDE">
        <w:t xml:space="preserve"> </w:t>
      </w:r>
      <w:r>
        <w:t>“</w:t>
      </w:r>
      <w:r w:rsidRPr="00935232">
        <w:rPr>
          <w:i/>
          <w:iCs/>
        </w:rPr>
        <w:t>New WID: Air-to-ground network for NR</w:t>
      </w:r>
      <w:r>
        <w:rPr>
          <w:i/>
          <w:iCs/>
        </w:rPr>
        <w:t>”</w:t>
      </w:r>
      <w:r w:rsidR="000040DC" w:rsidRPr="003C4FDE">
        <w:t xml:space="preserve">, </w:t>
      </w:r>
      <w:r w:rsidRPr="00935232">
        <w:t>CMCC</w:t>
      </w:r>
      <w:r w:rsidR="00B408B6" w:rsidRPr="003C4FDE">
        <w:t xml:space="preserve">, </w:t>
      </w:r>
      <w:r w:rsidR="00D40288" w:rsidRPr="003C4FDE">
        <w:t>RAN #</w:t>
      </w:r>
      <w:r>
        <w:t>95-e</w:t>
      </w:r>
      <w:r w:rsidR="00D40288" w:rsidRPr="003C4FDE">
        <w:t xml:space="preserve">, </w:t>
      </w:r>
      <w:r>
        <w:t>March 17 – March 23</w:t>
      </w:r>
      <w:r w:rsidR="00D40288" w:rsidRPr="003C4FDE">
        <w:t>, 2022</w:t>
      </w:r>
      <w:r w:rsidR="000040DC" w:rsidRPr="003C4FDE">
        <w:t>.</w:t>
      </w:r>
      <w:bookmarkEnd w:id="39"/>
      <w:r w:rsidR="000040DC" w:rsidRPr="003C4FDE">
        <w:t xml:space="preserve"> </w:t>
      </w:r>
    </w:p>
    <w:p w14:paraId="1DBAF4D7" w14:textId="35033A74" w:rsidR="000040DC" w:rsidRPr="00893330" w:rsidRDefault="00F1433D" w:rsidP="000040DC">
      <w:pPr>
        <w:pStyle w:val="ListParagraph"/>
        <w:numPr>
          <w:ilvl w:val="0"/>
          <w:numId w:val="21"/>
        </w:numPr>
        <w:ind w:right="-22"/>
      </w:pPr>
      <w:bookmarkStart w:id="40" w:name="_Ref131678419"/>
      <w:r w:rsidRPr="00F1433D">
        <w:t>R4-2306344</w:t>
      </w:r>
      <w:r w:rsidR="008D142A" w:rsidRPr="003C4FDE">
        <w:t xml:space="preserve">, </w:t>
      </w:r>
      <w:r w:rsidR="008D142A">
        <w:t>“</w:t>
      </w:r>
      <w:r w:rsidR="008D142A" w:rsidRPr="008D142A">
        <w:rPr>
          <w:i/>
          <w:iCs/>
        </w:rPr>
        <w:t>WF on NR ATG RRM requirements</w:t>
      </w:r>
      <w:r w:rsidR="008D142A">
        <w:rPr>
          <w:i/>
          <w:iCs/>
        </w:rPr>
        <w:t>”</w:t>
      </w:r>
      <w:r w:rsidR="008D142A" w:rsidRPr="003C4FDE">
        <w:t xml:space="preserve">, </w:t>
      </w:r>
      <w:r w:rsidR="008D142A" w:rsidRPr="00935232">
        <w:t>CMCC</w:t>
      </w:r>
      <w:r w:rsidR="008D142A" w:rsidRPr="003C4FDE">
        <w:t>, RAN</w:t>
      </w:r>
      <w:r w:rsidR="008D142A">
        <w:t>4</w:t>
      </w:r>
      <w:r w:rsidR="008D142A" w:rsidRPr="003C4FDE">
        <w:t xml:space="preserve"> #</w:t>
      </w:r>
      <w:r w:rsidR="008D142A">
        <w:t>106</w:t>
      </w:r>
      <w:r w:rsidR="008D142A" w:rsidRPr="003C4FDE">
        <w:t xml:space="preserve">, </w:t>
      </w:r>
      <w:r w:rsidR="008D142A">
        <w:t>Feb 27 – March 03</w:t>
      </w:r>
      <w:r w:rsidR="008D142A" w:rsidRPr="003C4FDE">
        <w:t>, 202</w:t>
      </w:r>
      <w:r w:rsidR="008D142A">
        <w:t>3, Athens, Greece</w:t>
      </w:r>
      <w:bookmarkEnd w:id="40"/>
      <w:r w:rsidR="008D142A" w:rsidRPr="003C4FDE">
        <w:t xml:space="preserve"> </w:t>
      </w:r>
    </w:p>
    <w:p w14:paraId="284F9B92" w14:textId="77777777" w:rsidR="0060543D" w:rsidRDefault="0060543D" w:rsidP="000040DC">
      <w:pPr>
        <w:ind w:right="-22"/>
        <w:rPr>
          <w:highlight w:val="yellow"/>
        </w:rPr>
      </w:pPr>
    </w:p>
    <w:sectPr w:rsid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359E49" w14:textId="77777777" w:rsidR="00AF3A4C" w:rsidRDefault="00AF3A4C" w:rsidP="00001C9B">
      <w:pPr>
        <w:spacing w:after="0" w:line="240" w:lineRule="auto"/>
      </w:pPr>
      <w:r>
        <w:separator/>
      </w:r>
    </w:p>
  </w:endnote>
  <w:endnote w:type="continuationSeparator" w:id="0">
    <w:p w14:paraId="47FAB73C" w14:textId="77777777" w:rsidR="00AF3A4C" w:rsidRDefault="00AF3A4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397DA3" w14:textId="77777777" w:rsidR="00AF3A4C" w:rsidRDefault="00AF3A4C" w:rsidP="00001C9B">
      <w:pPr>
        <w:spacing w:after="0" w:line="240" w:lineRule="auto"/>
      </w:pPr>
      <w:r>
        <w:separator/>
      </w:r>
    </w:p>
  </w:footnote>
  <w:footnote w:type="continuationSeparator" w:id="0">
    <w:p w14:paraId="56CF436C" w14:textId="77777777" w:rsidR="00AF3A4C" w:rsidRDefault="00AF3A4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9A4127"/>
    <w:multiLevelType w:val="hybridMultilevel"/>
    <w:tmpl w:val="C8785362"/>
    <w:lvl w:ilvl="0" w:tplc="98A2EFFA">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FE558BC"/>
    <w:multiLevelType w:val="hybridMultilevel"/>
    <w:tmpl w:val="AC049BA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E2859"/>
    <w:multiLevelType w:val="hybridMultilevel"/>
    <w:tmpl w:val="156C26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43B9D"/>
    <w:multiLevelType w:val="hybridMultilevel"/>
    <w:tmpl w:val="5D9A6A1E"/>
    <w:lvl w:ilvl="0" w:tplc="630298E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EF03D0F"/>
    <w:multiLevelType w:val="hybridMultilevel"/>
    <w:tmpl w:val="690ED3F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2"/>
  </w:num>
  <w:num w:numId="4" w16cid:durableId="517735681">
    <w:abstractNumId w:val="6"/>
  </w:num>
  <w:num w:numId="5" w16cid:durableId="1142041724">
    <w:abstractNumId w:val="16"/>
  </w:num>
  <w:num w:numId="6" w16cid:durableId="80681869">
    <w:abstractNumId w:val="10"/>
  </w:num>
  <w:num w:numId="7" w16cid:durableId="1566528953">
    <w:abstractNumId w:val="11"/>
  </w:num>
  <w:num w:numId="8" w16cid:durableId="809788981">
    <w:abstractNumId w:val="11"/>
    <w:lvlOverride w:ilvl="0">
      <w:startOverride w:val="1"/>
    </w:lvlOverride>
  </w:num>
  <w:num w:numId="9" w16cid:durableId="1398822153">
    <w:abstractNumId w:val="11"/>
    <w:lvlOverride w:ilvl="0">
      <w:startOverride w:val="1"/>
    </w:lvlOverride>
  </w:num>
  <w:num w:numId="10" w16cid:durableId="1825466284">
    <w:abstractNumId w:val="11"/>
    <w:lvlOverride w:ilvl="0">
      <w:startOverride w:val="1"/>
    </w:lvlOverride>
  </w:num>
  <w:num w:numId="11" w16cid:durableId="1446922321">
    <w:abstractNumId w:val="10"/>
    <w:lvlOverride w:ilvl="0">
      <w:startOverride w:val="1"/>
    </w:lvlOverride>
  </w:num>
  <w:num w:numId="12" w16cid:durableId="122584543">
    <w:abstractNumId w:val="11"/>
    <w:lvlOverride w:ilvl="0">
      <w:startOverride w:val="1"/>
    </w:lvlOverride>
  </w:num>
  <w:num w:numId="13" w16cid:durableId="818807267">
    <w:abstractNumId w:val="10"/>
    <w:lvlOverride w:ilvl="0">
      <w:startOverride w:val="1"/>
    </w:lvlOverride>
  </w:num>
  <w:num w:numId="14" w16cid:durableId="883829348">
    <w:abstractNumId w:val="11"/>
    <w:lvlOverride w:ilvl="0">
      <w:startOverride w:val="1"/>
    </w:lvlOverride>
  </w:num>
  <w:num w:numId="15" w16cid:durableId="438372887">
    <w:abstractNumId w:val="18"/>
  </w:num>
  <w:num w:numId="16" w16cid:durableId="516113510">
    <w:abstractNumId w:val="4"/>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9"/>
  </w:num>
  <w:num w:numId="21" w16cid:durableId="1659071369">
    <w:abstractNumId w:val="14"/>
  </w:num>
  <w:num w:numId="22" w16cid:durableId="1938362445">
    <w:abstractNumId w:val="10"/>
    <w:lvlOverride w:ilvl="0">
      <w:startOverride w:val="1"/>
    </w:lvlOverride>
  </w:num>
  <w:num w:numId="23" w16cid:durableId="913515990">
    <w:abstractNumId w:val="11"/>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60541467">
    <w:abstractNumId w:val="3"/>
  </w:num>
  <w:num w:numId="28" w16cid:durableId="1941139119">
    <w:abstractNumId w:val="13"/>
  </w:num>
  <w:num w:numId="29" w16cid:durableId="1080445979">
    <w:abstractNumId w:val="13"/>
  </w:num>
  <w:num w:numId="30" w16cid:durableId="405566104">
    <w:abstractNumId w:val="17"/>
  </w:num>
  <w:num w:numId="31" w16cid:durableId="962614232">
    <w:abstractNumId w:val="5"/>
  </w:num>
  <w:num w:numId="32" w16cid:durableId="85623247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94DFA"/>
    <w:rsid w:val="00001C9B"/>
    <w:rsid w:val="000040DC"/>
    <w:rsid w:val="000108B1"/>
    <w:rsid w:val="000151EF"/>
    <w:rsid w:val="000239F5"/>
    <w:rsid w:val="000322BE"/>
    <w:rsid w:val="0004155B"/>
    <w:rsid w:val="0008612A"/>
    <w:rsid w:val="00090E18"/>
    <w:rsid w:val="000A10BC"/>
    <w:rsid w:val="000B0056"/>
    <w:rsid w:val="000B3DC4"/>
    <w:rsid w:val="000C3C7B"/>
    <w:rsid w:val="000D0F93"/>
    <w:rsid w:val="000E761E"/>
    <w:rsid w:val="00106416"/>
    <w:rsid w:val="00110481"/>
    <w:rsid w:val="001127C9"/>
    <w:rsid w:val="001138D5"/>
    <w:rsid w:val="00115B88"/>
    <w:rsid w:val="00132F6A"/>
    <w:rsid w:val="00133913"/>
    <w:rsid w:val="00140221"/>
    <w:rsid w:val="00147E19"/>
    <w:rsid w:val="00150A36"/>
    <w:rsid w:val="001642FC"/>
    <w:rsid w:val="0016496B"/>
    <w:rsid w:val="001743E2"/>
    <w:rsid w:val="001745F8"/>
    <w:rsid w:val="001838CF"/>
    <w:rsid w:val="001868EE"/>
    <w:rsid w:val="001A3BA4"/>
    <w:rsid w:val="001A6D1F"/>
    <w:rsid w:val="001C4428"/>
    <w:rsid w:val="001D415C"/>
    <w:rsid w:val="001E30F6"/>
    <w:rsid w:val="001E7E8C"/>
    <w:rsid w:val="00213769"/>
    <w:rsid w:val="00217EE5"/>
    <w:rsid w:val="00235F5C"/>
    <w:rsid w:val="00257FA3"/>
    <w:rsid w:val="00264232"/>
    <w:rsid w:val="00277B56"/>
    <w:rsid w:val="002A19F5"/>
    <w:rsid w:val="002A729B"/>
    <w:rsid w:val="002B4922"/>
    <w:rsid w:val="002C22C3"/>
    <w:rsid w:val="002C2D19"/>
    <w:rsid w:val="002D10FA"/>
    <w:rsid w:val="002D4C55"/>
    <w:rsid w:val="002D5E8E"/>
    <w:rsid w:val="002E6DED"/>
    <w:rsid w:val="00300956"/>
    <w:rsid w:val="00301613"/>
    <w:rsid w:val="00317187"/>
    <w:rsid w:val="0032499A"/>
    <w:rsid w:val="003341F7"/>
    <w:rsid w:val="003464BC"/>
    <w:rsid w:val="00347FEC"/>
    <w:rsid w:val="00356F45"/>
    <w:rsid w:val="00366B74"/>
    <w:rsid w:val="003672FB"/>
    <w:rsid w:val="00380E07"/>
    <w:rsid w:val="003A710A"/>
    <w:rsid w:val="003B659E"/>
    <w:rsid w:val="003C275E"/>
    <w:rsid w:val="003C4FDE"/>
    <w:rsid w:val="003E58DF"/>
    <w:rsid w:val="003F0922"/>
    <w:rsid w:val="00404C4C"/>
    <w:rsid w:val="0041423F"/>
    <w:rsid w:val="00414F81"/>
    <w:rsid w:val="00436A0F"/>
    <w:rsid w:val="00437150"/>
    <w:rsid w:val="0043750A"/>
    <w:rsid w:val="00452A97"/>
    <w:rsid w:val="00452BA7"/>
    <w:rsid w:val="004732E9"/>
    <w:rsid w:val="004803D9"/>
    <w:rsid w:val="004854BB"/>
    <w:rsid w:val="00494493"/>
    <w:rsid w:val="00496606"/>
    <w:rsid w:val="004E5E66"/>
    <w:rsid w:val="004E7ADB"/>
    <w:rsid w:val="00503B4D"/>
    <w:rsid w:val="00504EE9"/>
    <w:rsid w:val="00510CBF"/>
    <w:rsid w:val="0051103F"/>
    <w:rsid w:val="00521576"/>
    <w:rsid w:val="005250E6"/>
    <w:rsid w:val="00542D23"/>
    <w:rsid w:val="0054442C"/>
    <w:rsid w:val="00550285"/>
    <w:rsid w:val="00562492"/>
    <w:rsid w:val="00572A20"/>
    <w:rsid w:val="00573EF7"/>
    <w:rsid w:val="005836F8"/>
    <w:rsid w:val="005918FA"/>
    <w:rsid w:val="00592A86"/>
    <w:rsid w:val="00592D37"/>
    <w:rsid w:val="005A3045"/>
    <w:rsid w:val="005A6AF6"/>
    <w:rsid w:val="005B03C5"/>
    <w:rsid w:val="005B4801"/>
    <w:rsid w:val="005C23A4"/>
    <w:rsid w:val="005D1CDF"/>
    <w:rsid w:val="005D2BB7"/>
    <w:rsid w:val="005E61A8"/>
    <w:rsid w:val="005F6419"/>
    <w:rsid w:val="0060543D"/>
    <w:rsid w:val="006104DD"/>
    <w:rsid w:val="006130B5"/>
    <w:rsid w:val="00617400"/>
    <w:rsid w:val="00632D29"/>
    <w:rsid w:val="00664950"/>
    <w:rsid w:val="00683220"/>
    <w:rsid w:val="006838BC"/>
    <w:rsid w:val="00687FA0"/>
    <w:rsid w:val="006A3C11"/>
    <w:rsid w:val="006B7010"/>
    <w:rsid w:val="006C03AD"/>
    <w:rsid w:val="006C3095"/>
    <w:rsid w:val="006C7F38"/>
    <w:rsid w:val="006E1151"/>
    <w:rsid w:val="006E2BC3"/>
    <w:rsid w:val="006E6311"/>
    <w:rsid w:val="007145FF"/>
    <w:rsid w:val="00715B2A"/>
    <w:rsid w:val="00734C65"/>
    <w:rsid w:val="007450F1"/>
    <w:rsid w:val="00751515"/>
    <w:rsid w:val="007626B7"/>
    <w:rsid w:val="0078212B"/>
    <w:rsid w:val="00784DF6"/>
    <w:rsid w:val="00785232"/>
    <w:rsid w:val="007B186C"/>
    <w:rsid w:val="007B58D8"/>
    <w:rsid w:val="007B63C0"/>
    <w:rsid w:val="007C1696"/>
    <w:rsid w:val="007C3ED0"/>
    <w:rsid w:val="007C5971"/>
    <w:rsid w:val="007F54B9"/>
    <w:rsid w:val="00805724"/>
    <w:rsid w:val="00806A76"/>
    <w:rsid w:val="00811C9D"/>
    <w:rsid w:val="00816C80"/>
    <w:rsid w:val="00824F20"/>
    <w:rsid w:val="00841BCD"/>
    <w:rsid w:val="008509EC"/>
    <w:rsid w:val="00851A8E"/>
    <w:rsid w:val="0085365B"/>
    <w:rsid w:val="00873C03"/>
    <w:rsid w:val="008826C1"/>
    <w:rsid w:val="00883DFD"/>
    <w:rsid w:val="00893330"/>
    <w:rsid w:val="008A1BF7"/>
    <w:rsid w:val="008A5B0E"/>
    <w:rsid w:val="008B0961"/>
    <w:rsid w:val="008D142A"/>
    <w:rsid w:val="0090091A"/>
    <w:rsid w:val="009042BD"/>
    <w:rsid w:val="00904FE4"/>
    <w:rsid w:val="00935232"/>
    <w:rsid w:val="00936159"/>
    <w:rsid w:val="00937203"/>
    <w:rsid w:val="00942664"/>
    <w:rsid w:val="00944279"/>
    <w:rsid w:val="009445D3"/>
    <w:rsid w:val="00977E1D"/>
    <w:rsid w:val="00985468"/>
    <w:rsid w:val="00994DFA"/>
    <w:rsid w:val="009B0573"/>
    <w:rsid w:val="009B7B4B"/>
    <w:rsid w:val="009B7C21"/>
    <w:rsid w:val="009C1E82"/>
    <w:rsid w:val="009D708F"/>
    <w:rsid w:val="009E17E9"/>
    <w:rsid w:val="009F5872"/>
    <w:rsid w:val="00A04992"/>
    <w:rsid w:val="00A1381C"/>
    <w:rsid w:val="00A147AA"/>
    <w:rsid w:val="00A201B7"/>
    <w:rsid w:val="00A21D71"/>
    <w:rsid w:val="00A22B78"/>
    <w:rsid w:val="00A25AE5"/>
    <w:rsid w:val="00A37002"/>
    <w:rsid w:val="00A4355E"/>
    <w:rsid w:val="00A672A8"/>
    <w:rsid w:val="00A67D2F"/>
    <w:rsid w:val="00A92BCD"/>
    <w:rsid w:val="00AA1B0E"/>
    <w:rsid w:val="00AA47B6"/>
    <w:rsid w:val="00AC163B"/>
    <w:rsid w:val="00AC5CA7"/>
    <w:rsid w:val="00AC6058"/>
    <w:rsid w:val="00AE2BA5"/>
    <w:rsid w:val="00AE56B1"/>
    <w:rsid w:val="00AE5AEF"/>
    <w:rsid w:val="00AE6D09"/>
    <w:rsid w:val="00AF3A4C"/>
    <w:rsid w:val="00AF7A7C"/>
    <w:rsid w:val="00B12F4E"/>
    <w:rsid w:val="00B15AF0"/>
    <w:rsid w:val="00B258E5"/>
    <w:rsid w:val="00B274AF"/>
    <w:rsid w:val="00B3094F"/>
    <w:rsid w:val="00B408B6"/>
    <w:rsid w:val="00B542DA"/>
    <w:rsid w:val="00B73862"/>
    <w:rsid w:val="00B73F43"/>
    <w:rsid w:val="00B9791E"/>
    <w:rsid w:val="00BA3B96"/>
    <w:rsid w:val="00BA6B66"/>
    <w:rsid w:val="00BA6E48"/>
    <w:rsid w:val="00BE0AF6"/>
    <w:rsid w:val="00BE1F03"/>
    <w:rsid w:val="00BE58A7"/>
    <w:rsid w:val="00BF0176"/>
    <w:rsid w:val="00BF2218"/>
    <w:rsid w:val="00BF2692"/>
    <w:rsid w:val="00C0426B"/>
    <w:rsid w:val="00C045DF"/>
    <w:rsid w:val="00C26D43"/>
    <w:rsid w:val="00C27254"/>
    <w:rsid w:val="00C46548"/>
    <w:rsid w:val="00C574D5"/>
    <w:rsid w:val="00C62061"/>
    <w:rsid w:val="00C7029C"/>
    <w:rsid w:val="00C73F32"/>
    <w:rsid w:val="00C84910"/>
    <w:rsid w:val="00C87462"/>
    <w:rsid w:val="00CA180C"/>
    <w:rsid w:val="00CA64B0"/>
    <w:rsid w:val="00CB22B2"/>
    <w:rsid w:val="00CC3EE2"/>
    <w:rsid w:val="00CD7492"/>
    <w:rsid w:val="00CE0700"/>
    <w:rsid w:val="00CE3A6B"/>
    <w:rsid w:val="00CF3BE2"/>
    <w:rsid w:val="00D00211"/>
    <w:rsid w:val="00D06309"/>
    <w:rsid w:val="00D13868"/>
    <w:rsid w:val="00D32D67"/>
    <w:rsid w:val="00D351EA"/>
    <w:rsid w:val="00D40288"/>
    <w:rsid w:val="00D43403"/>
    <w:rsid w:val="00D5270B"/>
    <w:rsid w:val="00D62E71"/>
    <w:rsid w:val="00D6430D"/>
    <w:rsid w:val="00D66188"/>
    <w:rsid w:val="00D67934"/>
    <w:rsid w:val="00D731F6"/>
    <w:rsid w:val="00D740CA"/>
    <w:rsid w:val="00D85728"/>
    <w:rsid w:val="00D935DE"/>
    <w:rsid w:val="00D95481"/>
    <w:rsid w:val="00D974CA"/>
    <w:rsid w:val="00DA4976"/>
    <w:rsid w:val="00DC0F25"/>
    <w:rsid w:val="00DC581A"/>
    <w:rsid w:val="00DC7A13"/>
    <w:rsid w:val="00DF2997"/>
    <w:rsid w:val="00E10BC4"/>
    <w:rsid w:val="00E1415D"/>
    <w:rsid w:val="00E271B8"/>
    <w:rsid w:val="00E323E9"/>
    <w:rsid w:val="00E34018"/>
    <w:rsid w:val="00E437D2"/>
    <w:rsid w:val="00E55751"/>
    <w:rsid w:val="00E624B2"/>
    <w:rsid w:val="00E90497"/>
    <w:rsid w:val="00EA2311"/>
    <w:rsid w:val="00EC7BC3"/>
    <w:rsid w:val="00ED7600"/>
    <w:rsid w:val="00EF6073"/>
    <w:rsid w:val="00EF698B"/>
    <w:rsid w:val="00F1362C"/>
    <w:rsid w:val="00F1433D"/>
    <w:rsid w:val="00F16B66"/>
    <w:rsid w:val="00F232E4"/>
    <w:rsid w:val="00F414F1"/>
    <w:rsid w:val="00F508B8"/>
    <w:rsid w:val="00F72CB1"/>
    <w:rsid w:val="00F73F4C"/>
    <w:rsid w:val="00F8215E"/>
    <w:rsid w:val="00F824F5"/>
    <w:rsid w:val="00F90FAB"/>
    <w:rsid w:val="00F9374D"/>
    <w:rsid w:val="00FC29B9"/>
    <w:rsid w:val="00FC6FD3"/>
    <w:rsid w:val="00FD403A"/>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9F4E06"/>
  <w15:chartTrackingRefBased/>
  <w15:docId w15:val="{B081E89B-3CA9-491E-8001-68E37D56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R4_bullets,列表段落1,—ño’i—Ž,¥¡¡¡¡ì¬º¥¹¥È¶ÎÂä,ÁÐ³ö¶ÎÂä,¥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TALCar">
    <w:name w:val="TAL Car"/>
    <w:link w:val="TAL"/>
    <w:qFormat/>
    <w:locked/>
    <w:rsid w:val="00C84910"/>
    <w:rPr>
      <w:rFonts w:ascii="Arial" w:eastAsia="Times New Roman" w:hAnsi="Arial" w:cs="Arial"/>
      <w:sz w:val="18"/>
    </w:rPr>
  </w:style>
  <w:style w:type="paragraph" w:customStyle="1" w:styleId="TAL">
    <w:name w:val="TAL"/>
    <w:basedOn w:val="Normal"/>
    <w:link w:val="TALCar"/>
    <w:qFormat/>
    <w:rsid w:val="00C84910"/>
    <w:pPr>
      <w:keepNext/>
      <w:keepLines/>
      <w:overflowPunct w:val="0"/>
      <w:autoSpaceDE w:val="0"/>
      <w:autoSpaceDN w:val="0"/>
      <w:adjustRightInd w:val="0"/>
      <w:spacing w:after="0" w:line="240" w:lineRule="auto"/>
    </w:pPr>
    <w:rPr>
      <w:rFonts w:ascii="Arial" w:eastAsia="Times New Roman" w:hAnsi="Arial" w:cs="Arial"/>
      <w:sz w:val="18"/>
      <w:lang w:val="en-US"/>
    </w:rPr>
  </w:style>
  <w:style w:type="paragraph" w:customStyle="1" w:styleId="CRCoverPage">
    <w:name w:val="CR Cover Page"/>
    <w:rsid w:val="00F1433D"/>
    <w:pPr>
      <w:spacing w:after="120" w:line="240" w:lineRule="auto"/>
    </w:pPr>
    <w:rPr>
      <w:rFonts w:ascii="Arial" w:eastAsia="Times New Roman" w:hAnsi="Arial" w:cs="Times New Roman"/>
      <w:sz w:val="20"/>
      <w:szCs w:val="20"/>
      <w:lang w:val="en-GB"/>
    </w:rPr>
  </w:style>
  <w:style w:type="paragraph" w:customStyle="1" w:styleId="TAH">
    <w:name w:val="TAH"/>
    <w:basedOn w:val="TAC"/>
    <w:link w:val="TAHCar"/>
    <w:rsid w:val="009C1E82"/>
    <w:rPr>
      <w:b/>
    </w:rPr>
  </w:style>
  <w:style w:type="paragraph" w:customStyle="1" w:styleId="TAC">
    <w:name w:val="TAC"/>
    <w:basedOn w:val="Normal"/>
    <w:link w:val="TACChar"/>
    <w:rsid w:val="009C1E82"/>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9C1E82"/>
    <w:rPr>
      <w:rFonts w:ascii="Arial" w:eastAsia="Times New Roman" w:hAnsi="Arial" w:cs="Times New Roman"/>
      <w:sz w:val="18"/>
      <w:szCs w:val="20"/>
      <w:lang w:val="en-GB" w:eastAsia="en-GB"/>
    </w:rPr>
  </w:style>
  <w:style w:type="character" w:customStyle="1" w:styleId="TAHCar">
    <w:name w:val="TAH Car"/>
    <w:link w:val="TAH"/>
    <w:qFormat/>
    <w:rsid w:val="009C1E82"/>
    <w:rPr>
      <w:rFonts w:ascii="Arial" w:eastAsia="Times New Roman" w:hAnsi="Arial" w:cs="Times New Roman"/>
      <w:b/>
      <w:sz w:val="18"/>
      <w:szCs w:val="20"/>
      <w:lang w:val="en-GB" w:eastAsia="en-GB"/>
    </w:rPr>
  </w:style>
  <w:style w:type="paragraph" w:customStyle="1" w:styleId="TH">
    <w:name w:val="TH"/>
    <w:basedOn w:val="Normal"/>
    <w:link w:val="THChar"/>
    <w:rsid w:val="009C1E8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9C1E82"/>
    <w:rPr>
      <w:rFonts w:ascii="Arial" w:eastAsia="Times New Roman" w:hAnsi="Arial" w:cs="Times New Roman"/>
      <w:b/>
      <w:sz w:val="20"/>
      <w:szCs w:val="20"/>
      <w:lang w:val="en-GB" w:eastAsia="en-GB"/>
    </w:rPr>
  </w:style>
  <w:style w:type="paragraph" w:customStyle="1" w:styleId="TAN">
    <w:name w:val="TAN"/>
    <w:basedOn w:val="Normal"/>
    <w:link w:val="TANChar"/>
    <w:rsid w:val="009C1E82"/>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9C1E82"/>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18584">
      <w:bodyDiv w:val="1"/>
      <w:marLeft w:val="0"/>
      <w:marRight w:val="0"/>
      <w:marTop w:val="0"/>
      <w:marBottom w:val="0"/>
      <w:divBdr>
        <w:top w:val="none" w:sz="0" w:space="0" w:color="auto"/>
        <w:left w:val="none" w:sz="0" w:space="0" w:color="auto"/>
        <w:bottom w:val="none" w:sz="0" w:space="0" w:color="auto"/>
        <w:right w:val="none" w:sz="0" w:space="0" w:color="auto"/>
      </w:divBdr>
    </w:div>
    <w:div w:id="1327442387">
      <w:bodyDiv w:val="1"/>
      <w:marLeft w:val="0"/>
      <w:marRight w:val="0"/>
      <w:marTop w:val="0"/>
      <w:marBottom w:val="0"/>
      <w:divBdr>
        <w:top w:val="none" w:sz="0" w:space="0" w:color="auto"/>
        <w:left w:val="none" w:sz="0" w:space="0" w:color="auto"/>
        <w:bottom w:val="none" w:sz="0" w:space="0" w:color="auto"/>
        <w:right w:val="none" w:sz="0" w:space="0" w:color="auto"/>
      </w:divBdr>
    </w:div>
    <w:div w:id="1631595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5G%20Radio%20-%20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5AIRPNAIUNRU-1328258698-23652</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https://nokia.sharepoint.com/sites/c5g/5gradio/_layouts/15/DocIdRedir.aspx?ID=5AIRPNAIUNRU-1328258698-23652</Url>
      <Description>5AIRPNAIUNRU-1328258698-23652</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3GPP_Paper_Template_RAN4_#106bis-e_Dimitri.dotx</Template>
  <TotalTime>1</TotalTime>
  <Pages>4</Pages>
  <Words>1708</Words>
  <Characters>9737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Rafhael</dc:creator>
  <cp:keywords>3GPP;RAN4</cp:keywords>
  <dc:description/>
  <cp:lastModifiedBy>Nokia</cp:lastModifiedBy>
  <cp:revision>2</cp:revision>
  <dcterms:created xsi:type="dcterms:W3CDTF">2023-05-15T22:43:00Z</dcterms:created>
  <dcterms:modified xsi:type="dcterms:W3CDTF">2023-05-15T22:43:00Z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f089a925-0010-48e5-ac44-0fb491d4be97</vt:lpwstr>
  </property>
  <property fmtid="{D5CDD505-2E9C-101B-9397-08002B2CF9AE}" pid="11" name="MediaServiceImageTags">
    <vt:lpwstr/>
  </property>
</Properties>
</file>