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223F" w14:textId="1F0947D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7B3AB3" w:rsidRPr="007B3AB3">
        <w:rPr>
          <w:rFonts w:ascii="Arial" w:eastAsia="SimSun" w:hAnsi="Arial" w:cs="Times New Roman"/>
          <w:b/>
          <w:bCs/>
          <w:sz w:val="24"/>
          <w:szCs w:val="20"/>
        </w:rPr>
        <w:t>R4-2309492</w:t>
      </w:r>
    </w:p>
    <w:p w14:paraId="2B74A21B"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47BA9C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72CBA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A04CC23" w14:textId="728D9E2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57A0F">
        <w:rPr>
          <w:rFonts w:ascii="Arial" w:eastAsia="Calibri" w:hAnsi="Arial" w:cs="Arial"/>
          <w:b/>
          <w:bCs/>
          <w:sz w:val="24"/>
        </w:rPr>
        <w:t xml:space="preserve">Discussion on </w:t>
      </w:r>
      <w:r w:rsidR="00657A0F" w:rsidRPr="00657A0F">
        <w:rPr>
          <w:rFonts w:ascii="Arial" w:eastAsia="Calibri" w:hAnsi="Arial" w:cs="Arial"/>
          <w:b/>
          <w:bCs/>
          <w:sz w:val="24"/>
        </w:rPr>
        <w:t>NR-DC with selective activation of cell groups via L3 enhancements</w:t>
      </w:r>
      <w:r w:rsidR="007C1696" w:rsidRPr="008C39F7">
        <w:rPr>
          <w:rFonts w:ascii="Arial" w:eastAsia="Calibri" w:hAnsi="Arial" w:cs="Arial"/>
          <w:b/>
          <w:bCs/>
          <w:sz w:val="24"/>
        </w:rPr>
        <w:t xml:space="preserve"> </w:t>
      </w:r>
    </w:p>
    <w:p w14:paraId="05182EA3" w14:textId="3C830A3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CF2109" w:rsidRPr="00CF2109">
        <w:rPr>
          <w:rFonts w:ascii="Arial" w:eastAsia="MS Mincho" w:hAnsi="Arial" w:cs="Arial"/>
          <w:b/>
          <w:bCs/>
          <w:sz w:val="24"/>
          <w:szCs w:val="20"/>
        </w:rPr>
        <w:t>8.25.3</w:t>
      </w:r>
    </w:p>
    <w:p w14:paraId="0BC1E77A" w14:textId="7777777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8D9F901"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D32725B" w14:textId="45314277" w:rsidR="00796F26" w:rsidRPr="00796F26" w:rsidRDefault="00D17389" w:rsidP="00796F26">
      <w:r w:rsidRPr="00D17389">
        <w:t xml:space="preserve">In 3GPP meetings held in </w:t>
      </w:r>
      <w:r>
        <w:t>April</w:t>
      </w:r>
      <w:r w:rsidRPr="00D17389">
        <w:t xml:space="preserve"> 2023, RAN4 has reached the following agreements about selective activation:</w:t>
      </w:r>
    </w:p>
    <w:tbl>
      <w:tblPr>
        <w:tblStyle w:val="TableGrid"/>
        <w:tblW w:w="0" w:type="auto"/>
        <w:tblLook w:val="04A0" w:firstRow="1" w:lastRow="0" w:firstColumn="1" w:lastColumn="0" w:noHBand="0" w:noVBand="1"/>
      </w:tblPr>
      <w:tblGrid>
        <w:gridCol w:w="9617"/>
      </w:tblGrid>
      <w:tr w:rsidR="00796F26" w14:paraId="014EB7B4" w14:textId="77777777" w:rsidTr="00796F26">
        <w:tc>
          <w:tcPr>
            <w:tcW w:w="9617" w:type="dxa"/>
          </w:tcPr>
          <w:p w14:paraId="2359E27B" w14:textId="77777777" w:rsidR="00796F26" w:rsidRDefault="00796F26" w:rsidP="005C23A4"/>
          <w:p w14:paraId="7519BB4B" w14:textId="77777777" w:rsidR="00591BE7" w:rsidRPr="00591BE7" w:rsidRDefault="00591BE7" w:rsidP="00591BE7">
            <w:pPr>
              <w:ind w:left="540"/>
              <w:rPr>
                <w:rFonts w:eastAsia="Times New Roman" w:cs="Times New Roman"/>
                <w:color w:val="000000"/>
                <w:sz w:val="18"/>
                <w:szCs w:val="18"/>
                <w:lang w:eastAsia="en-GB"/>
              </w:rPr>
            </w:pPr>
            <w:r w:rsidRPr="00591BE7">
              <w:rPr>
                <w:rFonts w:eastAsia="Times New Roman" w:cs="Times New Roman"/>
                <w:b/>
                <w:bCs/>
                <w:color w:val="000000"/>
                <w:sz w:val="18"/>
                <w:szCs w:val="18"/>
                <w:u w:val="single"/>
                <w:lang w:eastAsia="en-GB"/>
              </w:rPr>
              <w:t>Issue 1-1: starting point of subsequent CPC in RRM requirements</w:t>
            </w:r>
          </w:p>
          <w:p w14:paraId="773324F4" w14:textId="77777777" w:rsidR="00591BE7" w:rsidRPr="00591BE7" w:rsidRDefault="00591BE7" w:rsidP="00591BE7">
            <w:pPr>
              <w:numPr>
                <w:ilvl w:val="0"/>
                <w:numId w:val="27"/>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u w:val="single"/>
                <w:lang w:eastAsia="en-GB"/>
              </w:rPr>
              <w:t>Agreements:</w:t>
            </w:r>
          </w:p>
          <w:p w14:paraId="001D9676" w14:textId="77777777" w:rsidR="00591BE7" w:rsidRPr="00591BE7" w:rsidRDefault="00591BE7" w:rsidP="00591BE7">
            <w:pPr>
              <w:numPr>
                <w:ilvl w:val="1"/>
                <w:numId w:val="27"/>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lang w:eastAsia="en-GB"/>
              </w:rPr>
              <w:t xml:space="preserve">Starting point of subsequent CPC in RRM requirements is the time when UE transmits SN </w:t>
            </w:r>
            <w:proofErr w:type="spellStart"/>
            <w:r w:rsidRPr="00591BE7">
              <w:rPr>
                <w:rFonts w:eastAsia="Times New Roman" w:cs="Times New Roman"/>
                <w:color w:val="000000"/>
                <w:sz w:val="18"/>
                <w:szCs w:val="18"/>
                <w:lang w:eastAsia="en-GB"/>
              </w:rPr>
              <w:t>RRCReconfigurationcomplete</w:t>
            </w:r>
            <w:proofErr w:type="spellEnd"/>
            <w:r w:rsidRPr="00591BE7">
              <w:rPr>
                <w:rFonts w:eastAsia="Times New Roman" w:cs="Times New Roman"/>
                <w:color w:val="000000"/>
                <w:sz w:val="18"/>
                <w:szCs w:val="18"/>
                <w:lang w:eastAsia="en-GB"/>
              </w:rPr>
              <w:t xml:space="preserve"> message for the previous PSCell addition or change.</w:t>
            </w:r>
          </w:p>
          <w:p w14:paraId="0A21DD0D" w14:textId="77777777" w:rsidR="00591BE7" w:rsidRPr="00591BE7" w:rsidRDefault="00591BE7" w:rsidP="00591BE7">
            <w:pPr>
              <w:ind w:left="540"/>
              <w:rPr>
                <w:rFonts w:eastAsia="Times New Roman" w:cs="Times New Roman"/>
                <w:color w:val="0070C0"/>
                <w:sz w:val="18"/>
                <w:szCs w:val="18"/>
                <w:lang w:eastAsia="en-GB"/>
              </w:rPr>
            </w:pPr>
            <w:r w:rsidRPr="00591BE7">
              <w:rPr>
                <w:rFonts w:eastAsia="Times New Roman" w:cs="Times New Roman"/>
                <w:color w:val="0070C0"/>
                <w:sz w:val="18"/>
                <w:szCs w:val="18"/>
                <w:lang w:eastAsia="en-GB"/>
              </w:rPr>
              <w:t> </w:t>
            </w:r>
          </w:p>
          <w:p w14:paraId="5029E755" w14:textId="77777777" w:rsidR="00591BE7" w:rsidRPr="00591BE7" w:rsidRDefault="00591BE7" w:rsidP="00591BE7">
            <w:pPr>
              <w:ind w:left="540"/>
              <w:rPr>
                <w:rFonts w:eastAsia="Times New Roman" w:cs="Times New Roman"/>
                <w:color w:val="000000"/>
                <w:sz w:val="18"/>
                <w:szCs w:val="18"/>
                <w:lang w:eastAsia="en-GB"/>
              </w:rPr>
            </w:pPr>
            <w:r w:rsidRPr="00591BE7">
              <w:rPr>
                <w:rFonts w:eastAsia="Times New Roman" w:cs="Times New Roman"/>
                <w:b/>
                <w:bCs/>
                <w:color w:val="000000"/>
                <w:sz w:val="18"/>
                <w:szCs w:val="18"/>
                <w:u w:val="single"/>
                <w:lang w:eastAsia="en-GB"/>
              </w:rPr>
              <w:t>Issue 1-2: ending point of subsequent CPC in RRM requirements</w:t>
            </w:r>
          </w:p>
          <w:p w14:paraId="729C8527" w14:textId="77777777" w:rsidR="00591BE7" w:rsidRPr="00591BE7" w:rsidRDefault="00591BE7" w:rsidP="00591BE7">
            <w:pPr>
              <w:numPr>
                <w:ilvl w:val="0"/>
                <w:numId w:val="28"/>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u w:val="single"/>
                <w:lang w:eastAsia="en-GB"/>
              </w:rPr>
              <w:t>Agreements:</w:t>
            </w:r>
          </w:p>
          <w:p w14:paraId="79AD1F8D" w14:textId="77777777" w:rsidR="00591BE7" w:rsidRPr="00591BE7" w:rsidRDefault="00591BE7" w:rsidP="00591BE7">
            <w:pPr>
              <w:numPr>
                <w:ilvl w:val="1"/>
                <w:numId w:val="28"/>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lang w:eastAsia="en-GB"/>
              </w:rPr>
              <w:t>Ending point of subsequent CPC in RRM requirements is the transmission of PRACH preamble towards the target PSCell.</w:t>
            </w:r>
          </w:p>
          <w:p w14:paraId="01A06421" w14:textId="77777777" w:rsidR="00591BE7" w:rsidRPr="00591BE7" w:rsidRDefault="00591BE7" w:rsidP="00591BE7">
            <w:pPr>
              <w:ind w:left="540"/>
              <w:rPr>
                <w:rFonts w:eastAsia="Times New Roman" w:cs="Times New Roman"/>
                <w:color w:val="0070C0"/>
                <w:sz w:val="18"/>
                <w:szCs w:val="18"/>
                <w:lang w:eastAsia="en-GB"/>
              </w:rPr>
            </w:pPr>
            <w:r w:rsidRPr="00591BE7">
              <w:rPr>
                <w:rFonts w:eastAsia="Times New Roman" w:cs="Times New Roman"/>
                <w:color w:val="0070C0"/>
                <w:sz w:val="18"/>
                <w:szCs w:val="18"/>
                <w:lang w:eastAsia="en-GB"/>
              </w:rPr>
              <w:t> </w:t>
            </w:r>
          </w:p>
          <w:p w14:paraId="012DFBDE" w14:textId="77777777" w:rsidR="00591BE7" w:rsidRPr="00591BE7" w:rsidRDefault="00591BE7" w:rsidP="00591BE7">
            <w:pPr>
              <w:ind w:left="540"/>
              <w:rPr>
                <w:rFonts w:eastAsia="Times New Roman" w:cs="Times New Roman"/>
                <w:color w:val="000000"/>
                <w:sz w:val="18"/>
                <w:szCs w:val="18"/>
                <w:lang w:eastAsia="en-GB"/>
              </w:rPr>
            </w:pPr>
            <w:r w:rsidRPr="00591BE7">
              <w:rPr>
                <w:rFonts w:eastAsia="Times New Roman" w:cs="Times New Roman"/>
                <w:b/>
                <w:bCs/>
                <w:color w:val="000000"/>
                <w:sz w:val="18"/>
                <w:szCs w:val="18"/>
                <w:u w:val="single"/>
                <w:lang w:eastAsia="en-GB"/>
              </w:rPr>
              <w:t>Issue 1-3: subsequent CPC delay requirements</w:t>
            </w:r>
          </w:p>
          <w:p w14:paraId="5C2417C3" w14:textId="77777777" w:rsidR="00591BE7" w:rsidRPr="00591BE7" w:rsidRDefault="00591BE7" w:rsidP="00591BE7">
            <w:pPr>
              <w:numPr>
                <w:ilvl w:val="0"/>
                <w:numId w:val="29"/>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u w:val="single"/>
                <w:lang w:eastAsia="en-GB"/>
              </w:rPr>
              <w:t>Agreements:</w:t>
            </w:r>
          </w:p>
          <w:p w14:paraId="6FB08E4E" w14:textId="77777777" w:rsidR="00591BE7" w:rsidRPr="00591BE7" w:rsidRDefault="00591BE7" w:rsidP="00591BE7">
            <w:pPr>
              <w:numPr>
                <w:ilvl w:val="1"/>
                <w:numId w:val="29"/>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lang w:eastAsia="en-GB"/>
              </w:rPr>
              <w:t xml:space="preserve">For subsequent CPC delay requirements: if starting point is the time when UE completes the previous CPC/CPA,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config_PSCell_Subsequent_Change_Conditional</w:t>
            </w:r>
            <w:proofErr w:type="spellEnd"/>
            <w:r w:rsidRPr="00591BE7">
              <w:rPr>
                <w:rFonts w:eastAsia="Times New Roman" w:cs="Times New Roman"/>
                <w:color w:val="000000"/>
                <w:sz w:val="18"/>
                <w:szCs w:val="18"/>
                <w:lang w:eastAsia="en-GB"/>
              </w:rPr>
              <w:t xml:space="preserve"> =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Event_DU</w:t>
            </w:r>
            <w:proofErr w:type="spellEnd"/>
            <w:r w:rsidRPr="00591BE7">
              <w:rPr>
                <w:rFonts w:eastAsia="Times New Roman" w:cs="Times New Roman"/>
                <w:color w:val="000000"/>
                <w:sz w:val="18"/>
                <w:szCs w:val="18"/>
                <w:lang w:eastAsia="en-GB"/>
              </w:rPr>
              <w:t xml:space="preserve"> +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measure</w:t>
            </w:r>
            <w:proofErr w:type="spellEnd"/>
            <w:r w:rsidRPr="00591BE7">
              <w:rPr>
                <w:rFonts w:eastAsia="Times New Roman" w:cs="Times New Roman"/>
                <w:color w:val="000000"/>
                <w:sz w:val="18"/>
                <w:szCs w:val="18"/>
                <w:lang w:eastAsia="en-GB"/>
              </w:rPr>
              <w:t xml:space="preserve"> +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UE_preparation</w:t>
            </w:r>
            <w:proofErr w:type="spellEnd"/>
            <w:r w:rsidRPr="00591BE7">
              <w:rPr>
                <w:rFonts w:eastAsia="Times New Roman" w:cs="Times New Roman"/>
                <w:color w:val="000000"/>
                <w:sz w:val="18"/>
                <w:szCs w:val="18"/>
                <w:lang w:eastAsia="en-GB"/>
              </w:rPr>
              <w:t xml:space="preserve"> +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processing</w:t>
            </w:r>
            <w:proofErr w:type="spellEnd"/>
            <w:r w:rsidRPr="00591BE7">
              <w:rPr>
                <w:rFonts w:eastAsia="Times New Roman" w:cs="Times New Roman"/>
                <w:color w:val="000000"/>
                <w:sz w:val="18"/>
                <w:szCs w:val="18"/>
                <w:lang w:eastAsia="en-GB"/>
              </w:rPr>
              <w:t xml:space="preserve"> + T</w:t>
            </w:r>
            <w:r w:rsidRPr="00591BE7">
              <w:rPr>
                <w:rFonts w:eastAsia="Times New Roman" w:cs="Times New Roman"/>
                <w:color w:val="000000"/>
                <w:sz w:val="18"/>
                <w:szCs w:val="18"/>
                <w:vertAlign w:val="subscript"/>
                <w:lang w:eastAsia="en-GB"/>
              </w:rPr>
              <w:t>∆</w:t>
            </w:r>
            <w:r w:rsidRPr="00591BE7">
              <w:rPr>
                <w:rFonts w:eastAsia="Times New Roman" w:cs="Times New Roman"/>
                <w:color w:val="000000"/>
                <w:sz w:val="18"/>
                <w:szCs w:val="18"/>
                <w:lang w:eastAsia="en-GB"/>
              </w:rPr>
              <w:t xml:space="preserve"> +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PSCell</w:t>
            </w:r>
            <w:proofErr w:type="spellEnd"/>
            <w:r w:rsidRPr="00591BE7">
              <w:rPr>
                <w:rFonts w:eastAsia="Times New Roman" w:cs="Times New Roman"/>
                <w:color w:val="000000"/>
                <w:sz w:val="18"/>
                <w:szCs w:val="18"/>
                <w:vertAlign w:val="subscript"/>
                <w:lang w:eastAsia="en-GB"/>
              </w:rPr>
              <w:t>_ DU</w:t>
            </w:r>
            <w:r w:rsidRPr="00591BE7">
              <w:rPr>
                <w:rFonts w:eastAsia="Times New Roman" w:cs="Times New Roman"/>
                <w:color w:val="000000"/>
                <w:sz w:val="18"/>
                <w:szCs w:val="18"/>
                <w:lang w:eastAsia="en-GB"/>
              </w:rPr>
              <w:t xml:space="preserve"> + 2 </w:t>
            </w:r>
            <w:proofErr w:type="spellStart"/>
            <w:r w:rsidRPr="00591BE7">
              <w:rPr>
                <w:rFonts w:eastAsia="Times New Roman" w:cs="Times New Roman"/>
                <w:color w:val="000000"/>
                <w:sz w:val="18"/>
                <w:szCs w:val="18"/>
                <w:lang w:eastAsia="en-GB"/>
              </w:rPr>
              <w:t>ms</w:t>
            </w:r>
            <w:proofErr w:type="spellEnd"/>
            <w:r w:rsidRPr="00591BE7">
              <w:rPr>
                <w:rFonts w:eastAsia="Times New Roman" w:cs="Times New Roman"/>
                <w:color w:val="000000"/>
                <w:sz w:val="18"/>
                <w:szCs w:val="18"/>
                <w:lang w:eastAsia="en-GB"/>
              </w:rPr>
              <w:t xml:space="preserve"> and the definition of each component is the same as 8.11B.2 in TS38.133except that </w:t>
            </w: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Event_DU</w:t>
            </w:r>
            <w:proofErr w:type="spellEnd"/>
            <w:r w:rsidRPr="00591BE7">
              <w:rPr>
                <w:rFonts w:eastAsia="Times New Roman" w:cs="Times New Roman"/>
                <w:color w:val="000000"/>
                <w:sz w:val="18"/>
                <w:szCs w:val="18"/>
                <w:lang w:eastAsia="en-GB"/>
              </w:rPr>
              <w:t xml:space="preserve"> needs to be updated.</w:t>
            </w:r>
          </w:p>
          <w:p w14:paraId="63503E98" w14:textId="77777777" w:rsidR="00591BE7" w:rsidRPr="00591BE7" w:rsidRDefault="00591BE7" w:rsidP="00591BE7">
            <w:pPr>
              <w:ind w:left="540"/>
              <w:rPr>
                <w:rFonts w:eastAsia="Times New Roman" w:cs="Times New Roman"/>
                <w:color w:val="0070C0"/>
                <w:sz w:val="18"/>
                <w:szCs w:val="18"/>
                <w:lang w:eastAsia="en-GB"/>
              </w:rPr>
            </w:pPr>
            <w:r w:rsidRPr="00591BE7">
              <w:rPr>
                <w:rFonts w:eastAsia="Times New Roman" w:cs="Times New Roman"/>
                <w:color w:val="0070C0"/>
                <w:sz w:val="18"/>
                <w:szCs w:val="18"/>
                <w:lang w:eastAsia="en-GB"/>
              </w:rPr>
              <w:t> </w:t>
            </w:r>
          </w:p>
          <w:p w14:paraId="187E3B97" w14:textId="77777777" w:rsidR="00591BE7" w:rsidRPr="00591BE7" w:rsidRDefault="00591BE7" w:rsidP="00591BE7">
            <w:pPr>
              <w:ind w:left="540"/>
              <w:rPr>
                <w:rFonts w:eastAsia="Times New Roman" w:cs="Times New Roman"/>
                <w:color w:val="000000"/>
                <w:sz w:val="18"/>
                <w:szCs w:val="18"/>
                <w:lang w:eastAsia="en-GB"/>
              </w:rPr>
            </w:pPr>
            <w:r w:rsidRPr="00591BE7">
              <w:rPr>
                <w:rFonts w:eastAsia="Times New Roman" w:cs="Times New Roman"/>
                <w:b/>
                <w:bCs/>
                <w:color w:val="000000"/>
                <w:sz w:val="18"/>
                <w:szCs w:val="18"/>
                <w:u w:val="single"/>
                <w:lang w:eastAsia="en-GB"/>
              </w:rPr>
              <w:t xml:space="preserve">Issue 1-4: </w:t>
            </w:r>
            <w:proofErr w:type="spellStart"/>
            <w:r w:rsidRPr="00591BE7">
              <w:rPr>
                <w:rFonts w:eastAsia="Times New Roman" w:cs="Times New Roman"/>
                <w:b/>
                <w:bCs/>
                <w:color w:val="000000"/>
                <w:sz w:val="18"/>
                <w:szCs w:val="18"/>
                <w:u w:val="single"/>
                <w:lang w:eastAsia="en-GB"/>
              </w:rPr>
              <w:t>T</w:t>
            </w:r>
            <w:r w:rsidRPr="00591BE7">
              <w:rPr>
                <w:rFonts w:eastAsia="Times New Roman" w:cs="Times New Roman"/>
                <w:b/>
                <w:bCs/>
                <w:color w:val="000000"/>
                <w:sz w:val="18"/>
                <w:szCs w:val="18"/>
                <w:u w:val="single"/>
                <w:vertAlign w:val="subscript"/>
                <w:lang w:eastAsia="en-GB"/>
              </w:rPr>
              <w:t>Event_DU</w:t>
            </w:r>
            <w:proofErr w:type="spellEnd"/>
            <w:r w:rsidRPr="00591BE7">
              <w:rPr>
                <w:rFonts w:eastAsia="Times New Roman" w:cs="Times New Roman"/>
                <w:b/>
                <w:bCs/>
                <w:color w:val="000000"/>
                <w:sz w:val="18"/>
                <w:szCs w:val="18"/>
                <w:u w:val="single"/>
                <w:lang w:eastAsia="en-GB"/>
              </w:rPr>
              <w:t xml:space="preserve"> in subsequent CPC delay requirements</w:t>
            </w:r>
          </w:p>
          <w:p w14:paraId="3DC0D8B0" w14:textId="77777777" w:rsidR="00591BE7" w:rsidRPr="00591BE7" w:rsidRDefault="00591BE7" w:rsidP="00591BE7">
            <w:pPr>
              <w:numPr>
                <w:ilvl w:val="0"/>
                <w:numId w:val="30"/>
              </w:numPr>
              <w:spacing w:after="120"/>
              <w:textAlignment w:val="center"/>
              <w:rPr>
                <w:rFonts w:ascii="Calibri" w:eastAsia="Times New Roman" w:hAnsi="Calibri" w:cs="Calibri"/>
                <w:sz w:val="18"/>
                <w:szCs w:val="18"/>
                <w:lang w:eastAsia="en-GB"/>
              </w:rPr>
            </w:pPr>
            <w:r w:rsidRPr="00591BE7">
              <w:rPr>
                <w:rFonts w:eastAsia="Times New Roman" w:cs="Times New Roman"/>
                <w:color w:val="000000"/>
                <w:sz w:val="18"/>
                <w:szCs w:val="18"/>
                <w:u w:val="single"/>
                <w:lang w:eastAsia="en-GB"/>
              </w:rPr>
              <w:t>Agreements:</w:t>
            </w:r>
          </w:p>
          <w:p w14:paraId="2A45A0B2" w14:textId="77777777" w:rsidR="00591BE7" w:rsidRPr="00591BE7" w:rsidRDefault="00591BE7" w:rsidP="00591BE7">
            <w:pPr>
              <w:numPr>
                <w:ilvl w:val="1"/>
                <w:numId w:val="30"/>
              </w:numPr>
              <w:spacing w:after="120"/>
              <w:textAlignment w:val="center"/>
              <w:rPr>
                <w:rFonts w:ascii="Calibri" w:eastAsia="Times New Roman" w:hAnsi="Calibri" w:cs="Calibri"/>
                <w:sz w:val="18"/>
                <w:szCs w:val="18"/>
                <w:lang w:eastAsia="en-GB"/>
              </w:rPr>
            </w:pPr>
            <w:proofErr w:type="spellStart"/>
            <w:r w:rsidRPr="00591BE7">
              <w:rPr>
                <w:rFonts w:eastAsia="Times New Roman" w:cs="Times New Roman"/>
                <w:color w:val="000000"/>
                <w:sz w:val="18"/>
                <w:szCs w:val="18"/>
                <w:lang w:eastAsia="en-GB"/>
              </w:rPr>
              <w:t>T</w:t>
            </w:r>
            <w:r w:rsidRPr="00591BE7">
              <w:rPr>
                <w:rFonts w:eastAsia="Times New Roman" w:cs="Times New Roman"/>
                <w:color w:val="000000"/>
                <w:sz w:val="18"/>
                <w:szCs w:val="18"/>
                <w:vertAlign w:val="subscript"/>
                <w:lang w:eastAsia="en-GB"/>
              </w:rPr>
              <w:t>Event_DU</w:t>
            </w:r>
            <w:proofErr w:type="spellEnd"/>
            <w:r w:rsidRPr="00591BE7">
              <w:rPr>
                <w:rFonts w:eastAsia="Times New Roman" w:cs="Times New Roman"/>
                <w:color w:val="000000"/>
                <w:sz w:val="18"/>
                <w:szCs w:val="18"/>
                <w:lang w:eastAsia="en-GB"/>
              </w:rPr>
              <w:t xml:space="preserve"> is the delay uncertainty which is the time from [when UE transmits SN </w:t>
            </w:r>
            <w:proofErr w:type="spellStart"/>
            <w:r w:rsidRPr="00591BE7">
              <w:rPr>
                <w:rFonts w:eastAsia="Times New Roman" w:cs="Times New Roman"/>
                <w:color w:val="000000"/>
                <w:sz w:val="18"/>
                <w:szCs w:val="18"/>
                <w:lang w:eastAsia="en-GB"/>
              </w:rPr>
              <w:t>RRCReconfigurationcomplete</w:t>
            </w:r>
            <w:proofErr w:type="spellEnd"/>
            <w:r w:rsidRPr="00591BE7">
              <w:rPr>
                <w:rFonts w:eastAsia="Times New Roman" w:cs="Times New Roman"/>
                <w:color w:val="000000"/>
                <w:sz w:val="18"/>
                <w:szCs w:val="18"/>
                <w:lang w:eastAsia="en-GB"/>
              </w:rPr>
              <w:t xml:space="preserve"> message for the previous PSCell addition or change] until a condition exists at the measurement reference point which will trigger the subsequent conditional PSCell change.</w:t>
            </w:r>
          </w:p>
          <w:p w14:paraId="184DF222" w14:textId="77777777" w:rsidR="00796F26" w:rsidRDefault="00796F26" w:rsidP="005C23A4"/>
        </w:tc>
      </w:tr>
    </w:tbl>
    <w:p w14:paraId="43EA3474" w14:textId="6CF90FD8" w:rsidR="0060543D" w:rsidRDefault="0060543D" w:rsidP="005C23A4"/>
    <w:p w14:paraId="29E1B7D3" w14:textId="2643C735" w:rsidR="00676650" w:rsidRDefault="00676650" w:rsidP="005C23A4">
      <w:r>
        <w:t xml:space="preserve">In 3GPP meeting held in April in 2023, RAN2 has reached the following agreement for selective activation: </w:t>
      </w:r>
    </w:p>
    <w:tbl>
      <w:tblPr>
        <w:tblStyle w:val="TableGrid"/>
        <w:tblW w:w="0" w:type="auto"/>
        <w:tblLook w:val="04A0" w:firstRow="1" w:lastRow="0" w:firstColumn="1" w:lastColumn="0" w:noHBand="0" w:noVBand="1"/>
      </w:tblPr>
      <w:tblGrid>
        <w:gridCol w:w="9617"/>
      </w:tblGrid>
      <w:tr w:rsidR="00676650" w14:paraId="709245D3" w14:textId="77777777" w:rsidTr="00676650">
        <w:tc>
          <w:tcPr>
            <w:tcW w:w="9617" w:type="dxa"/>
          </w:tcPr>
          <w:p w14:paraId="4F2B3C1A" w14:textId="77777777" w:rsidR="00676650" w:rsidRPr="006B4680" w:rsidRDefault="00676650" w:rsidP="00676650">
            <w:pPr>
              <w:pStyle w:val="NormalWeb"/>
              <w:ind w:left="144"/>
              <w:rPr>
                <w:sz w:val="20"/>
                <w:szCs w:val="20"/>
              </w:rPr>
            </w:pPr>
            <w:r w:rsidRPr="006B4680">
              <w:rPr>
                <w:sz w:val="20"/>
                <w:szCs w:val="20"/>
              </w:rPr>
              <w:t>Baseline procedure to support subsequent secondary cell group change</w:t>
            </w:r>
          </w:p>
          <w:p w14:paraId="48ADA3C9" w14:textId="77777777" w:rsidR="00676650" w:rsidRPr="006B4680" w:rsidRDefault="00676650" w:rsidP="00676650">
            <w:pPr>
              <w:pStyle w:val="NormalWeb"/>
              <w:ind w:left="360"/>
              <w:rPr>
                <w:sz w:val="20"/>
                <w:szCs w:val="20"/>
              </w:rPr>
            </w:pPr>
            <w:r w:rsidRPr="006B4680">
              <w:rPr>
                <w:sz w:val="20"/>
                <w:szCs w:val="20"/>
              </w:rPr>
              <w:t>Step 1: when the execution condition of a CPC candidate PScell is met, a UE performs the execution of CPC towards this candidate PScell.</w:t>
            </w:r>
          </w:p>
          <w:p w14:paraId="487136E7" w14:textId="77777777" w:rsidR="00676650" w:rsidRPr="006B4680" w:rsidRDefault="00676650" w:rsidP="00676650">
            <w:pPr>
              <w:pStyle w:val="NormalWeb"/>
              <w:ind w:left="360"/>
              <w:rPr>
                <w:sz w:val="20"/>
                <w:szCs w:val="20"/>
              </w:rPr>
            </w:pPr>
            <w:r w:rsidRPr="006B4680">
              <w:rPr>
                <w:sz w:val="20"/>
                <w:szCs w:val="20"/>
              </w:rPr>
              <w:t xml:space="preserve">Step 2: After finishing the PSCell addition or change, </w:t>
            </w:r>
            <w:r w:rsidRPr="00ED225D">
              <w:rPr>
                <w:sz w:val="20"/>
                <w:szCs w:val="20"/>
                <w:highlight w:val="yellow"/>
              </w:rPr>
              <w:t xml:space="preserve">the UE doesn’t release conditional configuration of other candidate PSCells for subsequent CPC, the UE continues evaluating the execution conditions of other candidate </w:t>
            </w:r>
            <w:proofErr w:type="spellStart"/>
            <w:r w:rsidRPr="00ED225D">
              <w:rPr>
                <w:sz w:val="20"/>
                <w:szCs w:val="20"/>
                <w:highlight w:val="yellow"/>
              </w:rPr>
              <w:t>PScells</w:t>
            </w:r>
            <w:proofErr w:type="spellEnd"/>
            <w:r w:rsidRPr="00ED225D">
              <w:rPr>
                <w:sz w:val="20"/>
                <w:szCs w:val="20"/>
                <w:highlight w:val="yellow"/>
              </w:rPr>
              <w:t>.</w:t>
            </w:r>
          </w:p>
          <w:p w14:paraId="6972B4E3" w14:textId="3A541070" w:rsidR="00676650" w:rsidRDefault="00676650" w:rsidP="00676650">
            <w:r w:rsidRPr="006B4680">
              <w:rPr>
                <w:szCs w:val="20"/>
              </w:rPr>
              <w:t>Step 3: When the execution condition of a candidate PScell is met, the UE performs the execution of CPC towards this candidate PSCell.</w:t>
            </w:r>
          </w:p>
        </w:tc>
      </w:tr>
    </w:tbl>
    <w:p w14:paraId="2619212F" w14:textId="77777777" w:rsidR="00676650" w:rsidRDefault="00676650" w:rsidP="005C23A4"/>
    <w:p w14:paraId="752B0B77" w14:textId="77777777" w:rsidR="00D17389" w:rsidRDefault="00D17389" w:rsidP="005C23A4">
      <w:r>
        <w:lastRenderedPageBreak/>
        <w:t xml:space="preserve">In this contribution, we focus on the remaining open issues in selective activation. </w:t>
      </w:r>
    </w:p>
    <w:p w14:paraId="7FB7A7A9" w14:textId="04C9DE7A" w:rsidR="00D17389" w:rsidRDefault="00D17389" w:rsidP="005C23A4"/>
    <w:p w14:paraId="0AEB2B99" w14:textId="77777777" w:rsidR="003B659E" w:rsidRDefault="003B659E" w:rsidP="00AE56B1">
      <w:pPr>
        <w:pStyle w:val="RAN4H1"/>
      </w:pPr>
      <w:bookmarkStart w:id="4" w:name="_Toc116995842"/>
      <w:r w:rsidRPr="008C39F7">
        <w:t>Discussion</w:t>
      </w:r>
      <w:bookmarkEnd w:id="4"/>
    </w:p>
    <w:p w14:paraId="7AF44945" w14:textId="15E72BD5" w:rsidR="00D5660A" w:rsidRPr="00D5660A" w:rsidRDefault="000964F6" w:rsidP="00723314">
      <w:pPr>
        <w:pStyle w:val="RAN4H2"/>
        <w:jc w:val="left"/>
      </w:pPr>
      <w:r w:rsidRPr="000964F6">
        <w:t>NR-DC with selective activation of cell groups via L3 enhancements</w:t>
      </w:r>
    </w:p>
    <w:tbl>
      <w:tblPr>
        <w:tblStyle w:val="TableGrid"/>
        <w:tblW w:w="0" w:type="auto"/>
        <w:tblLook w:val="04A0" w:firstRow="1" w:lastRow="0" w:firstColumn="1" w:lastColumn="0" w:noHBand="0" w:noVBand="1"/>
      </w:tblPr>
      <w:tblGrid>
        <w:gridCol w:w="9617"/>
      </w:tblGrid>
      <w:tr w:rsidR="0027676D" w14:paraId="65322807" w14:textId="77777777" w:rsidTr="0027676D">
        <w:tc>
          <w:tcPr>
            <w:tcW w:w="9617" w:type="dxa"/>
          </w:tcPr>
          <w:p w14:paraId="4487FDED" w14:textId="77777777" w:rsidR="0027676D" w:rsidRPr="0027676D" w:rsidRDefault="0027676D" w:rsidP="0027676D">
            <w:pPr>
              <w:ind w:left="540"/>
              <w:rPr>
                <w:rFonts w:eastAsia="Times New Roman" w:cs="Times New Roman"/>
                <w:color w:val="0070C0"/>
                <w:sz w:val="24"/>
                <w:szCs w:val="24"/>
                <w:lang w:eastAsia="en-GB"/>
              </w:rPr>
            </w:pPr>
            <w:r w:rsidRPr="0027676D">
              <w:rPr>
                <w:rFonts w:eastAsia="Times New Roman" w:cs="Times New Roman"/>
                <w:color w:val="0070C0"/>
                <w:sz w:val="24"/>
                <w:szCs w:val="24"/>
                <w:lang w:eastAsia="en-GB"/>
              </w:rPr>
              <w:t> </w:t>
            </w:r>
          </w:p>
          <w:p w14:paraId="3025387A" w14:textId="77777777" w:rsidR="0027676D" w:rsidRPr="0027676D" w:rsidRDefault="0027676D" w:rsidP="0027676D">
            <w:pPr>
              <w:ind w:left="540"/>
              <w:rPr>
                <w:rFonts w:eastAsia="Times New Roman" w:cs="Times New Roman"/>
                <w:szCs w:val="20"/>
                <w:lang w:eastAsia="en-GB"/>
              </w:rPr>
            </w:pPr>
            <w:r w:rsidRPr="0027676D">
              <w:rPr>
                <w:rFonts w:eastAsia="Times New Roman" w:cs="Times New Roman"/>
                <w:b/>
                <w:bCs/>
                <w:color w:val="000000"/>
                <w:szCs w:val="20"/>
                <w:u w:val="single"/>
                <w:lang w:eastAsia="en-GB"/>
              </w:rPr>
              <w:t>Issue 1-6: whether to consider UE is not evaluating the execution condition of other candidate PSCells while executing CPC</w:t>
            </w:r>
          </w:p>
          <w:p w14:paraId="1EF46FD2" w14:textId="77777777" w:rsidR="0027676D" w:rsidRPr="0027676D" w:rsidRDefault="0027676D" w:rsidP="0027676D">
            <w:pPr>
              <w:numPr>
                <w:ilvl w:val="0"/>
                <w:numId w:val="32"/>
              </w:numPr>
              <w:spacing w:after="120"/>
              <w:textAlignment w:val="center"/>
              <w:rPr>
                <w:rFonts w:ascii="Calibri" w:eastAsia="Times New Roman" w:hAnsi="Calibri" w:cs="Calibri"/>
                <w:szCs w:val="20"/>
                <w:lang w:eastAsia="en-GB"/>
              </w:rPr>
            </w:pPr>
            <w:r w:rsidRPr="0027676D">
              <w:rPr>
                <w:rFonts w:eastAsia="Times New Roman" w:cs="Times New Roman"/>
                <w:color w:val="000000"/>
                <w:szCs w:val="20"/>
                <w:u w:val="single"/>
                <w:lang w:eastAsia="en-GB"/>
              </w:rPr>
              <w:t>Candidate solutions:</w:t>
            </w:r>
          </w:p>
          <w:p w14:paraId="22729A6A" w14:textId="77777777" w:rsidR="0027676D" w:rsidRPr="0027676D" w:rsidRDefault="0027676D" w:rsidP="0027676D">
            <w:pPr>
              <w:numPr>
                <w:ilvl w:val="1"/>
                <w:numId w:val="32"/>
              </w:numPr>
              <w:spacing w:after="120"/>
              <w:textAlignment w:val="center"/>
              <w:rPr>
                <w:rFonts w:ascii="Calibri" w:eastAsia="Times New Roman" w:hAnsi="Calibri" w:cs="Calibri"/>
                <w:szCs w:val="20"/>
                <w:lang w:eastAsia="en-GB"/>
              </w:rPr>
            </w:pPr>
            <w:r w:rsidRPr="0027676D">
              <w:rPr>
                <w:rFonts w:eastAsia="Times New Roman" w:cs="Times New Roman"/>
                <w:color w:val="000000"/>
                <w:szCs w:val="20"/>
                <w:lang w:eastAsia="en-GB"/>
              </w:rPr>
              <w:t xml:space="preserve">Option 1: Yes. </w:t>
            </w:r>
            <w:proofErr w:type="spellStart"/>
            <w:r w:rsidRPr="0027676D">
              <w:rPr>
                <w:rFonts w:eastAsia="Times New Roman" w:cs="Times New Roman"/>
                <w:color w:val="000000"/>
                <w:szCs w:val="20"/>
                <w:lang w:eastAsia="en-GB"/>
              </w:rPr>
              <w:t>Event_DU</w:t>
            </w:r>
            <w:proofErr w:type="spellEnd"/>
            <w:r w:rsidRPr="0027676D">
              <w:rPr>
                <w:rFonts w:eastAsia="Times New Roman" w:cs="Times New Roman"/>
                <w:color w:val="000000"/>
                <w:szCs w:val="20"/>
                <w:lang w:eastAsia="en-GB"/>
              </w:rPr>
              <w:t xml:space="preserve"> for the subsequent change can be set to zero, if the execution condition for another PSCell is fulfilled while the UE is completing the PSCell change. </w:t>
            </w:r>
          </w:p>
          <w:p w14:paraId="219AA728" w14:textId="77777777" w:rsidR="0027676D" w:rsidRPr="0027676D" w:rsidRDefault="0027676D" w:rsidP="0027676D">
            <w:pPr>
              <w:numPr>
                <w:ilvl w:val="1"/>
                <w:numId w:val="32"/>
              </w:numPr>
              <w:spacing w:after="120"/>
              <w:textAlignment w:val="center"/>
              <w:rPr>
                <w:rFonts w:ascii="Calibri" w:eastAsia="Times New Roman" w:hAnsi="Calibri" w:cs="Calibri"/>
                <w:sz w:val="22"/>
                <w:lang w:eastAsia="en-GB"/>
              </w:rPr>
            </w:pPr>
            <w:r w:rsidRPr="0027676D">
              <w:rPr>
                <w:rFonts w:eastAsia="Times New Roman" w:cs="Times New Roman"/>
                <w:color w:val="000000"/>
                <w:szCs w:val="20"/>
                <w:lang w:eastAsia="en-GB"/>
              </w:rPr>
              <w:t>Option 2: No. According to TS37.340 and RAN2 agreements, UE is not evaluating the execution condition of other candidate PSCells while executing CPC, and the evaluation is continued after finishing the PSCell addition or change</w:t>
            </w:r>
            <w:r w:rsidRPr="0027676D">
              <w:rPr>
                <w:rFonts w:eastAsia="Times New Roman" w:cs="Times New Roman"/>
                <w:color w:val="000000"/>
                <w:sz w:val="24"/>
                <w:szCs w:val="24"/>
                <w:lang w:eastAsia="en-GB"/>
              </w:rPr>
              <w:t xml:space="preserve">. </w:t>
            </w:r>
          </w:p>
          <w:p w14:paraId="3B0FB8D2" w14:textId="77777777" w:rsidR="0027676D" w:rsidRDefault="0027676D" w:rsidP="00437CB2"/>
        </w:tc>
      </w:tr>
    </w:tbl>
    <w:p w14:paraId="25089CB5" w14:textId="6F64D8B5" w:rsidR="0060543D" w:rsidRDefault="0060543D" w:rsidP="00437CB2"/>
    <w:p w14:paraId="57D3FFDB" w14:textId="77A499BB" w:rsidR="006B4680" w:rsidRPr="00ED225D" w:rsidRDefault="14543584" w:rsidP="21E942EA">
      <w:pPr>
        <w:rPr>
          <w:rFonts w:eastAsia="SimSun" w:cs="Times New Roman"/>
        </w:rPr>
      </w:pPr>
      <w:bookmarkStart w:id="5" w:name="_Toc116995848"/>
      <w:r w:rsidRPr="21E942EA">
        <w:rPr>
          <w:rFonts w:eastAsia="SimSun" w:cs="Times New Roman"/>
        </w:rPr>
        <w:t xml:space="preserve">Based on the RAN2 agreement, UE shall not release conditional configuration of other candidate </w:t>
      </w:r>
      <w:proofErr w:type="spellStart"/>
      <w:r w:rsidRPr="21E942EA">
        <w:rPr>
          <w:rFonts w:eastAsia="SimSun" w:cs="Times New Roman"/>
        </w:rPr>
        <w:t>PScells</w:t>
      </w:r>
      <w:proofErr w:type="spellEnd"/>
      <w:r w:rsidRPr="21E942EA">
        <w:rPr>
          <w:rFonts w:eastAsia="SimSun" w:cs="Times New Roman"/>
        </w:rPr>
        <w:t xml:space="preserve"> for subsequent CPC</w:t>
      </w:r>
      <w:r w:rsidR="276CE361" w:rsidRPr="21E942EA">
        <w:rPr>
          <w:rFonts w:eastAsia="SimSun" w:cs="Times New Roman"/>
        </w:rPr>
        <w:t xml:space="preserve">. </w:t>
      </w:r>
      <w:r w:rsidR="770A0980" w:rsidRPr="21E942EA">
        <w:rPr>
          <w:rFonts w:eastAsia="SimSun" w:cs="Times New Roman"/>
        </w:rPr>
        <w:t>Therefore, UE is required to keep the measurements for the retained conditional configuration.</w:t>
      </w:r>
      <w:r w:rsidR="39AEBA78" w:rsidRPr="21E942EA">
        <w:rPr>
          <w:rFonts w:eastAsia="SimSun" w:cs="Times New Roman"/>
        </w:rPr>
        <w:t xml:space="preserve"> Depending on UE capability, the continuation of measurements on other candidate </w:t>
      </w:r>
      <w:proofErr w:type="spellStart"/>
      <w:r w:rsidR="39AEBA78" w:rsidRPr="21E942EA">
        <w:rPr>
          <w:rFonts w:eastAsia="SimSun" w:cs="Times New Roman"/>
        </w:rPr>
        <w:t>PScells</w:t>
      </w:r>
      <w:proofErr w:type="spellEnd"/>
      <w:r w:rsidR="39AEBA78" w:rsidRPr="21E942EA">
        <w:rPr>
          <w:rFonts w:eastAsia="SimSun" w:cs="Times New Roman"/>
        </w:rPr>
        <w:t xml:space="preserve"> could continue even during executing CPC. </w:t>
      </w:r>
      <w:r w:rsidR="00D920FC">
        <w:rPr>
          <w:rFonts w:eastAsia="SimSun" w:cs="Times New Roman"/>
        </w:rPr>
        <w:t>Hence, we interpret the RAN2 agreement as such that</w:t>
      </w:r>
      <w:r w:rsidR="0AB0CB0C" w:rsidRPr="21E942EA">
        <w:rPr>
          <w:rFonts w:eastAsia="SimSun" w:cs="Times New Roman"/>
        </w:rPr>
        <w:t xml:space="preserve"> UE doesn’t reset the measurement but continue the measurement based on </w:t>
      </w:r>
      <w:r w:rsidR="0086112B">
        <w:rPr>
          <w:rFonts w:eastAsia="SimSun" w:cs="Times New Roman"/>
        </w:rPr>
        <w:t>retained</w:t>
      </w:r>
      <w:r w:rsidR="00676650">
        <w:rPr>
          <w:rFonts w:eastAsia="SimSun" w:cs="Times New Roman"/>
        </w:rPr>
        <w:t xml:space="preserve"> </w:t>
      </w:r>
      <w:r w:rsidR="0042750E">
        <w:rPr>
          <w:rFonts w:eastAsia="SimSun" w:cs="Times New Roman"/>
        </w:rPr>
        <w:t>configurations</w:t>
      </w:r>
      <w:r w:rsidR="0AB0CB0C" w:rsidRPr="21E942EA">
        <w:rPr>
          <w:rFonts w:eastAsia="SimSun" w:cs="Times New Roman"/>
        </w:rPr>
        <w:t xml:space="preserve">. </w:t>
      </w:r>
      <w:r w:rsidR="39AEBA78" w:rsidRPr="21E942EA">
        <w:rPr>
          <w:rFonts w:eastAsia="SimSun" w:cs="Times New Roman"/>
        </w:rPr>
        <w:t xml:space="preserve">The evaluation of subsequent CPCs </w:t>
      </w:r>
      <w:r w:rsidR="6E9B8D1F" w:rsidRPr="21E942EA">
        <w:rPr>
          <w:rFonts w:eastAsia="SimSun" w:cs="Times New Roman"/>
        </w:rPr>
        <w:t>continues</w:t>
      </w:r>
      <w:r w:rsidR="39AEBA78" w:rsidRPr="21E942EA">
        <w:rPr>
          <w:rFonts w:eastAsia="SimSun" w:cs="Times New Roman"/>
        </w:rPr>
        <w:t xml:space="preserve"> based on these measurements and further measurements after finishing CPC. </w:t>
      </w:r>
    </w:p>
    <w:p w14:paraId="7E0A56DC" w14:textId="75C5D2B3" w:rsidR="006B4680" w:rsidRDefault="00AE7C24" w:rsidP="00AE7C24">
      <w:pPr>
        <w:pStyle w:val="RAN4proposal"/>
        <w:rPr>
          <w:rFonts w:eastAsia="SimSun" w:cs="Times New Roman"/>
          <w:szCs w:val="20"/>
        </w:rPr>
      </w:pPr>
      <w:bookmarkStart w:id="6" w:name="_Toc135086768"/>
      <w:r>
        <w:rPr>
          <w:rFonts w:eastAsia="SimSun" w:cs="Times New Roman"/>
          <w:szCs w:val="20"/>
        </w:rPr>
        <w:t xml:space="preserve">UE </w:t>
      </w:r>
      <w:r w:rsidR="0002762A">
        <w:rPr>
          <w:rFonts w:eastAsia="SimSun" w:cs="Times New Roman"/>
          <w:szCs w:val="20"/>
        </w:rPr>
        <w:t xml:space="preserve">shall not </w:t>
      </w:r>
      <w:r>
        <w:rPr>
          <w:rFonts w:eastAsia="SimSun" w:cs="Times New Roman"/>
          <w:szCs w:val="20"/>
        </w:rPr>
        <w:t xml:space="preserve">reset the measurement but continue the measurement based on </w:t>
      </w:r>
      <w:r w:rsidR="0086112B">
        <w:rPr>
          <w:rFonts w:eastAsia="SimSun" w:cs="Times New Roman"/>
          <w:szCs w:val="20"/>
        </w:rPr>
        <w:t>the retained</w:t>
      </w:r>
      <w:r w:rsidR="0002762A">
        <w:rPr>
          <w:rFonts w:eastAsia="SimSun" w:cs="Times New Roman"/>
          <w:szCs w:val="20"/>
        </w:rPr>
        <w:t xml:space="preserve"> </w:t>
      </w:r>
      <w:r w:rsidR="00676650">
        <w:rPr>
          <w:rFonts w:eastAsia="SimSun" w:cs="Times New Roman"/>
          <w:szCs w:val="20"/>
        </w:rPr>
        <w:t>c</w:t>
      </w:r>
      <w:r w:rsidR="0042750E">
        <w:rPr>
          <w:rFonts w:eastAsia="SimSun" w:cs="Times New Roman"/>
          <w:szCs w:val="20"/>
        </w:rPr>
        <w:t>onfiguration</w:t>
      </w:r>
      <w:r w:rsidR="00676650">
        <w:rPr>
          <w:rFonts w:eastAsia="SimSun" w:cs="Times New Roman"/>
          <w:szCs w:val="20"/>
        </w:rPr>
        <w:t>s</w:t>
      </w:r>
      <w:r w:rsidR="00CD348B">
        <w:rPr>
          <w:rFonts w:eastAsia="SimSun" w:cs="Times New Roman"/>
          <w:szCs w:val="20"/>
        </w:rPr>
        <w:t xml:space="preserve"> during executing CPC</w:t>
      </w:r>
      <w:bookmarkEnd w:id="6"/>
    </w:p>
    <w:p w14:paraId="71C117FD" w14:textId="397B0D5C" w:rsidR="00CD348B" w:rsidRPr="00CD348B" w:rsidRDefault="0AB0CB0C" w:rsidP="00CD348B">
      <w:pPr>
        <w:pStyle w:val="RAN4proposal"/>
      </w:pPr>
      <w:bookmarkStart w:id="7" w:name="_Toc135086769"/>
      <w:r w:rsidRPr="21E942EA">
        <w:rPr>
          <w:rFonts w:eastAsia="SimSun" w:cs="Times New Roman"/>
        </w:rPr>
        <w:t xml:space="preserve">The evaluation of subsequent CPCs </w:t>
      </w:r>
      <w:r w:rsidR="1316DA59" w:rsidRPr="21E942EA">
        <w:rPr>
          <w:rFonts w:eastAsia="SimSun" w:cs="Times New Roman"/>
        </w:rPr>
        <w:t>continues</w:t>
      </w:r>
      <w:r w:rsidRPr="21E942EA">
        <w:rPr>
          <w:rFonts w:eastAsia="SimSun" w:cs="Times New Roman"/>
        </w:rPr>
        <w:t xml:space="preserve"> based on these measurements and further measurements after finishing CPC</w:t>
      </w:r>
      <w:bookmarkEnd w:id="7"/>
    </w:p>
    <w:p w14:paraId="0C5BDBF7" w14:textId="3B124F7F" w:rsidR="006B4680" w:rsidRDefault="006B4680">
      <w:pPr>
        <w:rPr>
          <w:rFonts w:ascii="Arial" w:eastAsia="SimSun" w:hAnsi="Arial" w:cs="Times New Roman"/>
          <w:szCs w:val="10"/>
        </w:rPr>
      </w:pPr>
    </w:p>
    <w:p w14:paraId="16BE4762" w14:textId="77777777" w:rsidR="00281BF5" w:rsidRDefault="00281BF5" w:rsidP="00C32552"/>
    <w:p w14:paraId="3626BC96" w14:textId="03A2C723" w:rsidR="00CD7492" w:rsidRPr="008C39F7" w:rsidRDefault="00CD7492" w:rsidP="00A37002">
      <w:pPr>
        <w:pStyle w:val="RAN4H1"/>
      </w:pPr>
      <w:r w:rsidRPr="008C39F7">
        <w:t>Conclusion</w:t>
      </w:r>
      <w:bookmarkEnd w:id="5"/>
    </w:p>
    <w:p w14:paraId="071DA415"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5C00D4B" w14:textId="49710B5C" w:rsidR="009F19C4" w:rsidRDefault="00A4355E" w:rsidP="00C32552">
      <w:pPr>
        <w:pStyle w:val="TOC5"/>
        <w:rPr>
          <w:rFonts w:asciiTheme="minorHAnsi" w:eastAsiaTheme="minorEastAsia" w:hAnsiTheme="minorHAnsi"/>
          <w:noProof/>
          <w:sz w:val="22"/>
          <w:lang w:val="en-GB" w:eastAsia="en-GB"/>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35086768" w:history="1">
        <w:r w:rsidR="009F19C4" w:rsidRPr="00211547">
          <w:rPr>
            <w:rStyle w:val="Hyperlink"/>
            <w:rFonts w:eastAsia="SimSun" w:cs="Times New Roman"/>
            <w:noProof/>
          </w:rPr>
          <w:t>Proposal 1: UE shall not reset the measurement but continue the measurement based on the retained configurations during executing CPC</w:t>
        </w:r>
      </w:hyperlink>
    </w:p>
    <w:p w14:paraId="33CAA24E" w14:textId="397B112C" w:rsidR="009F19C4" w:rsidRDefault="009F19C4" w:rsidP="00C32552">
      <w:pPr>
        <w:pStyle w:val="TOC5"/>
        <w:rPr>
          <w:rFonts w:asciiTheme="minorHAnsi" w:eastAsiaTheme="minorEastAsia" w:hAnsiTheme="minorHAnsi"/>
          <w:noProof/>
          <w:sz w:val="22"/>
          <w:lang w:val="en-GB" w:eastAsia="en-GB"/>
        </w:rPr>
      </w:pPr>
      <w:hyperlink w:anchor="_Toc135086769" w:history="1">
        <w:r w:rsidRPr="00211547">
          <w:rPr>
            <w:rStyle w:val="Hyperlink"/>
            <w:noProof/>
          </w:rPr>
          <w:t>Proposal 2:</w:t>
        </w:r>
        <w:r w:rsidRPr="00211547">
          <w:rPr>
            <w:rStyle w:val="Hyperlink"/>
            <w:rFonts w:eastAsia="SimSun" w:cs="Times New Roman"/>
            <w:noProof/>
          </w:rPr>
          <w:t xml:space="preserve"> The evaluation of subsequent CPCs continues based on these measurements and further measurements after finishing CPC</w:t>
        </w:r>
      </w:hyperlink>
    </w:p>
    <w:p w14:paraId="6846E104" w14:textId="2C6954B9" w:rsidR="008C39F7" w:rsidRPr="008C39F7" w:rsidRDefault="00A4355E" w:rsidP="008C39F7">
      <w:r w:rsidRPr="008C39F7">
        <w:fldChar w:fldCharType="end"/>
      </w:r>
      <w:bookmarkStart w:id="8" w:name="_Toc116995849"/>
    </w:p>
    <w:p w14:paraId="07EC3B55" w14:textId="77777777" w:rsidR="000040DC" w:rsidRPr="008C39F7" w:rsidRDefault="000040DC" w:rsidP="00C32552">
      <w:pPr>
        <w:rPr>
          <w:highlight w:val="yellow"/>
        </w:rPr>
      </w:pPr>
      <w:bookmarkStart w:id="9" w:name="_Ref114500673"/>
      <w:bookmarkEnd w:id="8"/>
      <w:bookmarkEnd w:id="9"/>
    </w:p>
    <w:p w14:paraId="0CACEBB9"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1B091" w14:textId="77777777" w:rsidR="0061772A" w:rsidRDefault="0061772A" w:rsidP="00001C9B">
      <w:pPr>
        <w:spacing w:after="0" w:line="240" w:lineRule="auto"/>
      </w:pPr>
      <w:r>
        <w:separator/>
      </w:r>
    </w:p>
  </w:endnote>
  <w:endnote w:type="continuationSeparator" w:id="0">
    <w:p w14:paraId="4A00F218" w14:textId="77777777" w:rsidR="0061772A" w:rsidRDefault="0061772A" w:rsidP="00001C9B">
      <w:pPr>
        <w:spacing w:after="0" w:line="240" w:lineRule="auto"/>
      </w:pPr>
      <w:r>
        <w:continuationSeparator/>
      </w:r>
    </w:p>
  </w:endnote>
  <w:endnote w:type="continuationNotice" w:id="1">
    <w:p w14:paraId="3E0D9900" w14:textId="77777777" w:rsidR="0061772A" w:rsidRDefault="00617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DDD5E" w14:textId="77777777" w:rsidR="0061772A" w:rsidRDefault="0061772A" w:rsidP="00001C9B">
      <w:pPr>
        <w:spacing w:after="0" w:line="240" w:lineRule="auto"/>
      </w:pPr>
      <w:r>
        <w:separator/>
      </w:r>
    </w:p>
  </w:footnote>
  <w:footnote w:type="continuationSeparator" w:id="0">
    <w:p w14:paraId="614FD89C" w14:textId="77777777" w:rsidR="0061772A" w:rsidRDefault="0061772A" w:rsidP="00001C9B">
      <w:pPr>
        <w:spacing w:after="0" w:line="240" w:lineRule="auto"/>
      </w:pPr>
      <w:r>
        <w:continuationSeparator/>
      </w:r>
    </w:p>
  </w:footnote>
  <w:footnote w:type="continuationNotice" w:id="1">
    <w:p w14:paraId="5A13DD00" w14:textId="77777777" w:rsidR="0061772A" w:rsidRDefault="006177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E90FD4"/>
    <w:multiLevelType w:val="multilevel"/>
    <w:tmpl w:val="C6CC1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B4771"/>
    <w:multiLevelType w:val="multilevel"/>
    <w:tmpl w:val="FB86D3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683292"/>
    <w:multiLevelType w:val="multilevel"/>
    <w:tmpl w:val="6DDAB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2E2508"/>
    <w:multiLevelType w:val="multilevel"/>
    <w:tmpl w:val="99D27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AF115E"/>
    <w:multiLevelType w:val="multilevel"/>
    <w:tmpl w:val="CA64F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14A6275"/>
    <w:multiLevelType w:val="multilevel"/>
    <w:tmpl w:val="CA941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4"/>
  </w:num>
  <w:num w:numId="4" w16cid:durableId="517735681">
    <w:abstractNumId w:val="5"/>
  </w:num>
  <w:num w:numId="5" w16cid:durableId="1142041724">
    <w:abstractNumId w:val="17"/>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19"/>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40572855">
    <w:abstractNumId w:val="8"/>
  </w:num>
  <w:num w:numId="28" w16cid:durableId="1507551458">
    <w:abstractNumId w:val="18"/>
  </w:num>
  <w:num w:numId="29" w16cid:durableId="1656765386">
    <w:abstractNumId w:val="7"/>
  </w:num>
  <w:num w:numId="30" w16cid:durableId="1833448285">
    <w:abstractNumId w:val="3"/>
  </w:num>
  <w:num w:numId="31" w16cid:durableId="1430813687">
    <w:abstractNumId w:val="9"/>
  </w:num>
  <w:num w:numId="32" w16cid:durableId="9025627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C1AD9"/>
    <w:rsid w:val="00001C9B"/>
    <w:rsid w:val="000040DC"/>
    <w:rsid w:val="00011784"/>
    <w:rsid w:val="000151EF"/>
    <w:rsid w:val="000239F5"/>
    <w:rsid w:val="0002762A"/>
    <w:rsid w:val="0008612A"/>
    <w:rsid w:val="00086D16"/>
    <w:rsid w:val="00090E18"/>
    <w:rsid w:val="000964F6"/>
    <w:rsid w:val="000A10BC"/>
    <w:rsid w:val="000A1DF5"/>
    <w:rsid w:val="000B0056"/>
    <w:rsid w:val="000C3C7B"/>
    <w:rsid w:val="000D0F93"/>
    <w:rsid w:val="000F7414"/>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1E4F1B"/>
    <w:rsid w:val="001E7B81"/>
    <w:rsid w:val="001F500A"/>
    <w:rsid w:val="00217EE5"/>
    <w:rsid w:val="00235F5C"/>
    <w:rsid w:val="00257FA3"/>
    <w:rsid w:val="0027676D"/>
    <w:rsid w:val="00277B56"/>
    <w:rsid w:val="00281BF5"/>
    <w:rsid w:val="002A19F5"/>
    <w:rsid w:val="002B4922"/>
    <w:rsid w:val="002C22C3"/>
    <w:rsid w:val="002C2D19"/>
    <w:rsid w:val="002D10FA"/>
    <w:rsid w:val="002D4C55"/>
    <w:rsid w:val="002E6DED"/>
    <w:rsid w:val="00300956"/>
    <w:rsid w:val="00301406"/>
    <w:rsid w:val="00317187"/>
    <w:rsid w:val="0032499A"/>
    <w:rsid w:val="003341F7"/>
    <w:rsid w:val="00334C7E"/>
    <w:rsid w:val="00347FEC"/>
    <w:rsid w:val="00356F45"/>
    <w:rsid w:val="00366B74"/>
    <w:rsid w:val="003A710A"/>
    <w:rsid w:val="003B659E"/>
    <w:rsid w:val="003C275E"/>
    <w:rsid w:val="003C4FDE"/>
    <w:rsid w:val="003E58DF"/>
    <w:rsid w:val="003F5912"/>
    <w:rsid w:val="00404C4C"/>
    <w:rsid w:val="0041423F"/>
    <w:rsid w:val="00414F81"/>
    <w:rsid w:val="0042750E"/>
    <w:rsid w:val="00436A0F"/>
    <w:rsid w:val="00437150"/>
    <w:rsid w:val="0043750A"/>
    <w:rsid w:val="00437CB2"/>
    <w:rsid w:val="0045351B"/>
    <w:rsid w:val="004732E9"/>
    <w:rsid w:val="004854BB"/>
    <w:rsid w:val="00494493"/>
    <w:rsid w:val="00496606"/>
    <w:rsid w:val="004B29A1"/>
    <w:rsid w:val="004E5E66"/>
    <w:rsid w:val="004E7ADB"/>
    <w:rsid w:val="00503B4D"/>
    <w:rsid w:val="00504EE9"/>
    <w:rsid w:val="00521576"/>
    <w:rsid w:val="005250E6"/>
    <w:rsid w:val="00542D23"/>
    <w:rsid w:val="0054442C"/>
    <w:rsid w:val="00550285"/>
    <w:rsid w:val="0055114C"/>
    <w:rsid w:val="00562492"/>
    <w:rsid w:val="00572A20"/>
    <w:rsid w:val="005836F8"/>
    <w:rsid w:val="00587CE0"/>
    <w:rsid w:val="005918FA"/>
    <w:rsid w:val="00591BE7"/>
    <w:rsid w:val="00592A86"/>
    <w:rsid w:val="005A6F5A"/>
    <w:rsid w:val="005B4801"/>
    <w:rsid w:val="005B5772"/>
    <w:rsid w:val="005C23A4"/>
    <w:rsid w:val="005D1CDF"/>
    <w:rsid w:val="005D2BB7"/>
    <w:rsid w:val="005D626A"/>
    <w:rsid w:val="005E61A8"/>
    <w:rsid w:val="005F6419"/>
    <w:rsid w:val="0060543D"/>
    <w:rsid w:val="006104DD"/>
    <w:rsid w:val="006130B5"/>
    <w:rsid w:val="00617400"/>
    <w:rsid w:val="0061772A"/>
    <w:rsid w:val="00632D29"/>
    <w:rsid w:val="00657A0F"/>
    <w:rsid w:val="00664950"/>
    <w:rsid w:val="00676650"/>
    <w:rsid w:val="00683220"/>
    <w:rsid w:val="00687023"/>
    <w:rsid w:val="00687FA0"/>
    <w:rsid w:val="006A08DE"/>
    <w:rsid w:val="006A3C11"/>
    <w:rsid w:val="006B4680"/>
    <w:rsid w:val="006B7010"/>
    <w:rsid w:val="006C3095"/>
    <w:rsid w:val="006E1151"/>
    <w:rsid w:val="006E6311"/>
    <w:rsid w:val="006F775E"/>
    <w:rsid w:val="007145FF"/>
    <w:rsid w:val="00715B2A"/>
    <w:rsid w:val="00723314"/>
    <w:rsid w:val="007450F1"/>
    <w:rsid w:val="00751515"/>
    <w:rsid w:val="007626B7"/>
    <w:rsid w:val="0078212B"/>
    <w:rsid w:val="00784DF6"/>
    <w:rsid w:val="00785232"/>
    <w:rsid w:val="00796F26"/>
    <w:rsid w:val="007B186C"/>
    <w:rsid w:val="007B3AB3"/>
    <w:rsid w:val="007C1696"/>
    <w:rsid w:val="007C3ED0"/>
    <w:rsid w:val="007C5971"/>
    <w:rsid w:val="007C5EBC"/>
    <w:rsid w:val="007F54B9"/>
    <w:rsid w:val="00806A76"/>
    <w:rsid w:val="00811C9D"/>
    <w:rsid w:val="00816C80"/>
    <w:rsid w:val="00825A39"/>
    <w:rsid w:val="00841BCD"/>
    <w:rsid w:val="00851A8E"/>
    <w:rsid w:val="0085365B"/>
    <w:rsid w:val="0086112B"/>
    <w:rsid w:val="00872255"/>
    <w:rsid w:val="008826C1"/>
    <w:rsid w:val="00883DFD"/>
    <w:rsid w:val="008A1BF7"/>
    <w:rsid w:val="008A5B0E"/>
    <w:rsid w:val="008B0961"/>
    <w:rsid w:val="008C39F7"/>
    <w:rsid w:val="0090091A"/>
    <w:rsid w:val="009042BD"/>
    <w:rsid w:val="00904FE4"/>
    <w:rsid w:val="00907BC2"/>
    <w:rsid w:val="00936159"/>
    <w:rsid w:val="00947C06"/>
    <w:rsid w:val="00977E1D"/>
    <w:rsid w:val="009B0573"/>
    <w:rsid w:val="009B7B4B"/>
    <w:rsid w:val="009B7C21"/>
    <w:rsid w:val="009F19C4"/>
    <w:rsid w:val="00A04992"/>
    <w:rsid w:val="00A147AA"/>
    <w:rsid w:val="00A21D71"/>
    <w:rsid w:val="00A22B78"/>
    <w:rsid w:val="00A25AE5"/>
    <w:rsid w:val="00A37002"/>
    <w:rsid w:val="00A4355E"/>
    <w:rsid w:val="00A8444D"/>
    <w:rsid w:val="00A92BCD"/>
    <w:rsid w:val="00AA1B0E"/>
    <w:rsid w:val="00AA47B6"/>
    <w:rsid w:val="00AA6023"/>
    <w:rsid w:val="00AC163B"/>
    <w:rsid w:val="00AC5CA7"/>
    <w:rsid w:val="00AC6058"/>
    <w:rsid w:val="00AE2BA5"/>
    <w:rsid w:val="00AE56B1"/>
    <w:rsid w:val="00AE6D09"/>
    <w:rsid w:val="00AE7C24"/>
    <w:rsid w:val="00AF7A7C"/>
    <w:rsid w:val="00B02070"/>
    <w:rsid w:val="00B23004"/>
    <w:rsid w:val="00B40783"/>
    <w:rsid w:val="00B408B6"/>
    <w:rsid w:val="00B542DA"/>
    <w:rsid w:val="00B72A8F"/>
    <w:rsid w:val="00B73862"/>
    <w:rsid w:val="00B73F43"/>
    <w:rsid w:val="00BA6B66"/>
    <w:rsid w:val="00BA6E48"/>
    <w:rsid w:val="00BC1AD9"/>
    <w:rsid w:val="00BE0AF6"/>
    <w:rsid w:val="00BE1F03"/>
    <w:rsid w:val="00BE58A7"/>
    <w:rsid w:val="00BF2218"/>
    <w:rsid w:val="00C0426B"/>
    <w:rsid w:val="00C045DF"/>
    <w:rsid w:val="00C26D43"/>
    <w:rsid w:val="00C32552"/>
    <w:rsid w:val="00C3611A"/>
    <w:rsid w:val="00C445FA"/>
    <w:rsid w:val="00C46548"/>
    <w:rsid w:val="00C5633F"/>
    <w:rsid w:val="00C574D5"/>
    <w:rsid w:val="00C73F32"/>
    <w:rsid w:val="00C87462"/>
    <w:rsid w:val="00CA0666"/>
    <w:rsid w:val="00CA180C"/>
    <w:rsid w:val="00CB22B2"/>
    <w:rsid w:val="00CC3EE2"/>
    <w:rsid w:val="00CD348B"/>
    <w:rsid w:val="00CD7492"/>
    <w:rsid w:val="00CE3A6B"/>
    <w:rsid w:val="00CF2109"/>
    <w:rsid w:val="00CF4B99"/>
    <w:rsid w:val="00D00211"/>
    <w:rsid w:val="00D06309"/>
    <w:rsid w:val="00D17389"/>
    <w:rsid w:val="00D351EA"/>
    <w:rsid w:val="00D40288"/>
    <w:rsid w:val="00D43403"/>
    <w:rsid w:val="00D5270B"/>
    <w:rsid w:val="00D5660A"/>
    <w:rsid w:val="00D6230E"/>
    <w:rsid w:val="00D62E71"/>
    <w:rsid w:val="00D6430D"/>
    <w:rsid w:val="00D66188"/>
    <w:rsid w:val="00D731F6"/>
    <w:rsid w:val="00D740CA"/>
    <w:rsid w:val="00D85728"/>
    <w:rsid w:val="00D920FC"/>
    <w:rsid w:val="00D95481"/>
    <w:rsid w:val="00DC7A13"/>
    <w:rsid w:val="00DF2997"/>
    <w:rsid w:val="00E03097"/>
    <w:rsid w:val="00E10BC4"/>
    <w:rsid w:val="00E1415D"/>
    <w:rsid w:val="00E323E9"/>
    <w:rsid w:val="00E34018"/>
    <w:rsid w:val="00E437D2"/>
    <w:rsid w:val="00E55751"/>
    <w:rsid w:val="00E76F12"/>
    <w:rsid w:val="00EA2311"/>
    <w:rsid w:val="00EC7BC3"/>
    <w:rsid w:val="00ED225D"/>
    <w:rsid w:val="00ED7600"/>
    <w:rsid w:val="00EF6073"/>
    <w:rsid w:val="00EF698B"/>
    <w:rsid w:val="00F1362C"/>
    <w:rsid w:val="00F414F1"/>
    <w:rsid w:val="00F50020"/>
    <w:rsid w:val="00F508B8"/>
    <w:rsid w:val="00F65B35"/>
    <w:rsid w:val="00F72CB1"/>
    <w:rsid w:val="00F7309A"/>
    <w:rsid w:val="00F8215E"/>
    <w:rsid w:val="00F824F5"/>
    <w:rsid w:val="00F90FAB"/>
    <w:rsid w:val="00F9374D"/>
    <w:rsid w:val="00FC29B9"/>
    <w:rsid w:val="00FC6FD3"/>
    <w:rsid w:val="00FE305C"/>
    <w:rsid w:val="00FF0301"/>
    <w:rsid w:val="0AB0CB0C"/>
    <w:rsid w:val="127B2C8E"/>
    <w:rsid w:val="1316DA59"/>
    <w:rsid w:val="14543584"/>
    <w:rsid w:val="21E942EA"/>
    <w:rsid w:val="276CE361"/>
    <w:rsid w:val="39AEBA78"/>
    <w:rsid w:val="6A981535"/>
    <w:rsid w:val="6E9B8D1F"/>
    <w:rsid w:val="770A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C12C4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5FA"/>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9F19C4"/>
    <w:pPr>
      <w:tabs>
        <w:tab w:val="right" w:leader="dot" w:pos="9617"/>
      </w:tabs>
      <w:spacing w:after="100"/>
    </w:pPr>
    <w:rPr>
      <w:b/>
    </w:rPr>
  </w:style>
  <w:style w:type="paragraph" w:styleId="NormalWeb">
    <w:name w:val="Normal (Web)"/>
    <w:basedOn w:val="Normal"/>
    <w:uiPriority w:val="99"/>
    <w:unhideWhenUsed/>
    <w:rsid w:val="00B23004"/>
    <w:pPr>
      <w:spacing w:before="100" w:beforeAutospacing="1" w:after="100" w:afterAutospacing="1" w:line="240" w:lineRule="auto"/>
    </w:pPr>
    <w:rPr>
      <w:rFonts w:eastAsia="Times New Roman" w:cs="Times New Roman"/>
      <w:sz w:val="24"/>
      <w:szCs w:val="24"/>
      <w:lang w:eastAsia="zh-CN"/>
    </w:rPr>
  </w:style>
  <w:style w:type="paragraph" w:styleId="Revision">
    <w:name w:val="Revision"/>
    <w:hidden/>
    <w:uiPriority w:val="99"/>
    <w:semiHidden/>
    <w:rsid w:val="0002762A"/>
    <w:pPr>
      <w:spacing w:after="0" w:line="240" w:lineRule="auto"/>
    </w:pPr>
    <w:rPr>
      <w:rFonts w:ascii="Times New Roman" w:hAnsi="Times New Roman"/>
      <w:sz w:val="20"/>
    </w:rPr>
  </w:style>
  <w:style w:type="paragraph" w:styleId="Header">
    <w:name w:val="header"/>
    <w:basedOn w:val="Normal"/>
    <w:link w:val="HeaderChar"/>
    <w:uiPriority w:val="99"/>
    <w:unhideWhenUsed/>
    <w:rsid w:val="00086D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6D16"/>
    <w:rPr>
      <w:rFonts w:ascii="Times New Roman" w:hAnsi="Times New Roman"/>
      <w:sz w:val="20"/>
    </w:rPr>
  </w:style>
  <w:style w:type="paragraph" w:styleId="Footer">
    <w:name w:val="footer"/>
    <w:basedOn w:val="Normal"/>
    <w:link w:val="FooterChar"/>
    <w:uiPriority w:val="99"/>
    <w:unhideWhenUsed/>
    <w:rsid w:val="00086D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6D1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8777">
      <w:bodyDiv w:val="1"/>
      <w:marLeft w:val="0"/>
      <w:marRight w:val="0"/>
      <w:marTop w:val="0"/>
      <w:marBottom w:val="0"/>
      <w:divBdr>
        <w:top w:val="none" w:sz="0" w:space="0" w:color="auto"/>
        <w:left w:val="none" w:sz="0" w:space="0" w:color="auto"/>
        <w:bottom w:val="none" w:sz="0" w:space="0" w:color="auto"/>
        <w:right w:val="none" w:sz="0" w:space="0" w:color="auto"/>
      </w:divBdr>
    </w:div>
    <w:div w:id="344871610">
      <w:bodyDiv w:val="1"/>
      <w:marLeft w:val="0"/>
      <w:marRight w:val="0"/>
      <w:marTop w:val="0"/>
      <w:marBottom w:val="0"/>
      <w:divBdr>
        <w:top w:val="none" w:sz="0" w:space="0" w:color="auto"/>
        <w:left w:val="none" w:sz="0" w:space="0" w:color="auto"/>
        <w:bottom w:val="none" w:sz="0" w:space="0" w:color="auto"/>
        <w:right w:val="none" w:sz="0" w:space="0" w:color="auto"/>
      </w:divBdr>
    </w:div>
    <w:div w:id="482704041">
      <w:bodyDiv w:val="1"/>
      <w:marLeft w:val="0"/>
      <w:marRight w:val="0"/>
      <w:marTop w:val="0"/>
      <w:marBottom w:val="0"/>
      <w:divBdr>
        <w:top w:val="none" w:sz="0" w:space="0" w:color="auto"/>
        <w:left w:val="none" w:sz="0" w:space="0" w:color="auto"/>
        <w:bottom w:val="none" w:sz="0" w:space="0" w:color="auto"/>
        <w:right w:val="none" w:sz="0" w:space="0" w:color="auto"/>
      </w:divBdr>
    </w:div>
    <w:div w:id="604459130">
      <w:bodyDiv w:val="1"/>
      <w:marLeft w:val="0"/>
      <w:marRight w:val="0"/>
      <w:marTop w:val="0"/>
      <w:marBottom w:val="0"/>
      <w:divBdr>
        <w:top w:val="none" w:sz="0" w:space="0" w:color="auto"/>
        <w:left w:val="none" w:sz="0" w:space="0" w:color="auto"/>
        <w:bottom w:val="none" w:sz="0" w:space="0" w:color="auto"/>
        <w:right w:val="none" w:sz="0" w:space="0" w:color="auto"/>
      </w:divBdr>
    </w:div>
    <w:div w:id="867374913">
      <w:bodyDiv w:val="1"/>
      <w:marLeft w:val="0"/>
      <w:marRight w:val="0"/>
      <w:marTop w:val="0"/>
      <w:marBottom w:val="0"/>
      <w:divBdr>
        <w:top w:val="none" w:sz="0" w:space="0" w:color="auto"/>
        <w:left w:val="none" w:sz="0" w:space="0" w:color="auto"/>
        <w:bottom w:val="none" w:sz="0" w:space="0" w:color="auto"/>
        <w:right w:val="none" w:sz="0" w:space="0" w:color="auto"/>
      </w:divBdr>
    </w:div>
    <w:div w:id="867644027">
      <w:bodyDiv w:val="1"/>
      <w:marLeft w:val="0"/>
      <w:marRight w:val="0"/>
      <w:marTop w:val="0"/>
      <w:marBottom w:val="0"/>
      <w:divBdr>
        <w:top w:val="none" w:sz="0" w:space="0" w:color="auto"/>
        <w:left w:val="none" w:sz="0" w:space="0" w:color="auto"/>
        <w:bottom w:val="none" w:sz="0" w:space="0" w:color="auto"/>
        <w:right w:val="none" w:sz="0" w:space="0" w:color="auto"/>
      </w:divBdr>
    </w:div>
    <w:div w:id="1065832866">
      <w:bodyDiv w:val="1"/>
      <w:marLeft w:val="0"/>
      <w:marRight w:val="0"/>
      <w:marTop w:val="0"/>
      <w:marBottom w:val="0"/>
      <w:divBdr>
        <w:top w:val="none" w:sz="0" w:space="0" w:color="auto"/>
        <w:left w:val="none" w:sz="0" w:space="0" w:color="auto"/>
        <w:bottom w:val="none" w:sz="0" w:space="0" w:color="auto"/>
        <w:right w:val="none" w:sz="0" w:space="0" w:color="auto"/>
      </w:divBdr>
    </w:div>
    <w:div w:id="1102872134">
      <w:bodyDiv w:val="1"/>
      <w:marLeft w:val="0"/>
      <w:marRight w:val="0"/>
      <w:marTop w:val="0"/>
      <w:marBottom w:val="0"/>
      <w:divBdr>
        <w:top w:val="none" w:sz="0" w:space="0" w:color="auto"/>
        <w:left w:val="none" w:sz="0" w:space="0" w:color="auto"/>
        <w:bottom w:val="none" w:sz="0" w:space="0" w:color="auto"/>
        <w:right w:val="none" w:sz="0" w:space="0" w:color="auto"/>
      </w:divBdr>
    </w:div>
    <w:div w:id="1491093441">
      <w:bodyDiv w:val="1"/>
      <w:marLeft w:val="0"/>
      <w:marRight w:val="0"/>
      <w:marTop w:val="0"/>
      <w:marBottom w:val="0"/>
      <w:divBdr>
        <w:top w:val="none" w:sz="0" w:space="0" w:color="auto"/>
        <w:left w:val="none" w:sz="0" w:space="0" w:color="auto"/>
        <w:bottom w:val="none" w:sz="0" w:space="0" w:color="auto"/>
        <w:right w:val="none" w:sz="0" w:space="0" w:color="auto"/>
      </w:divBdr>
    </w:div>
    <w:div w:id="203006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5AIRPNAIUNRU-1328258698-22996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https://nokia.sharepoint.com/sites/c5g/5gradio/_layouts/15/DocIdRedir.aspx?ID=5AIRPNAIUNRU-1328258698-22996</Url>
      <Description>5AIRPNAIUNRU-1328258698-22996</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A54E3C7-F82C-4B2C-91C8-B568DC82E3DB}"/>
</file>

<file path=customXml/itemProps3.xml><?xml version="1.0" encoding="utf-8"?>
<ds:datastoreItem xmlns:ds="http://schemas.openxmlformats.org/officeDocument/2006/customXml" ds:itemID="{77DF9266-0BCF-4863-9AEB-2B138CF7DE91}"/>
</file>

<file path=customXml/itemProps4.xml><?xml version="1.0" encoding="utf-8"?>
<ds:datastoreItem xmlns:ds="http://schemas.openxmlformats.org/officeDocument/2006/customXml" ds:itemID="{AC5CE00E-E70B-47EF-99AB-C8692153FF4E}"/>
</file>

<file path=customXml/itemProps5.xml><?xml version="1.0" encoding="utf-8"?>
<ds:datastoreItem xmlns:ds="http://schemas.openxmlformats.org/officeDocument/2006/customXml" ds:itemID="{ED3DF456-8FE9-4479-9AA4-E8A9E2F8610C}"/>
</file>

<file path=customXml/itemProps6.xml><?xml version="1.0" encoding="utf-8"?>
<ds:datastoreItem xmlns:ds="http://schemas.openxmlformats.org/officeDocument/2006/customXml" ds:itemID="{6E860EB3-3208-490F-B7C3-CF93D4FD970D}"/>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Links>
    <vt:vector size="24" baseType="variant">
      <vt:variant>
        <vt:i4>1769527</vt:i4>
      </vt:variant>
      <vt:variant>
        <vt:i4>14</vt:i4>
      </vt:variant>
      <vt:variant>
        <vt:i4>0</vt:i4>
      </vt:variant>
      <vt:variant>
        <vt:i4>5</vt:i4>
      </vt:variant>
      <vt:variant>
        <vt:lpwstr/>
      </vt:variant>
      <vt:variant>
        <vt:lpwstr>_Toc134610396</vt:lpwstr>
      </vt:variant>
      <vt:variant>
        <vt:i4>1769527</vt:i4>
      </vt:variant>
      <vt:variant>
        <vt:i4>11</vt:i4>
      </vt:variant>
      <vt:variant>
        <vt:i4>0</vt:i4>
      </vt:variant>
      <vt:variant>
        <vt:i4>5</vt:i4>
      </vt:variant>
      <vt:variant>
        <vt:lpwstr/>
      </vt:variant>
      <vt:variant>
        <vt:lpwstr>_Toc134610395</vt:lpwstr>
      </vt:variant>
      <vt:variant>
        <vt:i4>1769527</vt:i4>
      </vt:variant>
      <vt:variant>
        <vt:i4>8</vt:i4>
      </vt:variant>
      <vt:variant>
        <vt:i4>0</vt:i4>
      </vt:variant>
      <vt:variant>
        <vt:i4>5</vt:i4>
      </vt:variant>
      <vt:variant>
        <vt:lpwstr/>
      </vt:variant>
      <vt:variant>
        <vt:lpwstr>_Toc134610394</vt:lpwstr>
      </vt:variant>
      <vt:variant>
        <vt:i4>1769527</vt:i4>
      </vt:variant>
      <vt:variant>
        <vt:i4>5</vt:i4>
      </vt:variant>
      <vt:variant>
        <vt:i4>0</vt:i4>
      </vt:variant>
      <vt:variant>
        <vt:i4>5</vt:i4>
      </vt:variant>
      <vt:variant>
        <vt:lpwstr/>
      </vt:variant>
      <vt:variant>
        <vt:lpwstr>_Toc134610393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2023-05-15T22:47:00Z</dcterms:created>
  <dcterms:modified xsi:type="dcterms:W3CDTF">2023-05-15T22:48:00Z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1021e704-5a5f-46f7-a396-b65d68e16eae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