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27C4C" w14:textId="5EB6778F" w:rsidR="00B718A7" w:rsidRPr="002249BA" w:rsidRDefault="00B718A7" w:rsidP="00B718A7">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2249BA">
        <w:rPr>
          <w:rFonts w:ascii="Arial" w:eastAsia="MS Mincho" w:hAnsi="Arial" w:cs="Arial"/>
          <w:b/>
        </w:rPr>
        <w:t>3GPP TSG-RAN WG4 Meeting #</w:t>
      </w:r>
      <w:r w:rsidRPr="002249BA">
        <w:rPr>
          <w:rFonts w:ascii="Arial" w:eastAsia="MS Mincho" w:hAnsi="Arial" w:cs="Arial"/>
          <w:sz w:val="20"/>
          <w:szCs w:val="20"/>
        </w:rPr>
        <w:t xml:space="preserve"> </w:t>
      </w:r>
      <w:r w:rsidRPr="002249BA">
        <w:rPr>
          <w:rFonts w:ascii="Arial" w:eastAsia="MS Mincho" w:hAnsi="Arial" w:cs="Arial"/>
          <w:b/>
        </w:rPr>
        <w:t>10</w:t>
      </w:r>
      <w:r>
        <w:rPr>
          <w:rFonts w:ascii="Arial" w:eastAsia="MS Mincho" w:hAnsi="Arial" w:cs="Arial"/>
          <w:b/>
        </w:rPr>
        <w:t>7</w:t>
      </w:r>
      <w:r w:rsidRPr="002249BA">
        <w:rPr>
          <w:rFonts w:ascii="Arial" w:eastAsia="MS Mincho" w:hAnsi="Arial" w:cs="Arial"/>
          <w:b/>
        </w:rPr>
        <w:tab/>
      </w:r>
      <w:r w:rsidRPr="00B718A7">
        <w:rPr>
          <w:rFonts w:ascii="Arial" w:eastAsia="MS Mincho" w:hAnsi="Arial" w:cs="Arial"/>
          <w:b/>
        </w:rPr>
        <w:t>R4-2309373</w:t>
      </w:r>
    </w:p>
    <w:p w14:paraId="7FA7379D" w14:textId="77777777" w:rsidR="00B718A7" w:rsidRPr="00062030" w:rsidRDefault="00B718A7" w:rsidP="00B718A7">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Incheon, Korea</w:t>
      </w:r>
      <w:r w:rsidRPr="00062030">
        <w:rPr>
          <w:rFonts w:ascii="Arial" w:eastAsia="SimSun" w:hAnsi="Arial" w:cs="Arial"/>
          <w:b/>
          <w:sz w:val="24"/>
          <w:szCs w:val="24"/>
          <w:lang w:eastAsia="zh-CN"/>
        </w:rPr>
        <w:t xml:space="preserve">, </w:t>
      </w:r>
      <w:r>
        <w:rPr>
          <w:rFonts w:ascii="Arial" w:eastAsia="SimSun" w:hAnsi="Arial" w:cs="Arial"/>
          <w:b/>
          <w:sz w:val="24"/>
          <w:szCs w:val="24"/>
          <w:lang w:eastAsia="zh-CN"/>
        </w:rPr>
        <w:t>May</w:t>
      </w:r>
      <w:r w:rsidRPr="00062030">
        <w:rPr>
          <w:rFonts w:ascii="Arial" w:eastAsia="SimSun" w:hAnsi="Arial" w:cs="Arial"/>
          <w:b/>
          <w:sz w:val="24"/>
          <w:szCs w:val="24"/>
          <w:lang w:eastAsia="zh-CN"/>
        </w:rPr>
        <w:t xml:space="preserve"> </w:t>
      </w:r>
      <w:r>
        <w:rPr>
          <w:rFonts w:ascii="Arial" w:eastAsia="SimSun" w:hAnsi="Arial" w:cs="Arial"/>
          <w:b/>
          <w:sz w:val="24"/>
          <w:szCs w:val="24"/>
          <w:lang w:eastAsia="zh-CN"/>
        </w:rPr>
        <w:t>22</w:t>
      </w:r>
      <w:r w:rsidRPr="00062030">
        <w:rPr>
          <w:rFonts w:ascii="Arial" w:eastAsia="SimSun" w:hAnsi="Arial" w:cs="Arial"/>
          <w:b/>
          <w:sz w:val="24"/>
          <w:szCs w:val="24"/>
          <w:lang w:eastAsia="zh-CN"/>
        </w:rPr>
        <w:t xml:space="preserve"> – </w:t>
      </w:r>
      <w:r>
        <w:rPr>
          <w:rFonts w:ascii="Arial" w:eastAsia="SimSun" w:hAnsi="Arial" w:cs="Arial"/>
          <w:b/>
          <w:sz w:val="24"/>
          <w:szCs w:val="24"/>
          <w:lang w:eastAsia="zh-CN"/>
        </w:rPr>
        <w:t>May</w:t>
      </w:r>
      <w:r w:rsidRPr="00062030">
        <w:rPr>
          <w:rFonts w:ascii="Arial" w:eastAsia="SimSun" w:hAnsi="Arial" w:cs="Arial"/>
          <w:b/>
          <w:sz w:val="24"/>
          <w:szCs w:val="24"/>
          <w:lang w:eastAsia="zh-CN"/>
        </w:rPr>
        <w:t xml:space="preserve"> 26, 2023</w:t>
      </w:r>
    </w:p>
    <w:p w14:paraId="2305CEA3" w14:textId="694229FC" w:rsidR="009F52D7" w:rsidRPr="00B718A7" w:rsidRDefault="009F52D7" w:rsidP="001715D4">
      <w:pPr>
        <w:pStyle w:val="CH"/>
        <w:spacing w:before="240"/>
        <w:rPr>
          <w:sz w:val="24"/>
          <w:szCs w:val="24"/>
          <w:lang w:val="en-US"/>
        </w:rPr>
      </w:pPr>
      <w:r w:rsidRPr="00B718A7">
        <w:rPr>
          <w:sz w:val="24"/>
          <w:szCs w:val="24"/>
          <w:lang w:val="en-US"/>
        </w:rPr>
        <w:t>Agenda item:</w:t>
      </w:r>
      <w:r w:rsidRPr="00B718A7">
        <w:rPr>
          <w:sz w:val="24"/>
          <w:szCs w:val="24"/>
          <w:lang w:val="en-US"/>
        </w:rPr>
        <w:tab/>
      </w:r>
      <w:r w:rsidR="00CE3B90" w:rsidRPr="00B718A7">
        <w:rPr>
          <w:sz w:val="24"/>
          <w:szCs w:val="24"/>
          <w:lang w:val="en-US"/>
        </w:rPr>
        <w:t>5.2.3.1</w:t>
      </w:r>
    </w:p>
    <w:p w14:paraId="30D50B86" w14:textId="77777777" w:rsidR="009F52D7" w:rsidRPr="00B718A7" w:rsidRDefault="009F52D7" w:rsidP="009F52D7">
      <w:pPr>
        <w:pStyle w:val="CH"/>
        <w:rPr>
          <w:sz w:val="24"/>
          <w:szCs w:val="24"/>
          <w:lang w:val="en-US"/>
        </w:rPr>
      </w:pPr>
      <w:r w:rsidRPr="00B718A7">
        <w:rPr>
          <w:sz w:val="24"/>
          <w:szCs w:val="24"/>
          <w:lang w:val="en-US"/>
        </w:rPr>
        <w:t>Source:</w:t>
      </w:r>
      <w:r w:rsidRPr="00B718A7">
        <w:rPr>
          <w:sz w:val="24"/>
          <w:szCs w:val="24"/>
          <w:lang w:val="en-US"/>
        </w:rPr>
        <w:tab/>
        <w:t>Apple Inc.</w:t>
      </w:r>
    </w:p>
    <w:p w14:paraId="7827D204" w14:textId="2E1AC37C" w:rsidR="009F52D7" w:rsidRPr="00B718A7" w:rsidRDefault="009F52D7" w:rsidP="00C94AC7">
      <w:pPr>
        <w:pStyle w:val="CH"/>
        <w:ind w:left="2250" w:hanging="2250"/>
        <w:rPr>
          <w:sz w:val="24"/>
          <w:szCs w:val="24"/>
          <w:lang w:val="en-US"/>
        </w:rPr>
      </w:pPr>
      <w:r w:rsidRPr="00B718A7">
        <w:rPr>
          <w:sz w:val="24"/>
          <w:szCs w:val="24"/>
          <w:lang w:val="en-US"/>
        </w:rPr>
        <w:t>Title:</w:t>
      </w:r>
      <w:r w:rsidRPr="00B718A7">
        <w:rPr>
          <w:sz w:val="24"/>
          <w:szCs w:val="24"/>
          <w:lang w:val="en-US"/>
        </w:rPr>
        <w:tab/>
      </w:r>
      <w:r w:rsidR="00CE3B90" w:rsidRPr="00B718A7">
        <w:rPr>
          <w:sz w:val="24"/>
          <w:szCs w:val="24"/>
          <w:lang w:val="en-US"/>
        </w:rPr>
        <w:t xml:space="preserve">On </w:t>
      </w:r>
      <w:proofErr w:type="spellStart"/>
      <w:r w:rsidR="00CE3B90" w:rsidRPr="00B718A7">
        <w:rPr>
          <w:sz w:val="24"/>
          <w:szCs w:val="24"/>
          <w:lang w:val="en-US"/>
        </w:rPr>
        <w:t>FeMIMO</w:t>
      </w:r>
      <w:proofErr w:type="spellEnd"/>
      <w:r w:rsidR="00CE3B90" w:rsidRPr="00B718A7">
        <w:rPr>
          <w:sz w:val="24"/>
          <w:szCs w:val="24"/>
          <w:lang w:val="en-US"/>
        </w:rPr>
        <w:t xml:space="preserve"> RRM Core Requirements</w:t>
      </w:r>
    </w:p>
    <w:p w14:paraId="2AB0E874" w14:textId="531E0CC2" w:rsidR="009F52D7" w:rsidRPr="00B718A7" w:rsidRDefault="009F52D7" w:rsidP="009F52D7">
      <w:pPr>
        <w:pStyle w:val="CH"/>
        <w:rPr>
          <w:sz w:val="24"/>
          <w:szCs w:val="24"/>
          <w:lang w:val="en-US"/>
        </w:rPr>
      </w:pPr>
      <w:r w:rsidRPr="00B718A7">
        <w:rPr>
          <w:sz w:val="24"/>
          <w:szCs w:val="24"/>
          <w:lang w:val="en-US"/>
        </w:rPr>
        <w:t>Release:</w:t>
      </w:r>
      <w:r w:rsidRPr="00B718A7">
        <w:rPr>
          <w:sz w:val="24"/>
          <w:szCs w:val="24"/>
          <w:lang w:val="en-US"/>
        </w:rPr>
        <w:tab/>
        <w:t>Rel-1</w:t>
      </w:r>
      <w:r w:rsidR="00626BDE" w:rsidRPr="00B718A7">
        <w:rPr>
          <w:sz w:val="24"/>
          <w:szCs w:val="24"/>
          <w:lang w:val="en-US"/>
        </w:rPr>
        <w:t>7</w:t>
      </w:r>
    </w:p>
    <w:p w14:paraId="5FD26D80" w14:textId="69E72605" w:rsidR="009F52D7" w:rsidRPr="00D037BE" w:rsidRDefault="009F52D7" w:rsidP="009F52D7">
      <w:pPr>
        <w:pStyle w:val="CH"/>
        <w:rPr>
          <w:sz w:val="24"/>
          <w:szCs w:val="24"/>
          <w:lang w:val="en-US"/>
        </w:rPr>
      </w:pPr>
      <w:r w:rsidRPr="00B718A7">
        <w:rPr>
          <w:sz w:val="24"/>
          <w:szCs w:val="24"/>
          <w:lang w:val="en-US"/>
        </w:rPr>
        <w:t>Document for:</w:t>
      </w:r>
      <w:r w:rsidRPr="00B718A7">
        <w:rPr>
          <w:sz w:val="24"/>
          <w:szCs w:val="24"/>
          <w:lang w:val="en-US"/>
        </w:rPr>
        <w:tab/>
      </w:r>
      <w:r w:rsidR="00AD261E" w:rsidRPr="00B718A7">
        <w:rPr>
          <w:sz w:val="24"/>
          <w:szCs w:val="24"/>
          <w:lang w:val="en-US"/>
        </w:rPr>
        <w:t>Discussion</w:t>
      </w:r>
    </w:p>
    <w:p w14:paraId="26BFACA8" w14:textId="77777777" w:rsidR="009F52D7" w:rsidRPr="00D037BE" w:rsidRDefault="009F52D7" w:rsidP="009F52D7">
      <w:pPr>
        <w:pStyle w:val="CH"/>
        <w:rPr>
          <w:lang w:val="en-US"/>
        </w:rPr>
      </w:pPr>
    </w:p>
    <w:p w14:paraId="7D03A8FD" w14:textId="77777777" w:rsidR="002249BA" w:rsidRPr="00D037BE" w:rsidRDefault="002249BA" w:rsidP="002249BA">
      <w:pPr>
        <w:pStyle w:val="Heading1"/>
        <w:rPr>
          <w:lang w:val="en-US"/>
        </w:rPr>
      </w:pPr>
      <w:r w:rsidRPr="00D037BE">
        <w:rPr>
          <w:lang w:val="en-US"/>
        </w:rPr>
        <w:t xml:space="preserve">1. Introduction </w:t>
      </w:r>
    </w:p>
    <w:p w14:paraId="1076DCC3" w14:textId="6F685176" w:rsidR="002249BA" w:rsidRPr="00D037BE" w:rsidRDefault="002249BA" w:rsidP="002249BA">
      <w:pPr>
        <w:spacing w:after="120"/>
        <w:rPr>
          <w:sz w:val="20"/>
          <w:szCs w:val="20"/>
        </w:rPr>
      </w:pPr>
      <w:r w:rsidRPr="00D037BE">
        <w:rPr>
          <w:sz w:val="20"/>
          <w:szCs w:val="20"/>
        </w:rPr>
        <w:t>In RAN4#10</w:t>
      </w:r>
      <w:r w:rsidR="00D46D5B">
        <w:rPr>
          <w:sz w:val="20"/>
          <w:szCs w:val="20"/>
        </w:rPr>
        <w:t>6</w:t>
      </w:r>
      <w:r w:rsidR="00A37048" w:rsidRPr="00D037BE">
        <w:rPr>
          <w:sz w:val="20"/>
          <w:szCs w:val="20"/>
        </w:rPr>
        <w:t xml:space="preserve"> </w:t>
      </w:r>
      <w:r w:rsidRPr="00D037BE">
        <w:rPr>
          <w:sz w:val="20"/>
          <w:szCs w:val="20"/>
        </w:rPr>
        <w:t xml:space="preserve">requirements for unified TCI framework and inter cell beam management were discussed and way forward [1] were agreed.  In this contribution we present our views on open issues on requirements for unified TCI </w:t>
      </w:r>
      <w:r w:rsidR="00D46D5B">
        <w:rPr>
          <w:sz w:val="20"/>
          <w:szCs w:val="20"/>
        </w:rPr>
        <w:t>framework.</w:t>
      </w:r>
      <w:r w:rsidRPr="00D037BE">
        <w:rPr>
          <w:sz w:val="20"/>
          <w:szCs w:val="20"/>
        </w:rPr>
        <w:t xml:space="preserve">   </w:t>
      </w:r>
    </w:p>
    <w:p w14:paraId="3AFFD937" w14:textId="77777777" w:rsidR="002249BA" w:rsidRPr="00D037BE" w:rsidRDefault="002249BA" w:rsidP="002249BA">
      <w:pPr>
        <w:pStyle w:val="Heading1"/>
        <w:rPr>
          <w:lang w:val="en-US"/>
        </w:rPr>
      </w:pPr>
      <w:r w:rsidRPr="00D037BE">
        <w:rPr>
          <w:lang w:val="en-US"/>
        </w:rPr>
        <w:t>2. Discussion</w:t>
      </w:r>
    </w:p>
    <w:p w14:paraId="043CEB8D" w14:textId="77777777" w:rsidR="002249BA" w:rsidRPr="00D037BE" w:rsidRDefault="002249BA" w:rsidP="002249BA">
      <w:pPr>
        <w:pStyle w:val="Heading2"/>
        <w:rPr>
          <w:lang w:val="en-US"/>
        </w:rPr>
      </w:pPr>
      <w:r w:rsidRPr="00D037BE">
        <w:rPr>
          <w:lang w:val="en-US"/>
        </w:rPr>
        <w:t>Unified TCI</w:t>
      </w:r>
    </w:p>
    <w:p w14:paraId="362A87EC" w14:textId="1CE56FED" w:rsidR="002249BA" w:rsidRPr="00D037BE" w:rsidRDefault="00A37048" w:rsidP="005B410D">
      <w:pPr>
        <w:spacing w:after="120"/>
        <w:rPr>
          <w:rFonts w:eastAsia="SimSun"/>
          <w:sz w:val="20"/>
          <w:szCs w:val="20"/>
          <w:lang w:eastAsia="en-GB"/>
        </w:rPr>
      </w:pPr>
      <w:r w:rsidRPr="00D037BE">
        <w:rPr>
          <w:rFonts w:eastAsia="SimSun"/>
          <w:sz w:val="20"/>
          <w:szCs w:val="20"/>
          <w:lang w:eastAsia="en-GB"/>
        </w:rPr>
        <w:t>In RAN4#105 many of the open issues related to unified TCI were resolved, and the following issues are still open:</w:t>
      </w:r>
    </w:p>
    <w:p w14:paraId="29039C7C" w14:textId="66D8A765" w:rsidR="00A37048" w:rsidRPr="00D037BE" w:rsidRDefault="00A37048" w:rsidP="00A37048">
      <w:pPr>
        <w:numPr>
          <w:ilvl w:val="1"/>
          <w:numId w:val="7"/>
        </w:numPr>
        <w:spacing w:after="120"/>
        <w:jc w:val="both"/>
        <w:rPr>
          <w:sz w:val="20"/>
          <w:szCs w:val="20"/>
        </w:rPr>
      </w:pPr>
      <w:r w:rsidRPr="00D037BE">
        <w:rPr>
          <w:sz w:val="20"/>
          <w:szCs w:val="20"/>
        </w:rPr>
        <w:t xml:space="preserve">UL time/frequency </w:t>
      </w:r>
      <w:r w:rsidR="00096420" w:rsidRPr="00D037BE">
        <w:rPr>
          <w:sz w:val="20"/>
          <w:szCs w:val="20"/>
        </w:rPr>
        <w:t>tracking of</w:t>
      </w:r>
      <w:r w:rsidRPr="00D037BE">
        <w:rPr>
          <w:sz w:val="20"/>
          <w:szCs w:val="20"/>
        </w:rPr>
        <w:t xml:space="preserve"> source RS in UL TCI state </w:t>
      </w:r>
      <w:r w:rsidR="00D46D5B">
        <w:rPr>
          <w:sz w:val="20"/>
          <w:szCs w:val="20"/>
        </w:rPr>
        <w:t>not in DL active TCI list</w:t>
      </w:r>
    </w:p>
    <w:p w14:paraId="5341BEE2" w14:textId="19D71747" w:rsidR="00A37048" w:rsidRPr="00D037BE" w:rsidRDefault="00A37048" w:rsidP="00A37048">
      <w:pPr>
        <w:numPr>
          <w:ilvl w:val="1"/>
          <w:numId w:val="7"/>
        </w:numPr>
        <w:spacing w:after="120"/>
        <w:jc w:val="both"/>
        <w:rPr>
          <w:sz w:val="20"/>
          <w:szCs w:val="20"/>
        </w:rPr>
      </w:pPr>
      <w:r w:rsidRPr="00D037BE">
        <w:rPr>
          <w:sz w:val="20"/>
          <w:szCs w:val="20"/>
        </w:rPr>
        <w:t xml:space="preserve">MAC-CE based UL TCI state switching delay when SSB is indicated as PL-RS in UL TCI state for </w:t>
      </w:r>
      <w:proofErr w:type="gramStart"/>
      <w:r w:rsidRPr="00D037BE">
        <w:rPr>
          <w:sz w:val="20"/>
          <w:szCs w:val="20"/>
        </w:rPr>
        <w:t>FR2</w:t>
      </w:r>
      <w:proofErr w:type="gramEnd"/>
    </w:p>
    <w:p w14:paraId="2AA1FC8E" w14:textId="6BA4AE85" w:rsidR="00A37048" w:rsidRPr="00D037BE" w:rsidRDefault="00A37048" w:rsidP="00A37048">
      <w:pPr>
        <w:numPr>
          <w:ilvl w:val="1"/>
          <w:numId w:val="7"/>
        </w:numPr>
        <w:spacing w:after="120"/>
        <w:jc w:val="both"/>
        <w:rPr>
          <w:sz w:val="20"/>
          <w:szCs w:val="20"/>
        </w:rPr>
      </w:pPr>
      <w:r w:rsidRPr="00D037BE">
        <w:rPr>
          <w:sz w:val="20"/>
          <w:szCs w:val="20"/>
        </w:rPr>
        <w:t>Definition of maintained PL-RS</w:t>
      </w:r>
    </w:p>
    <w:p w14:paraId="3FA9EFF5" w14:textId="77777777" w:rsidR="000319AB" w:rsidRDefault="000319AB" w:rsidP="000319AB">
      <w:pPr>
        <w:spacing w:after="120"/>
        <w:jc w:val="both"/>
        <w:rPr>
          <w:sz w:val="20"/>
          <w:szCs w:val="20"/>
        </w:rPr>
      </w:pPr>
    </w:p>
    <w:p w14:paraId="78FCB0D7" w14:textId="756754A1" w:rsidR="000319AB" w:rsidRPr="000319AB" w:rsidRDefault="000319AB" w:rsidP="00096420">
      <w:pPr>
        <w:spacing w:after="120"/>
        <w:jc w:val="both"/>
        <w:rPr>
          <w:b/>
          <w:bCs/>
          <w:sz w:val="22"/>
          <w:szCs w:val="22"/>
        </w:rPr>
      </w:pPr>
      <w:r w:rsidRPr="000319AB">
        <w:rPr>
          <w:b/>
          <w:bCs/>
          <w:sz w:val="22"/>
          <w:szCs w:val="22"/>
        </w:rPr>
        <w:t xml:space="preserve">UL time/frequency tracking of source RS in UL TCI state </w:t>
      </w:r>
    </w:p>
    <w:tbl>
      <w:tblPr>
        <w:tblStyle w:val="TableGrid"/>
        <w:tblW w:w="0" w:type="auto"/>
        <w:tblLook w:val="04A0" w:firstRow="1" w:lastRow="0" w:firstColumn="1" w:lastColumn="0" w:noHBand="0" w:noVBand="1"/>
      </w:tblPr>
      <w:tblGrid>
        <w:gridCol w:w="9350"/>
      </w:tblGrid>
      <w:tr w:rsidR="001C2DE3" w:rsidRPr="001C2DE3" w14:paraId="33574F65" w14:textId="77777777" w:rsidTr="001C2DE3">
        <w:tc>
          <w:tcPr>
            <w:tcW w:w="9350" w:type="dxa"/>
          </w:tcPr>
          <w:p w14:paraId="2BBCF77C" w14:textId="77777777" w:rsidR="001C2DE3" w:rsidRPr="001C2DE3" w:rsidRDefault="001C2DE3" w:rsidP="001C2DE3">
            <w:pPr>
              <w:spacing w:after="120"/>
              <w:rPr>
                <w:rFonts w:eastAsia="DengXian"/>
                <w:b/>
                <w:sz w:val="20"/>
                <w:szCs w:val="20"/>
                <w:u w:val="single"/>
                <w:lang w:eastAsia="zh-CN"/>
              </w:rPr>
            </w:pPr>
            <w:r w:rsidRPr="001C2DE3">
              <w:rPr>
                <w:rFonts w:eastAsia="DengXian"/>
                <w:b/>
                <w:sz w:val="20"/>
                <w:szCs w:val="20"/>
                <w:u w:val="single"/>
                <w:lang w:eastAsia="zh-CN"/>
              </w:rPr>
              <w:t xml:space="preserve">Issue 1-1-3 Whether </w:t>
            </w:r>
            <w:r w:rsidRPr="001C2DE3">
              <w:rPr>
                <w:rFonts w:eastAsia="SimSun"/>
                <w:b/>
                <w:bCs/>
                <w:sz w:val="20"/>
                <w:szCs w:val="20"/>
                <w:u w:val="single"/>
              </w:rPr>
              <w:t xml:space="preserve">UE need to track UL time/frequency </w:t>
            </w:r>
            <w:r w:rsidRPr="001C2DE3">
              <w:rPr>
                <w:rFonts w:eastAsia="DengXian"/>
                <w:b/>
                <w:sz w:val="20"/>
                <w:szCs w:val="20"/>
                <w:u w:val="single"/>
                <w:lang w:eastAsia="zh-CN"/>
              </w:rPr>
              <w:t xml:space="preserve">if source RS in UL TCI state is not in the DL active TCI </w:t>
            </w:r>
            <w:proofErr w:type="gramStart"/>
            <w:r w:rsidRPr="001C2DE3">
              <w:rPr>
                <w:rFonts w:eastAsia="DengXian"/>
                <w:b/>
                <w:sz w:val="20"/>
                <w:szCs w:val="20"/>
                <w:u w:val="single"/>
                <w:lang w:eastAsia="zh-CN"/>
              </w:rPr>
              <w:t>list</w:t>
            </w:r>
            <w:proofErr w:type="gramEnd"/>
          </w:p>
          <w:p w14:paraId="0B6F2B9D" w14:textId="77777777" w:rsidR="001C2DE3" w:rsidRPr="001C2DE3" w:rsidRDefault="001C2DE3" w:rsidP="001C2DE3">
            <w:pPr>
              <w:numPr>
                <w:ilvl w:val="0"/>
                <w:numId w:val="5"/>
              </w:numPr>
              <w:spacing w:after="120" w:line="259" w:lineRule="auto"/>
              <w:ind w:left="720"/>
              <w:rPr>
                <w:rFonts w:eastAsia="DengXian"/>
                <w:bCs/>
                <w:sz w:val="20"/>
                <w:szCs w:val="20"/>
                <w:lang w:eastAsia="zh-CN"/>
              </w:rPr>
            </w:pPr>
            <w:r w:rsidRPr="001C2DE3">
              <w:rPr>
                <w:rFonts w:eastAsia="DengXian"/>
                <w:bCs/>
                <w:sz w:val="20"/>
                <w:szCs w:val="20"/>
                <w:lang w:eastAsia="zh-CN"/>
              </w:rPr>
              <w:t>To be confirmed:</w:t>
            </w:r>
          </w:p>
          <w:p w14:paraId="1AAE7F53" w14:textId="62272877" w:rsidR="001C2DE3" w:rsidRPr="001C2DE3" w:rsidRDefault="001C2DE3" w:rsidP="001C2DE3">
            <w:pPr>
              <w:numPr>
                <w:ilvl w:val="1"/>
                <w:numId w:val="5"/>
              </w:numPr>
              <w:autoSpaceDN w:val="0"/>
              <w:spacing w:after="120" w:line="252" w:lineRule="auto"/>
              <w:rPr>
                <w:rFonts w:eastAsia="MS Mincho"/>
                <w:sz w:val="20"/>
                <w:szCs w:val="20"/>
              </w:rPr>
            </w:pPr>
            <w:r w:rsidRPr="001C2DE3">
              <w:rPr>
                <w:rFonts w:ascii="DengXian" w:eastAsia="DengXian" w:hAnsi="DengXian"/>
                <w:sz w:val="20"/>
                <w:szCs w:val="20"/>
                <w:lang w:eastAsia="zh-CN"/>
              </w:rPr>
              <w:t>[</w:t>
            </w:r>
            <w:r w:rsidRPr="001C2DE3">
              <w:rPr>
                <w:rFonts w:eastAsia="MS Mincho"/>
                <w:sz w:val="20"/>
                <w:szCs w:val="20"/>
              </w:rPr>
              <w:t>Do not define requirements for the case if source RS in UL TCI state is not in DL active TCI state list]</w:t>
            </w:r>
          </w:p>
        </w:tc>
      </w:tr>
    </w:tbl>
    <w:p w14:paraId="272D7171" w14:textId="77777777" w:rsidR="001C2DE3" w:rsidRDefault="001C2DE3" w:rsidP="00096420">
      <w:pPr>
        <w:spacing w:after="120"/>
        <w:jc w:val="both"/>
        <w:rPr>
          <w:sz w:val="20"/>
          <w:szCs w:val="20"/>
        </w:rPr>
      </w:pPr>
    </w:p>
    <w:p w14:paraId="7AB50C92" w14:textId="77777777" w:rsidR="001C2DE3" w:rsidRDefault="001C2DE3" w:rsidP="00096420">
      <w:pPr>
        <w:spacing w:after="120"/>
        <w:jc w:val="both"/>
        <w:rPr>
          <w:sz w:val="20"/>
          <w:szCs w:val="20"/>
        </w:rPr>
      </w:pPr>
    </w:p>
    <w:p w14:paraId="69DA49E7" w14:textId="19DFA96E" w:rsidR="00D46D5B" w:rsidRDefault="00D46D5B" w:rsidP="00096420">
      <w:pPr>
        <w:spacing w:after="120"/>
        <w:jc w:val="both"/>
        <w:rPr>
          <w:sz w:val="20"/>
          <w:szCs w:val="20"/>
        </w:rPr>
      </w:pPr>
      <w:r>
        <w:rPr>
          <w:sz w:val="20"/>
          <w:szCs w:val="20"/>
        </w:rPr>
        <w:t xml:space="preserve">Based on the discussion in the past meetings RAN4 couldn’t reach consensus if </w:t>
      </w:r>
      <w:r w:rsidRPr="00D46D5B">
        <w:rPr>
          <w:sz w:val="20"/>
          <w:szCs w:val="20"/>
        </w:rPr>
        <w:t>UL time/frequency tracking of source RS in UL TCI state</w:t>
      </w:r>
      <w:r>
        <w:rPr>
          <w:sz w:val="20"/>
          <w:szCs w:val="20"/>
        </w:rPr>
        <w:t xml:space="preserve"> is needed. The discussion was split between UL</w:t>
      </w:r>
      <w:r w:rsidR="001C2DE3">
        <w:rPr>
          <w:sz w:val="20"/>
          <w:szCs w:val="20"/>
        </w:rPr>
        <w:t xml:space="preserve"> source RS in DL and UL active TCI list, and the conclusion was that for RS in DL active TCI list, UE would track time/frequency, and FFS for RS in UL TCI. Since no conclusion could be reached, the only way forward is to not define any requirements for the case when RS in UL TCI state is not in active DL TCI state list. Hence, we propose to confirm the tentative agreement. </w:t>
      </w:r>
    </w:p>
    <w:p w14:paraId="530687DB" w14:textId="28BEE7A8" w:rsidR="001C2DE3" w:rsidRPr="001C2DE3" w:rsidRDefault="001C2DE3" w:rsidP="00096420">
      <w:pPr>
        <w:spacing w:after="120"/>
        <w:jc w:val="both"/>
        <w:rPr>
          <w:b/>
          <w:bCs/>
          <w:sz w:val="20"/>
          <w:szCs w:val="20"/>
        </w:rPr>
      </w:pPr>
      <w:r>
        <w:rPr>
          <w:b/>
          <w:bCs/>
          <w:sz w:val="20"/>
          <w:szCs w:val="20"/>
        </w:rPr>
        <w:t xml:space="preserve">Proposal #1: </w:t>
      </w:r>
      <w:r w:rsidRPr="001C2DE3">
        <w:rPr>
          <w:b/>
          <w:bCs/>
          <w:sz w:val="20"/>
          <w:szCs w:val="20"/>
        </w:rPr>
        <w:t>Do not define requirements for the case if source RS in UL TCI state is not in DL active TCI state list</w:t>
      </w:r>
      <w:r w:rsidR="00C429F7">
        <w:rPr>
          <w:b/>
          <w:bCs/>
          <w:sz w:val="20"/>
          <w:szCs w:val="20"/>
        </w:rPr>
        <w:t>.</w:t>
      </w:r>
    </w:p>
    <w:p w14:paraId="7E952511" w14:textId="4955FA22" w:rsidR="001C2DE3" w:rsidRDefault="001C2DE3" w:rsidP="00096420">
      <w:pPr>
        <w:spacing w:after="120"/>
        <w:jc w:val="both"/>
        <w:rPr>
          <w:sz w:val="20"/>
          <w:szCs w:val="20"/>
        </w:rPr>
      </w:pPr>
      <w:r>
        <w:rPr>
          <w:sz w:val="20"/>
          <w:szCs w:val="20"/>
        </w:rPr>
        <w:t>Our proposal is captured in our companion CR [2].</w:t>
      </w:r>
    </w:p>
    <w:p w14:paraId="31C01922" w14:textId="77777777" w:rsidR="001C2DE3" w:rsidRDefault="001C2DE3" w:rsidP="00096420">
      <w:pPr>
        <w:spacing w:after="120"/>
        <w:jc w:val="both"/>
        <w:rPr>
          <w:sz w:val="20"/>
          <w:szCs w:val="20"/>
        </w:rPr>
      </w:pPr>
    </w:p>
    <w:p w14:paraId="69374C20" w14:textId="77777777" w:rsidR="001C2DE3" w:rsidRDefault="001C2DE3" w:rsidP="00096420">
      <w:pPr>
        <w:spacing w:after="120"/>
        <w:jc w:val="both"/>
        <w:rPr>
          <w:sz w:val="20"/>
          <w:szCs w:val="20"/>
        </w:rPr>
      </w:pPr>
    </w:p>
    <w:p w14:paraId="1D0A71BE" w14:textId="66A45C06" w:rsidR="000319AB" w:rsidRPr="000319AB" w:rsidRDefault="000319AB" w:rsidP="00096420">
      <w:pPr>
        <w:spacing w:after="120"/>
        <w:jc w:val="both"/>
        <w:rPr>
          <w:b/>
          <w:bCs/>
          <w:sz w:val="22"/>
          <w:szCs w:val="22"/>
        </w:rPr>
      </w:pPr>
      <w:r w:rsidRPr="000319AB">
        <w:rPr>
          <w:b/>
          <w:bCs/>
          <w:sz w:val="22"/>
          <w:szCs w:val="22"/>
        </w:rPr>
        <w:lastRenderedPageBreak/>
        <w:t xml:space="preserve">MAC-CE based UL TCI state switching delay when SSB is indicated as PL-RS in UL TCI state for </w:t>
      </w:r>
      <w:proofErr w:type="gramStart"/>
      <w:r w:rsidRPr="000319AB">
        <w:rPr>
          <w:b/>
          <w:bCs/>
          <w:sz w:val="22"/>
          <w:szCs w:val="22"/>
        </w:rPr>
        <w:t>FR2</w:t>
      </w:r>
      <w:proofErr w:type="gramEnd"/>
    </w:p>
    <w:p w14:paraId="6158E397" w14:textId="1826A166" w:rsidR="00096420" w:rsidRDefault="004E5355" w:rsidP="00096420">
      <w:pPr>
        <w:spacing w:after="120"/>
        <w:jc w:val="both"/>
        <w:rPr>
          <w:sz w:val="20"/>
          <w:szCs w:val="20"/>
        </w:rPr>
      </w:pPr>
      <w:r>
        <w:rPr>
          <w:sz w:val="20"/>
          <w:szCs w:val="20"/>
        </w:rPr>
        <w:t xml:space="preserve">For </w:t>
      </w:r>
      <w:r w:rsidRPr="004E5355">
        <w:rPr>
          <w:sz w:val="20"/>
          <w:szCs w:val="20"/>
        </w:rPr>
        <w:t>MAC-CE based UL TCI state switching delay when SSB is indicated as PL-RS in UL TCI state for FR2</w:t>
      </w:r>
      <w:r>
        <w:rPr>
          <w:sz w:val="20"/>
          <w:szCs w:val="20"/>
        </w:rPr>
        <w:t>, the fowling options</w:t>
      </w:r>
      <w:r w:rsidR="00DD0FFF">
        <w:rPr>
          <w:sz w:val="20"/>
          <w:szCs w:val="20"/>
        </w:rPr>
        <w:t xml:space="preserve"> </w:t>
      </w:r>
      <w:r>
        <w:rPr>
          <w:sz w:val="20"/>
          <w:szCs w:val="20"/>
        </w:rPr>
        <w:t xml:space="preserve">were </w:t>
      </w:r>
      <w:r w:rsidR="00DD0FFF">
        <w:rPr>
          <w:sz w:val="20"/>
          <w:szCs w:val="20"/>
        </w:rPr>
        <w:t>discussed</w:t>
      </w:r>
      <w:r>
        <w:rPr>
          <w:sz w:val="20"/>
          <w:szCs w:val="20"/>
        </w:rPr>
        <w:t xml:space="preserve"> in [1]: </w:t>
      </w:r>
    </w:p>
    <w:p w14:paraId="2E50460A" w14:textId="77777777" w:rsidR="001C2DE3" w:rsidRPr="001C2DE3" w:rsidRDefault="001C2DE3" w:rsidP="001C2DE3">
      <w:pPr>
        <w:numPr>
          <w:ilvl w:val="1"/>
          <w:numId w:val="9"/>
        </w:numPr>
        <w:spacing w:after="120" w:line="259" w:lineRule="auto"/>
        <w:ind w:left="360"/>
        <w:rPr>
          <w:rFonts w:eastAsia="DengXian"/>
          <w:sz w:val="20"/>
          <w:szCs w:val="20"/>
          <w:lang w:eastAsia="zh-CN"/>
        </w:rPr>
      </w:pPr>
      <w:r w:rsidRPr="001C2DE3">
        <w:rPr>
          <w:rFonts w:eastAsia="DengXian"/>
          <w:sz w:val="20"/>
          <w:szCs w:val="20"/>
          <w:lang w:eastAsia="zh-CN"/>
        </w:rPr>
        <w:t>Proposal 1(Apple, Huawei, Samsung):</w:t>
      </w:r>
    </w:p>
    <w:p w14:paraId="589BB03E" w14:textId="77777777" w:rsidR="001C2DE3" w:rsidRPr="001C2DE3" w:rsidRDefault="001C2DE3" w:rsidP="001C2DE3">
      <w:pPr>
        <w:numPr>
          <w:ilvl w:val="2"/>
          <w:numId w:val="5"/>
        </w:numPr>
        <w:spacing w:after="120" w:line="259" w:lineRule="auto"/>
        <w:ind w:left="1080"/>
        <w:rPr>
          <w:rFonts w:eastAsia="MS Mincho"/>
          <w:iCs/>
          <w:sz w:val="20"/>
          <w:szCs w:val="20"/>
          <w:lang w:eastAsia="zh-CN"/>
        </w:rPr>
      </w:pPr>
      <w:r w:rsidRPr="001C2DE3">
        <w:rPr>
          <w:rFonts w:eastAsia="MS Mincho"/>
          <w:iCs/>
          <w:sz w:val="20"/>
          <w:szCs w:val="20"/>
          <w:lang w:eastAsia="zh-CN"/>
        </w:rPr>
        <w:t>When PL-RS in UL TCI state switch is SSB in FR2, longer delay is expected.</w:t>
      </w:r>
    </w:p>
    <w:p w14:paraId="67C526B8" w14:textId="77777777" w:rsidR="001C2DE3" w:rsidRPr="001C2DE3" w:rsidRDefault="001C2DE3" w:rsidP="001C2DE3">
      <w:pPr>
        <w:numPr>
          <w:ilvl w:val="2"/>
          <w:numId w:val="5"/>
        </w:numPr>
        <w:spacing w:after="120" w:line="259" w:lineRule="auto"/>
        <w:ind w:left="1080"/>
        <w:rPr>
          <w:rFonts w:eastAsia="MS Mincho"/>
          <w:iCs/>
          <w:sz w:val="20"/>
          <w:szCs w:val="20"/>
          <w:lang w:eastAsia="zh-CN"/>
        </w:rPr>
      </w:pPr>
      <w:r w:rsidRPr="001C2DE3">
        <w:rPr>
          <w:rFonts w:eastAsia="MS Mincho"/>
          <w:iCs/>
          <w:sz w:val="20"/>
          <w:szCs w:val="20"/>
          <w:lang w:eastAsia="zh-CN"/>
        </w:rPr>
        <w:t>If no consensus can be achieved in RAN4, no requirements are defined for this case.</w:t>
      </w:r>
    </w:p>
    <w:p w14:paraId="116B45C6" w14:textId="77777777" w:rsidR="001C2DE3" w:rsidRPr="001C2DE3" w:rsidRDefault="001C2DE3" w:rsidP="001C2DE3">
      <w:pPr>
        <w:numPr>
          <w:ilvl w:val="1"/>
          <w:numId w:val="9"/>
        </w:numPr>
        <w:spacing w:after="120" w:line="259" w:lineRule="auto"/>
        <w:ind w:left="360"/>
        <w:rPr>
          <w:rFonts w:eastAsia="DengXian"/>
          <w:sz w:val="20"/>
          <w:szCs w:val="20"/>
          <w:lang w:eastAsia="zh-CN"/>
        </w:rPr>
      </w:pPr>
      <w:r w:rsidRPr="001C2DE3">
        <w:rPr>
          <w:rFonts w:eastAsia="DengXian"/>
          <w:sz w:val="20"/>
          <w:szCs w:val="20"/>
          <w:lang w:eastAsia="zh-CN"/>
        </w:rPr>
        <w:t>Proposal 2(</w:t>
      </w:r>
      <w:proofErr w:type="spellStart"/>
      <w:proofErr w:type="gramStart"/>
      <w:r w:rsidRPr="001C2DE3">
        <w:rPr>
          <w:rFonts w:eastAsia="DengXian"/>
          <w:sz w:val="20"/>
          <w:szCs w:val="20"/>
          <w:lang w:eastAsia="zh-CN"/>
        </w:rPr>
        <w:t>MTK,vivo</w:t>
      </w:r>
      <w:proofErr w:type="spellEnd"/>
      <w:proofErr w:type="gramEnd"/>
      <w:r w:rsidRPr="001C2DE3">
        <w:rPr>
          <w:rFonts w:eastAsia="DengXian"/>
          <w:sz w:val="20"/>
          <w:szCs w:val="20"/>
          <w:lang w:eastAsia="zh-CN"/>
        </w:rPr>
        <w:t xml:space="preserve">): </w:t>
      </w:r>
    </w:p>
    <w:p w14:paraId="5B608A1B" w14:textId="77777777" w:rsidR="001C2DE3" w:rsidRPr="001C2DE3" w:rsidRDefault="001C2DE3" w:rsidP="001C2DE3">
      <w:pPr>
        <w:numPr>
          <w:ilvl w:val="2"/>
          <w:numId w:val="5"/>
        </w:numPr>
        <w:spacing w:after="120" w:line="259" w:lineRule="auto"/>
        <w:ind w:left="1080"/>
        <w:rPr>
          <w:rFonts w:eastAsia="MS Mincho"/>
          <w:iCs/>
          <w:sz w:val="20"/>
          <w:szCs w:val="20"/>
          <w:lang w:eastAsia="zh-CN"/>
        </w:rPr>
      </w:pPr>
      <w:r w:rsidRPr="001C2DE3">
        <w:rPr>
          <w:rFonts w:eastAsia="MS Mincho"/>
          <w:iCs/>
          <w:sz w:val="20"/>
          <w:szCs w:val="20"/>
          <w:lang w:eastAsia="zh-CN"/>
        </w:rPr>
        <w:t>Reuse the existing delay requirement of MAC CE based UL TCI state switch.</w:t>
      </w:r>
    </w:p>
    <w:p w14:paraId="219F0B19" w14:textId="77777777" w:rsidR="001C2DE3" w:rsidRPr="001C2DE3" w:rsidRDefault="001C2DE3" w:rsidP="001C2DE3">
      <w:pPr>
        <w:numPr>
          <w:ilvl w:val="1"/>
          <w:numId w:val="9"/>
        </w:numPr>
        <w:spacing w:after="120" w:line="259" w:lineRule="auto"/>
        <w:ind w:left="360"/>
        <w:rPr>
          <w:rFonts w:eastAsia="DengXian"/>
          <w:sz w:val="20"/>
          <w:szCs w:val="20"/>
          <w:lang w:eastAsia="zh-CN"/>
        </w:rPr>
      </w:pPr>
      <w:r w:rsidRPr="001C2DE3">
        <w:rPr>
          <w:rFonts w:eastAsia="DengXian"/>
          <w:sz w:val="20"/>
          <w:szCs w:val="20"/>
          <w:lang w:eastAsia="zh-CN"/>
        </w:rPr>
        <w:t>Proposal 3(ZTE):</w:t>
      </w:r>
    </w:p>
    <w:p w14:paraId="6D797706" w14:textId="77777777" w:rsidR="001C2DE3" w:rsidRPr="001C2DE3" w:rsidRDefault="001C2DE3" w:rsidP="001C2DE3">
      <w:pPr>
        <w:numPr>
          <w:ilvl w:val="2"/>
          <w:numId w:val="5"/>
        </w:numPr>
        <w:spacing w:after="120" w:line="259" w:lineRule="auto"/>
        <w:ind w:left="1080"/>
        <w:rPr>
          <w:rFonts w:eastAsia="MS Mincho"/>
          <w:iCs/>
          <w:sz w:val="20"/>
          <w:szCs w:val="20"/>
          <w:lang w:eastAsia="zh-CN"/>
        </w:rPr>
      </w:pPr>
      <w:r w:rsidRPr="001C2DE3">
        <w:rPr>
          <w:rFonts w:eastAsia="MS Mincho"/>
          <w:iCs/>
          <w:sz w:val="20"/>
          <w:szCs w:val="20"/>
          <w:lang w:eastAsia="zh-CN"/>
        </w:rPr>
        <w:t xml:space="preserve">Prefer to reuse the existing delay requirement of MAC CE based UL TCI state switch. </w:t>
      </w:r>
      <w:proofErr w:type="gramStart"/>
      <w:r w:rsidRPr="001C2DE3">
        <w:rPr>
          <w:rFonts w:eastAsia="MS Mincho"/>
          <w:iCs/>
          <w:sz w:val="20"/>
          <w:szCs w:val="20"/>
          <w:lang w:eastAsia="zh-CN"/>
        </w:rPr>
        <w:t>However</w:t>
      </w:r>
      <w:proofErr w:type="gramEnd"/>
      <w:r w:rsidRPr="001C2DE3">
        <w:rPr>
          <w:rFonts w:eastAsia="MS Mincho"/>
          <w:iCs/>
          <w:sz w:val="20"/>
          <w:szCs w:val="20"/>
          <w:lang w:eastAsia="zh-CN"/>
        </w:rPr>
        <w:t xml:space="preserve"> to move forward, a compromised solution is needed, e.g. allowing a clear but not too long additional latency.</w:t>
      </w:r>
    </w:p>
    <w:p w14:paraId="67D8232E" w14:textId="77777777" w:rsidR="001C2DE3" w:rsidRPr="001C2DE3" w:rsidRDefault="001C2DE3" w:rsidP="001C2DE3">
      <w:pPr>
        <w:numPr>
          <w:ilvl w:val="1"/>
          <w:numId w:val="9"/>
        </w:numPr>
        <w:spacing w:after="120" w:line="259" w:lineRule="auto"/>
        <w:ind w:left="360"/>
        <w:rPr>
          <w:rFonts w:eastAsia="DengXian"/>
          <w:sz w:val="20"/>
          <w:szCs w:val="20"/>
          <w:lang w:eastAsia="zh-CN"/>
        </w:rPr>
      </w:pPr>
      <w:r w:rsidRPr="001C2DE3">
        <w:rPr>
          <w:rFonts w:eastAsia="DengXian"/>
          <w:sz w:val="20"/>
          <w:szCs w:val="20"/>
          <w:lang w:eastAsia="zh-CN"/>
        </w:rPr>
        <w:t>Proposal</w:t>
      </w:r>
      <w:r w:rsidRPr="001C2DE3">
        <w:rPr>
          <w:rFonts w:eastAsia="DengXian"/>
          <w:bCs/>
          <w:sz w:val="20"/>
          <w:szCs w:val="20"/>
          <w:lang w:eastAsia="zh-CN"/>
        </w:rPr>
        <w:t xml:space="preserve"> </w:t>
      </w:r>
      <w:r w:rsidRPr="001C2DE3">
        <w:rPr>
          <w:rFonts w:eastAsia="DengXian"/>
          <w:sz w:val="20"/>
          <w:szCs w:val="20"/>
          <w:lang w:eastAsia="zh-CN"/>
        </w:rPr>
        <w:t>4(Nokia):</w:t>
      </w:r>
    </w:p>
    <w:p w14:paraId="69CA7B3E" w14:textId="77777777" w:rsidR="001C2DE3" w:rsidRPr="001C2DE3" w:rsidRDefault="001C2DE3" w:rsidP="001C2DE3">
      <w:pPr>
        <w:numPr>
          <w:ilvl w:val="2"/>
          <w:numId w:val="5"/>
        </w:numPr>
        <w:spacing w:after="120" w:line="259" w:lineRule="auto"/>
        <w:ind w:left="1080"/>
        <w:rPr>
          <w:rFonts w:eastAsia="MS Mincho"/>
          <w:sz w:val="20"/>
          <w:szCs w:val="20"/>
          <w:lang w:eastAsia="zh-CN"/>
        </w:rPr>
      </w:pPr>
      <w:r w:rsidRPr="001C2DE3">
        <w:rPr>
          <w:rFonts w:eastAsia="MS Mincho"/>
          <w:sz w:val="20"/>
          <w:szCs w:val="20"/>
          <w:lang w:eastAsia="zh-CN"/>
        </w:rPr>
        <w:t>There is no need for beam sweeping for PL-RS measurements in FR2 if the PL-RS is SSB (assuming UE is having no more than 4 different PL-RS).</w:t>
      </w:r>
    </w:p>
    <w:p w14:paraId="17E6EA12" w14:textId="77777777" w:rsidR="001C2DE3" w:rsidRPr="001C2DE3" w:rsidRDefault="001C2DE3" w:rsidP="001C2DE3">
      <w:pPr>
        <w:numPr>
          <w:ilvl w:val="2"/>
          <w:numId w:val="5"/>
        </w:numPr>
        <w:spacing w:after="120" w:line="259" w:lineRule="auto"/>
        <w:ind w:left="1080"/>
        <w:rPr>
          <w:rFonts w:eastAsia="MS Mincho"/>
          <w:sz w:val="20"/>
          <w:szCs w:val="20"/>
          <w:lang w:eastAsia="zh-CN"/>
        </w:rPr>
      </w:pPr>
      <w:r w:rsidRPr="001C2DE3">
        <w:rPr>
          <w:rFonts w:eastAsia="MS Mincho"/>
          <w:sz w:val="20"/>
          <w:szCs w:val="20"/>
          <w:lang w:eastAsia="zh-CN"/>
        </w:rPr>
        <w:t>RAN4 does not discuss UE requirements for the scenario where the UE is configured with more than 4 different PL-RS for all active UL (or joint) TCI states.</w:t>
      </w:r>
    </w:p>
    <w:p w14:paraId="10AE6146" w14:textId="77777777" w:rsidR="001C2DE3" w:rsidRPr="001C2DE3" w:rsidRDefault="001C2DE3" w:rsidP="001C2DE3">
      <w:pPr>
        <w:numPr>
          <w:ilvl w:val="2"/>
          <w:numId w:val="5"/>
        </w:numPr>
        <w:spacing w:after="120" w:line="259" w:lineRule="auto"/>
        <w:ind w:left="1080"/>
        <w:rPr>
          <w:rFonts w:eastAsia="MS Mincho"/>
          <w:sz w:val="20"/>
          <w:szCs w:val="20"/>
          <w:lang w:eastAsia="zh-CN"/>
        </w:rPr>
      </w:pPr>
      <w:r w:rsidRPr="001C2DE3">
        <w:rPr>
          <w:rFonts w:eastAsia="MS Mincho"/>
          <w:sz w:val="20"/>
          <w:szCs w:val="20"/>
          <w:lang w:eastAsia="zh-CN"/>
        </w:rPr>
        <w:t xml:space="preserve">There is no need for any additional measurements or beam sweeping at UL TCI state switch if the associated PL-RS is maintained by the UE. </w:t>
      </w:r>
    </w:p>
    <w:p w14:paraId="0CD67EC5" w14:textId="77777777" w:rsidR="001C2DE3" w:rsidRPr="001C2DE3" w:rsidRDefault="001C2DE3" w:rsidP="001C2DE3">
      <w:pPr>
        <w:numPr>
          <w:ilvl w:val="2"/>
          <w:numId w:val="5"/>
        </w:numPr>
        <w:spacing w:after="120" w:line="259" w:lineRule="auto"/>
        <w:ind w:left="1080"/>
        <w:rPr>
          <w:rFonts w:eastAsia="MS Mincho"/>
          <w:sz w:val="20"/>
          <w:szCs w:val="20"/>
          <w:lang w:eastAsia="zh-CN"/>
        </w:rPr>
      </w:pPr>
      <w:r w:rsidRPr="001C2DE3">
        <w:rPr>
          <w:rFonts w:eastAsia="MS Mincho"/>
          <w:sz w:val="20"/>
          <w:szCs w:val="20"/>
          <w:lang w:eastAsia="zh-CN"/>
        </w:rPr>
        <w:t xml:space="preserve">The number of samples will not always be fixed as 5 samples when PL-RS is not maintained. </w:t>
      </w:r>
    </w:p>
    <w:p w14:paraId="1BC9F1DB" w14:textId="77777777" w:rsidR="001C2DE3" w:rsidRPr="001C2DE3" w:rsidRDefault="001C2DE3" w:rsidP="001C2DE3">
      <w:pPr>
        <w:numPr>
          <w:ilvl w:val="2"/>
          <w:numId w:val="5"/>
        </w:numPr>
        <w:spacing w:after="120" w:line="259" w:lineRule="auto"/>
        <w:ind w:left="1080"/>
        <w:rPr>
          <w:rFonts w:eastAsia="MS Mincho"/>
          <w:sz w:val="20"/>
          <w:szCs w:val="20"/>
          <w:lang w:val="en-GB" w:eastAsia="zh-CN"/>
        </w:rPr>
      </w:pPr>
      <w:r w:rsidRPr="001C2DE3">
        <w:rPr>
          <w:rFonts w:eastAsia="MS Mincho"/>
          <w:sz w:val="20"/>
          <w:szCs w:val="20"/>
          <w:lang w:eastAsia="zh-CN"/>
        </w:rPr>
        <w:t>RAN4 to add [] around the number of samples needed if NM=1.</w:t>
      </w:r>
    </w:p>
    <w:p w14:paraId="1247D64E" w14:textId="68F52E9F" w:rsidR="004E5355" w:rsidRDefault="004E5355" w:rsidP="00096420">
      <w:pPr>
        <w:spacing w:after="120"/>
        <w:jc w:val="both"/>
        <w:rPr>
          <w:sz w:val="20"/>
          <w:szCs w:val="20"/>
        </w:rPr>
      </w:pPr>
    </w:p>
    <w:p w14:paraId="41B09CA9" w14:textId="5CACC922" w:rsidR="004E5355" w:rsidRPr="00E47316" w:rsidRDefault="004E5355" w:rsidP="004E5355">
      <w:pPr>
        <w:spacing w:after="120"/>
        <w:rPr>
          <w:sz w:val="20"/>
          <w:szCs w:val="20"/>
        </w:rPr>
      </w:pPr>
      <w:r w:rsidRPr="00942D5C">
        <w:rPr>
          <w:sz w:val="20"/>
          <w:szCs w:val="20"/>
        </w:rPr>
        <w:t>The switching delay for UL TCI state switch when SSB is indicated as PL-RS in UL TCI state in FR2 is FFS. When L1 measurement is based on SSB in FR2, we always allow time for RX beam sweeping. If PL-RS is not maintained by the UE, then additional time is needed for pathloss measurement. If the indicated PL-RS is SSB in FR2, then the measurement time should also account for RX beam sweep time. Hence, we propose to include that additional delay is expected when SSB is PL-RS in UL TCI state switch in FR2.</w:t>
      </w:r>
      <w:r>
        <w:rPr>
          <w:sz w:val="20"/>
          <w:szCs w:val="20"/>
        </w:rPr>
        <w:t xml:space="preserve"> If no consensus is reached in RAN4, we suggest that no requirements are defined for this case.  </w:t>
      </w:r>
    </w:p>
    <w:p w14:paraId="7FFF675E" w14:textId="03D8AB23" w:rsidR="004E5355" w:rsidRPr="002045D3" w:rsidRDefault="004E5355" w:rsidP="004E5355">
      <w:pPr>
        <w:spacing w:after="120"/>
        <w:rPr>
          <w:b/>
          <w:bCs/>
          <w:sz w:val="20"/>
          <w:szCs w:val="20"/>
        </w:rPr>
      </w:pPr>
      <w:r w:rsidRPr="002045D3">
        <w:rPr>
          <w:b/>
          <w:bCs/>
          <w:sz w:val="20"/>
          <w:szCs w:val="20"/>
        </w:rPr>
        <w:t>Proposal #</w:t>
      </w:r>
      <w:r w:rsidR="009D66D1">
        <w:rPr>
          <w:b/>
          <w:bCs/>
          <w:sz w:val="20"/>
          <w:szCs w:val="20"/>
        </w:rPr>
        <w:t>2</w:t>
      </w:r>
      <w:r w:rsidRPr="002045D3">
        <w:rPr>
          <w:b/>
          <w:bCs/>
          <w:sz w:val="20"/>
          <w:szCs w:val="20"/>
        </w:rPr>
        <w:t>: When PL-RS in UL TCI state switch is SSB in FR2, longer delay is expected.</w:t>
      </w:r>
    </w:p>
    <w:p w14:paraId="042D7A63" w14:textId="29ABE471" w:rsidR="004E5355" w:rsidRDefault="004E5355" w:rsidP="004E5355">
      <w:pPr>
        <w:spacing w:after="120"/>
        <w:rPr>
          <w:b/>
          <w:bCs/>
          <w:sz w:val="20"/>
          <w:szCs w:val="20"/>
        </w:rPr>
      </w:pPr>
      <w:r w:rsidRPr="002C71F7">
        <w:rPr>
          <w:b/>
          <w:bCs/>
          <w:sz w:val="20"/>
          <w:szCs w:val="20"/>
        </w:rPr>
        <w:t>Proposal #</w:t>
      </w:r>
      <w:r w:rsidR="009D66D1">
        <w:rPr>
          <w:b/>
          <w:bCs/>
          <w:sz w:val="20"/>
          <w:szCs w:val="20"/>
        </w:rPr>
        <w:t>3</w:t>
      </w:r>
      <w:r w:rsidRPr="002C71F7">
        <w:rPr>
          <w:b/>
          <w:bCs/>
          <w:sz w:val="20"/>
          <w:szCs w:val="20"/>
        </w:rPr>
        <w:t xml:space="preserve">: </w:t>
      </w:r>
      <w:r>
        <w:rPr>
          <w:b/>
          <w:bCs/>
          <w:sz w:val="20"/>
          <w:szCs w:val="20"/>
        </w:rPr>
        <w:t>If no consensus is reached in RAN4 for SSB based PL-RS measurement in FR2, no requirements are defined for this case</w:t>
      </w:r>
      <w:r w:rsidRPr="002C71F7">
        <w:rPr>
          <w:b/>
          <w:bCs/>
          <w:sz w:val="20"/>
          <w:szCs w:val="20"/>
        </w:rPr>
        <w:t>.</w:t>
      </w:r>
    </w:p>
    <w:p w14:paraId="6017A178" w14:textId="77777777" w:rsidR="009D66D1" w:rsidRDefault="009D66D1" w:rsidP="009D66D1">
      <w:pPr>
        <w:spacing w:after="120"/>
        <w:jc w:val="both"/>
        <w:rPr>
          <w:sz w:val="20"/>
          <w:szCs w:val="20"/>
        </w:rPr>
      </w:pPr>
      <w:r>
        <w:rPr>
          <w:sz w:val="20"/>
          <w:szCs w:val="20"/>
        </w:rPr>
        <w:t>Our proposal is captured in our companion CR [2].</w:t>
      </w:r>
    </w:p>
    <w:p w14:paraId="199F03A9" w14:textId="77777777" w:rsidR="009D66D1" w:rsidRPr="002045D3" w:rsidRDefault="009D66D1" w:rsidP="004E5355">
      <w:pPr>
        <w:spacing w:after="120"/>
        <w:rPr>
          <w:b/>
          <w:bCs/>
          <w:sz w:val="20"/>
          <w:szCs w:val="20"/>
        </w:rPr>
      </w:pPr>
    </w:p>
    <w:p w14:paraId="0B24D371" w14:textId="5DA26C65" w:rsidR="00A64241" w:rsidRPr="000319AB" w:rsidRDefault="00A64241" w:rsidP="00096420">
      <w:pPr>
        <w:spacing w:after="120"/>
        <w:jc w:val="both"/>
        <w:rPr>
          <w:b/>
          <w:bCs/>
          <w:sz w:val="22"/>
          <w:szCs w:val="22"/>
        </w:rPr>
      </w:pPr>
      <w:r w:rsidRPr="000319AB">
        <w:rPr>
          <w:b/>
          <w:bCs/>
          <w:sz w:val="22"/>
          <w:szCs w:val="22"/>
        </w:rPr>
        <w:t>Definition of maintained PL-RS.</w:t>
      </w:r>
    </w:p>
    <w:p w14:paraId="3B254D36" w14:textId="4653FB61" w:rsidR="00A64241" w:rsidRDefault="00A64241" w:rsidP="00096420">
      <w:pPr>
        <w:spacing w:after="120"/>
        <w:jc w:val="both"/>
        <w:rPr>
          <w:sz w:val="20"/>
          <w:szCs w:val="20"/>
        </w:rPr>
      </w:pPr>
      <w:r>
        <w:rPr>
          <w:sz w:val="20"/>
          <w:szCs w:val="20"/>
        </w:rPr>
        <w:t xml:space="preserve">The definition of maintained PL-RS was </w:t>
      </w:r>
      <w:r w:rsidR="00C429F7">
        <w:rPr>
          <w:sz w:val="20"/>
          <w:szCs w:val="20"/>
        </w:rPr>
        <w:t>discussed, but not agreed. Based on the discussion in the last meeting, we</w:t>
      </w:r>
      <w:r>
        <w:rPr>
          <w:sz w:val="20"/>
          <w:szCs w:val="20"/>
        </w:rPr>
        <w:t xml:space="preserve"> propose </w:t>
      </w:r>
      <w:r w:rsidR="00C429F7">
        <w:rPr>
          <w:sz w:val="20"/>
          <w:szCs w:val="20"/>
        </w:rPr>
        <w:t>the following definition for maintained PL-RS</w:t>
      </w:r>
      <w:r w:rsidR="000319AB">
        <w:rPr>
          <w:sz w:val="20"/>
          <w:szCs w:val="20"/>
        </w:rPr>
        <w:t>:</w:t>
      </w:r>
    </w:p>
    <w:p w14:paraId="588EC6E7" w14:textId="77777777" w:rsidR="00C429F7" w:rsidRPr="00C429F7" w:rsidRDefault="00C429F7" w:rsidP="00C429F7">
      <w:pPr>
        <w:overflowPunct w:val="0"/>
        <w:autoSpaceDE w:val="0"/>
        <w:autoSpaceDN w:val="0"/>
        <w:adjustRightInd w:val="0"/>
        <w:spacing w:after="180"/>
        <w:ind w:left="568" w:hanging="284"/>
        <w:textAlignment w:val="baseline"/>
        <w:rPr>
          <w:sz w:val="20"/>
          <w:szCs w:val="20"/>
          <w:lang w:val="en-GB" w:eastAsia="zh-CN"/>
        </w:rPr>
      </w:pPr>
      <w:r w:rsidRPr="00C429F7">
        <w:rPr>
          <w:sz w:val="20"/>
          <w:szCs w:val="20"/>
          <w:lang w:val="en-GB" w:eastAsia="en-GB"/>
        </w:rPr>
        <w:t>-</w:t>
      </w:r>
      <w:r w:rsidRPr="00C429F7">
        <w:rPr>
          <w:sz w:val="20"/>
          <w:szCs w:val="20"/>
          <w:lang w:val="en-GB" w:eastAsia="en-GB"/>
        </w:rPr>
        <w:tab/>
        <w:t xml:space="preserve">PL-RS is maintained provided: </w:t>
      </w:r>
    </w:p>
    <w:p w14:paraId="7871671A" w14:textId="77777777" w:rsidR="00C429F7" w:rsidRPr="00C429F7" w:rsidRDefault="00C429F7" w:rsidP="00C429F7">
      <w:pPr>
        <w:overflowPunct w:val="0"/>
        <w:autoSpaceDE w:val="0"/>
        <w:autoSpaceDN w:val="0"/>
        <w:adjustRightInd w:val="0"/>
        <w:spacing w:after="180"/>
        <w:ind w:left="851" w:hanging="284"/>
        <w:textAlignment w:val="baseline"/>
        <w:rPr>
          <w:sz w:val="20"/>
          <w:szCs w:val="20"/>
          <w:lang w:val="en-GB" w:eastAsia="en-GB"/>
        </w:rPr>
      </w:pPr>
      <w:r w:rsidRPr="00C429F7">
        <w:rPr>
          <w:sz w:val="20"/>
          <w:szCs w:val="20"/>
          <w:lang w:val="en-GB" w:eastAsia="en-GB"/>
        </w:rPr>
        <w:t>-</w:t>
      </w:r>
      <w:r w:rsidRPr="00C429F7">
        <w:rPr>
          <w:sz w:val="20"/>
          <w:szCs w:val="20"/>
          <w:lang w:val="en-GB" w:eastAsia="en-GB"/>
        </w:rPr>
        <w:tab/>
        <w:t>the target PL-RS is associated with or included in the UL or joint TCI states in the active TCI list for PUSCH/PUCCH/SRS transmissions</w:t>
      </w:r>
    </w:p>
    <w:p w14:paraId="318D52D2" w14:textId="77777777" w:rsidR="00C429F7" w:rsidRPr="00C429F7" w:rsidRDefault="00C429F7" w:rsidP="00C429F7">
      <w:pPr>
        <w:overflowPunct w:val="0"/>
        <w:autoSpaceDE w:val="0"/>
        <w:autoSpaceDN w:val="0"/>
        <w:adjustRightInd w:val="0"/>
        <w:spacing w:after="180"/>
        <w:ind w:left="851" w:hanging="284"/>
        <w:textAlignment w:val="baseline"/>
        <w:rPr>
          <w:sz w:val="20"/>
          <w:szCs w:val="20"/>
          <w:lang w:val="en-GB" w:eastAsia="en-GB"/>
        </w:rPr>
      </w:pPr>
      <w:r w:rsidRPr="00C429F7">
        <w:rPr>
          <w:sz w:val="20"/>
          <w:szCs w:val="20"/>
          <w:lang w:val="en-GB" w:eastAsia="en-GB"/>
        </w:rPr>
        <w:lastRenderedPageBreak/>
        <w:t>-</w:t>
      </w:r>
      <w:r w:rsidRPr="00C429F7">
        <w:rPr>
          <w:sz w:val="20"/>
          <w:szCs w:val="20"/>
          <w:lang w:val="en-GB" w:eastAsia="en-GB"/>
        </w:rPr>
        <w:tab/>
        <w:t>There are no more than 4 different RS configured as PL-RS per serving cell for all active UL TCI states (UL or joint TCI state) for PUSCH/PUCCH/SRS transmissions</w:t>
      </w:r>
    </w:p>
    <w:p w14:paraId="15AF1E3B" w14:textId="77777777" w:rsidR="00C429F7" w:rsidRPr="00C429F7" w:rsidRDefault="00C429F7" w:rsidP="00C429F7">
      <w:pPr>
        <w:overflowPunct w:val="0"/>
        <w:autoSpaceDE w:val="0"/>
        <w:autoSpaceDN w:val="0"/>
        <w:adjustRightInd w:val="0"/>
        <w:spacing w:after="180"/>
        <w:ind w:left="851" w:hanging="284"/>
        <w:textAlignment w:val="baseline"/>
        <w:rPr>
          <w:bCs/>
          <w:sz w:val="20"/>
          <w:szCs w:val="20"/>
          <w:lang w:val="en-GB" w:eastAsia="zh-CN"/>
        </w:rPr>
      </w:pPr>
      <w:r w:rsidRPr="00C429F7">
        <w:rPr>
          <w:sz w:val="20"/>
          <w:szCs w:val="20"/>
          <w:lang w:val="en-GB" w:eastAsia="en-GB"/>
        </w:rPr>
        <w:t>-</w:t>
      </w:r>
      <w:r w:rsidRPr="00C429F7">
        <w:rPr>
          <w:bCs/>
          <w:sz w:val="20"/>
          <w:szCs w:val="20"/>
          <w:lang w:val="en-GB" w:eastAsia="zh-CN"/>
        </w:rPr>
        <w:t xml:space="preserve">    The target pathloss reference signal remains detectable during TCI state switching period</w:t>
      </w:r>
    </w:p>
    <w:p w14:paraId="7A276C09" w14:textId="77777777" w:rsidR="00C429F7" w:rsidRPr="00C429F7" w:rsidRDefault="00C429F7" w:rsidP="00C429F7">
      <w:pPr>
        <w:overflowPunct w:val="0"/>
        <w:autoSpaceDE w:val="0"/>
        <w:autoSpaceDN w:val="0"/>
        <w:adjustRightInd w:val="0"/>
        <w:spacing w:after="180"/>
        <w:ind w:left="1134" w:hanging="283"/>
        <w:textAlignment w:val="baseline"/>
        <w:rPr>
          <w:bCs/>
          <w:sz w:val="20"/>
          <w:szCs w:val="20"/>
          <w:lang w:val="en-GB" w:eastAsia="zh-CN"/>
        </w:rPr>
      </w:pPr>
      <w:r w:rsidRPr="00C429F7">
        <w:rPr>
          <w:sz w:val="20"/>
          <w:szCs w:val="20"/>
          <w:lang w:val="en-GB" w:eastAsia="en-GB"/>
        </w:rPr>
        <w:t>-</w:t>
      </w:r>
      <w:r w:rsidRPr="00C429F7">
        <w:rPr>
          <w:sz w:val="20"/>
          <w:szCs w:val="20"/>
          <w:lang w:val="en-GB" w:eastAsia="en-GB"/>
        </w:rPr>
        <w:tab/>
      </w:r>
      <w:r w:rsidRPr="00C429F7">
        <w:rPr>
          <w:bCs/>
          <w:sz w:val="20"/>
          <w:szCs w:val="20"/>
          <w:lang w:val="en-GB" w:eastAsia="zh-CN"/>
        </w:rPr>
        <w:t>SNR of the target pathloss reference signal≥-3dB</w:t>
      </w:r>
    </w:p>
    <w:p w14:paraId="556894B9" w14:textId="77777777" w:rsidR="00C429F7" w:rsidRPr="00C429F7" w:rsidRDefault="00C429F7" w:rsidP="00C429F7">
      <w:pPr>
        <w:overflowPunct w:val="0"/>
        <w:autoSpaceDE w:val="0"/>
        <w:autoSpaceDN w:val="0"/>
        <w:adjustRightInd w:val="0"/>
        <w:spacing w:after="180"/>
        <w:ind w:left="851" w:hanging="284"/>
        <w:textAlignment w:val="baseline"/>
        <w:rPr>
          <w:bCs/>
          <w:sz w:val="20"/>
          <w:szCs w:val="20"/>
          <w:lang w:val="en-GB" w:eastAsia="zh-CN"/>
        </w:rPr>
      </w:pPr>
      <w:r w:rsidRPr="00C429F7">
        <w:rPr>
          <w:sz w:val="20"/>
          <w:szCs w:val="20"/>
          <w:lang w:val="en-GB" w:eastAsia="en-GB"/>
        </w:rPr>
        <w:t>-</w:t>
      </w:r>
      <w:r w:rsidRPr="00C429F7">
        <w:rPr>
          <w:sz w:val="20"/>
          <w:szCs w:val="20"/>
          <w:lang w:val="en-GB" w:eastAsia="en-GB"/>
        </w:rPr>
        <w:tab/>
      </w:r>
      <w:r w:rsidRPr="00C429F7">
        <w:rPr>
          <w:bCs/>
          <w:sz w:val="20"/>
          <w:szCs w:val="20"/>
          <w:lang w:val="en-GB" w:eastAsia="zh-CN"/>
        </w:rPr>
        <w:t>The associated SSBs with the target pathloss reference signal remain detectable during the TCI state switching period.</w:t>
      </w:r>
    </w:p>
    <w:p w14:paraId="281E5600" w14:textId="77777777" w:rsidR="00C429F7" w:rsidRPr="00C429F7" w:rsidRDefault="00C429F7" w:rsidP="00C429F7">
      <w:pPr>
        <w:overflowPunct w:val="0"/>
        <w:autoSpaceDE w:val="0"/>
        <w:autoSpaceDN w:val="0"/>
        <w:adjustRightInd w:val="0"/>
        <w:spacing w:after="180"/>
        <w:ind w:left="1135" w:hanging="284"/>
        <w:textAlignment w:val="baseline"/>
        <w:rPr>
          <w:sz w:val="20"/>
          <w:szCs w:val="20"/>
          <w:lang w:val="en-GB" w:eastAsia="en-GB"/>
        </w:rPr>
      </w:pPr>
      <w:r w:rsidRPr="00C429F7">
        <w:rPr>
          <w:sz w:val="20"/>
          <w:szCs w:val="20"/>
          <w:lang w:val="en-GB" w:eastAsia="en-GB"/>
        </w:rPr>
        <w:t>-</w:t>
      </w:r>
      <w:r w:rsidRPr="00C429F7">
        <w:rPr>
          <w:sz w:val="20"/>
          <w:szCs w:val="20"/>
          <w:lang w:val="en-GB" w:eastAsia="en-GB"/>
        </w:rPr>
        <w:tab/>
      </w:r>
      <w:r w:rsidRPr="00C429F7">
        <w:rPr>
          <w:bCs/>
          <w:sz w:val="20"/>
          <w:szCs w:val="20"/>
          <w:lang w:val="en-GB" w:eastAsia="zh-CN"/>
        </w:rPr>
        <w:t>SNR of the associated SSB ≥-3dB</w:t>
      </w:r>
    </w:p>
    <w:p w14:paraId="0B85F747" w14:textId="77777777" w:rsidR="000319AB" w:rsidRDefault="000319AB" w:rsidP="00096420">
      <w:pPr>
        <w:spacing w:after="120"/>
        <w:jc w:val="both"/>
        <w:rPr>
          <w:sz w:val="20"/>
          <w:szCs w:val="20"/>
        </w:rPr>
      </w:pPr>
    </w:p>
    <w:p w14:paraId="603D0B90" w14:textId="2B7983B3" w:rsidR="00A64241" w:rsidRDefault="00A64241" w:rsidP="00096420">
      <w:pPr>
        <w:spacing w:after="120"/>
        <w:jc w:val="both"/>
        <w:rPr>
          <w:b/>
          <w:bCs/>
          <w:sz w:val="20"/>
          <w:szCs w:val="20"/>
        </w:rPr>
      </w:pPr>
      <w:r>
        <w:rPr>
          <w:b/>
          <w:bCs/>
          <w:sz w:val="20"/>
          <w:szCs w:val="20"/>
        </w:rPr>
        <w:t>Proposal #</w:t>
      </w:r>
      <w:r w:rsidR="00C429F7">
        <w:rPr>
          <w:b/>
          <w:bCs/>
          <w:sz w:val="20"/>
          <w:szCs w:val="20"/>
        </w:rPr>
        <w:t>4</w:t>
      </w:r>
      <w:r>
        <w:rPr>
          <w:b/>
          <w:bCs/>
          <w:sz w:val="20"/>
          <w:szCs w:val="20"/>
        </w:rPr>
        <w:t xml:space="preserve">: </w:t>
      </w:r>
      <w:r w:rsidR="00C429F7">
        <w:rPr>
          <w:b/>
          <w:bCs/>
          <w:sz w:val="20"/>
          <w:szCs w:val="20"/>
        </w:rPr>
        <w:t>Define</w:t>
      </w:r>
      <w:r>
        <w:rPr>
          <w:b/>
          <w:bCs/>
          <w:sz w:val="20"/>
          <w:szCs w:val="20"/>
        </w:rPr>
        <w:t xml:space="preserve"> maintained PL-RS</w:t>
      </w:r>
      <w:r w:rsidR="00C429F7">
        <w:rPr>
          <w:b/>
          <w:bCs/>
          <w:sz w:val="20"/>
          <w:szCs w:val="20"/>
        </w:rPr>
        <w:t xml:space="preserve"> as:</w:t>
      </w:r>
    </w:p>
    <w:p w14:paraId="76F429B1" w14:textId="77777777" w:rsidR="00C429F7" w:rsidRPr="00C429F7" w:rsidRDefault="00C429F7" w:rsidP="00C429F7">
      <w:pPr>
        <w:overflowPunct w:val="0"/>
        <w:autoSpaceDE w:val="0"/>
        <w:autoSpaceDN w:val="0"/>
        <w:adjustRightInd w:val="0"/>
        <w:spacing w:after="180"/>
        <w:ind w:left="568" w:hanging="284"/>
        <w:textAlignment w:val="baseline"/>
        <w:rPr>
          <w:b/>
          <w:bCs/>
          <w:sz w:val="20"/>
          <w:szCs w:val="20"/>
          <w:lang w:val="en-GB" w:eastAsia="zh-CN"/>
        </w:rPr>
      </w:pPr>
      <w:r w:rsidRPr="00C429F7">
        <w:rPr>
          <w:b/>
          <w:bCs/>
          <w:sz w:val="20"/>
          <w:szCs w:val="20"/>
          <w:lang w:val="en-GB" w:eastAsia="en-GB"/>
        </w:rPr>
        <w:t>-</w:t>
      </w:r>
      <w:r w:rsidRPr="00C429F7">
        <w:rPr>
          <w:b/>
          <w:bCs/>
          <w:sz w:val="20"/>
          <w:szCs w:val="20"/>
          <w:lang w:val="en-GB" w:eastAsia="en-GB"/>
        </w:rPr>
        <w:tab/>
        <w:t xml:space="preserve">PL-RS is maintained provided: </w:t>
      </w:r>
    </w:p>
    <w:p w14:paraId="0FF065A9" w14:textId="77777777" w:rsidR="00C429F7" w:rsidRPr="00C429F7" w:rsidRDefault="00C429F7" w:rsidP="00C429F7">
      <w:pPr>
        <w:overflowPunct w:val="0"/>
        <w:autoSpaceDE w:val="0"/>
        <w:autoSpaceDN w:val="0"/>
        <w:adjustRightInd w:val="0"/>
        <w:spacing w:after="180"/>
        <w:ind w:left="851" w:hanging="284"/>
        <w:textAlignment w:val="baseline"/>
        <w:rPr>
          <w:b/>
          <w:bCs/>
          <w:sz w:val="20"/>
          <w:szCs w:val="20"/>
          <w:lang w:val="en-GB" w:eastAsia="en-GB"/>
        </w:rPr>
      </w:pPr>
      <w:r w:rsidRPr="00C429F7">
        <w:rPr>
          <w:b/>
          <w:bCs/>
          <w:sz w:val="20"/>
          <w:szCs w:val="20"/>
          <w:lang w:val="en-GB" w:eastAsia="en-GB"/>
        </w:rPr>
        <w:t>-</w:t>
      </w:r>
      <w:r w:rsidRPr="00C429F7">
        <w:rPr>
          <w:b/>
          <w:bCs/>
          <w:sz w:val="20"/>
          <w:szCs w:val="20"/>
          <w:lang w:val="en-GB" w:eastAsia="en-GB"/>
        </w:rPr>
        <w:tab/>
        <w:t>the target PL-RS is associated with or included in the UL or joint TCI states in the active TCI list for PUSCH/PUCCH/SRS transmissions</w:t>
      </w:r>
    </w:p>
    <w:p w14:paraId="1478CFB3" w14:textId="77777777" w:rsidR="00C429F7" w:rsidRPr="00C429F7" w:rsidRDefault="00C429F7" w:rsidP="00C429F7">
      <w:pPr>
        <w:overflowPunct w:val="0"/>
        <w:autoSpaceDE w:val="0"/>
        <w:autoSpaceDN w:val="0"/>
        <w:adjustRightInd w:val="0"/>
        <w:spacing w:after="180"/>
        <w:ind w:left="851" w:hanging="284"/>
        <w:textAlignment w:val="baseline"/>
        <w:rPr>
          <w:b/>
          <w:bCs/>
          <w:sz w:val="20"/>
          <w:szCs w:val="20"/>
          <w:lang w:val="en-GB" w:eastAsia="en-GB"/>
        </w:rPr>
      </w:pPr>
      <w:r w:rsidRPr="00C429F7">
        <w:rPr>
          <w:b/>
          <w:bCs/>
          <w:sz w:val="20"/>
          <w:szCs w:val="20"/>
          <w:lang w:val="en-GB" w:eastAsia="en-GB"/>
        </w:rPr>
        <w:t>-</w:t>
      </w:r>
      <w:r w:rsidRPr="00C429F7">
        <w:rPr>
          <w:b/>
          <w:bCs/>
          <w:sz w:val="20"/>
          <w:szCs w:val="20"/>
          <w:lang w:val="en-GB" w:eastAsia="en-GB"/>
        </w:rPr>
        <w:tab/>
        <w:t>There are no more than 4 different RS configured as PL-RS per serving cell for all active UL TCI states (UL or joint TCI state) for PUSCH/PUCCH/SRS transmissions</w:t>
      </w:r>
    </w:p>
    <w:p w14:paraId="79C4CE8E" w14:textId="77777777" w:rsidR="00C429F7" w:rsidRPr="00C429F7" w:rsidRDefault="00C429F7" w:rsidP="00C429F7">
      <w:pPr>
        <w:overflowPunct w:val="0"/>
        <w:autoSpaceDE w:val="0"/>
        <w:autoSpaceDN w:val="0"/>
        <w:adjustRightInd w:val="0"/>
        <w:spacing w:after="180"/>
        <w:ind w:left="851" w:hanging="284"/>
        <w:textAlignment w:val="baseline"/>
        <w:rPr>
          <w:b/>
          <w:bCs/>
          <w:sz w:val="20"/>
          <w:szCs w:val="20"/>
          <w:lang w:val="en-GB" w:eastAsia="zh-CN"/>
        </w:rPr>
      </w:pPr>
      <w:r w:rsidRPr="00C429F7">
        <w:rPr>
          <w:b/>
          <w:bCs/>
          <w:sz w:val="20"/>
          <w:szCs w:val="20"/>
          <w:lang w:val="en-GB" w:eastAsia="en-GB"/>
        </w:rPr>
        <w:t>-</w:t>
      </w:r>
      <w:r w:rsidRPr="00C429F7">
        <w:rPr>
          <w:b/>
          <w:bCs/>
          <w:sz w:val="20"/>
          <w:szCs w:val="20"/>
          <w:lang w:val="en-GB" w:eastAsia="zh-CN"/>
        </w:rPr>
        <w:t xml:space="preserve">    The target pathloss reference signal remains detectable during TCI state switching period</w:t>
      </w:r>
    </w:p>
    <w:p w14:paraId="0E351733" w14:textId="77777777" w:rsidR="00C429F7" w:rsidRPr="00C429F7" w:rsidRDefault="00C429F7" w:rsidP="00C429F7">
      <w:pPr>
        <w:overflowPunct w:val="0"/>
        <w:autoSpaceDE w:val="0"/>
        <w:autoSpaceDN w:val="0"/>
        <w:adjustRightInd w:val="0"/>
        <w:spacing w:after="180"/>
        <w:ind w:left="1134" w:hanging="283"/>
        <w:textAlignment w:val="baseline"/>
        <w:rPr>
          <w:b/>
          <w:bCs/>
          <w:sz w:val="20"/>
          <w:szCs w:val="20"/>
          <w:lang w:val="en-GB" w:eastAsia="zh-CN"/>
        </w:rPr>
      </w:pPr>
      <w:r w:rsidRPr="00C429F7">
        <w:rPr>
          <w:b/>
          <w:bCs/>
          <w:sz w:val="20"/>
          <w:szCs w:val="20"/>
          <w:lang w:val="en-GB" w:eastAsia="en-GB"/>
        </w:rPr>
        <w:t>-</w:t>
      </w:r>
      <w:r w:rsidRPr="00C429F7">
        <w:rPr>
          <w:b/>
          <w:bCs/>
          <w:sz w:val="20"/>
          <w:szCs w:val="20"/>
          <w:lang w:val="en-GB" w:eastAsia="en-GB"/>
        </w:rPr>
        <w:tab/>
      </w:r>
      <w:r w:rsidRPr="00C429F7">
        <w:rPr>
          <w:b/>
          <w:bCs/>
          <w:sz w:val="20"/>
          <w:szCs w:val="20"/>
          <w:lang w:val="en-GB" w:eastAsia="zh-CN"/>
        </w:rPr>
        <w:t>SNR of the target pathloss reference signal≥-3dB</w:t>
      </w:r>
    </w:p>
    <w:p w14:paraId="25C7AB83" w14:textId="77777777" w:rsidR="00C429F7" w:rsidRPr="00C429F7" w:rsidRDefault="00C429F7" w:rsidP="00C429F7">
      <w:pPr>
        <w:overflowPunct w:val="0"/>
        <w:autoSpaceDE w:val="0"/>
        <w:autoSpaceDN w:val="0"/>
        <w:adjustRightInd w:val="0"/>
        <w:spacing w:after="180"/>
        <w:ind w:left="851" w:hanging="284"/>
        <w:textAlignment w:val="baseline"/>
        <w:rPr>
          <w:b/>
          <w:bCs/>
          <w:sz w:val="20"/>
          <w:szCs w:val="20"/>
          <w:lang w:val="en-GB" w:eastAsia="zh-CN"/>
        </w:rPr>
      </w:pPr>
      <w:r w:rsidRPr="00C429F7">
        <w:rPr>
          <w:b/>
          <w:bCs/>
          <w:sz w:val="20"/>
          <w:szCs w:val="20"/>
          <w:lang w:val="en-GB" w:eastAsia="en-GB"/>
        </w:rPr>
        <w:t>-</w:t>
      </w:r>
      <w:r w:rsidRPr="00C429F7">
        <w:rPr>
          <w:b/>
          <w:bCs/>
          <w:sz w:val="20"/>
          <w:szCs w:val="20"/>
          <w:lang w:val="en-GB" w:eastAsia="en-GB"/>
        </w:rPr>
        <w:tab/>
      </w:r>
      <w:r w:rsidRPr="00C429F7">
        <w:rPr>
          <w:b/>
          <w:bCs/>
          <w:sz w:val="20"/>
          <w:szCs w:val="20"/>
          <w:lang w:val="en-GB" w:eastAsia="zh-CN"/>
        </w:rPr>
        <w:t>The associated SSBs with the target pathloss reference signal remain detectable during the TCI state switching period.</w:t>
      </w:r>
    </w:p>
    <w:p w14:paraId="780B8BF7" w14:textId="77777777" w:rsidR="00C429F7" w:rsidRPr="00C429F7" w:rsidRDefault="00C429F7" w:rsidP="00C429F7">
      <w:pPr>
        <w:overflowPunct w:val="0"/>
        <w:autoSpaceDE w:val="0"/>
        <w:autoSpaceDN w:val="0"/>
        <w:adjustRightInd w:val="0"/>
        <w:spacing w:after="180"/>
        <w:ind w:left="1135" w:hanging="284"/>
        <w:textAlignment w:val="baseline"/>
        <w:rPr>
          <w:b/>
          <w:bCs/>
          <w:sz w:val="20"/>
          <w:szCs w:val="20"/>
          <w:lang w:val="en-GB" w:eastAsia="en-GB"/>
        </w:rPr>
      </w:pPr>
      <w:r w:rsidRPr="00C429F7">
        <w:rPr>
          <w:b/>
          <w:bCs/>
          <w:sz w:val="20"/>
          <w:szCs w:val="20"/>
          <w:lang w:val="en-GB" w:eastAsia="en-GB"/>
        </w:rPr>
        <w:t>-</w:t>
      </w:r>
      <w:r w:rsidRPr="00C429F7">
        <w:rPr>
          <w:b/>
          <w:bCs/>
          <w:sz w:val="20"/>
          <w:szCs w:val="20"/>
          <w:lang w:val="en-GB" w:eastAsia="en-GB"/>
        </w:rPr>
        <w:tab/>
      </w:r>
      <w:r w:rsidRPr="00C429F7">
        <w:rPr>
          <w:b/>
          <w:bCs/>
          <w:sz w:val="20"/>
          <w:szCs w:val="20"/>
          <w:lang w:val="en-GB" w:eastAsia="zh-CN"/>
        </w:rPr>
        <w:t>SNR of the associated SSB ≥-3dB</w:t>
      </w:r>
    </w:p>
    <w:p w14:paraId="1B3B59DD" w14:textId="77777777" w:rsidR="00C429F7" w:rsidRPr="00A64241" w:rsidRDefault="00C429F7" w:rsidP="00096420">
      <w:pPr>
        <w:spacing w:after="120"/>
        <w:jc w:val="both"/>
        <w:rPr>
          <w:b/>
          <w:bCs/>
          <w:sz w:val="20"/>
          <w:szCs w:val="20"/>
        </w:rPr>
      </w:pPr>
    </w:p>
    <w:p w14:paraId="79A7784C" w14:textId="77777777" w:rsidR="00C429F7" w:rsidRDefault="00C429F7" w:rsidP="00C429F7">
      <w:pPr>
        <w:spacing w:after="120"/>
        <w:jc w:val="both"/>
        <w:rPr>
          <w:sz w:val="20"/>
          <w:szCs w:val="20"/>
        </w:rPr>
      </w:pPr>
      <w:r>
        <w:rPr>
          <w:sz w:val="20"/>
          <w:szCs w:val="20"/>
        </w:rPr>
        <w:t>Our proposal is captured in our companion CR [2].</w:t>
      </w:r>
    </w:p>
    <w:p w14:paraId="337AE145" w14:textId="77777777" w:rsidR="009F5852" w:rsidRPr="009F5852" w:rsidRDefault="009F5852" w:rsidP="00096420">
      <w:pPr>
        <w:spacing w:after="120"/>
        <w:jc w:val="both"/>
        <w:rPr>
          <w:b/>
          <w:bCs/>
          <w:sz w:val="20"/>
          <w:szCs w:val="20"/>
        </w:rPr>
      </w:pPr>
    </w:p>
    <w:p w14:paraId="17B0ADDC" w14:textId="66A0526C" w:rsidR="002249BA" w:rsidRPr="00605645" w:rsidRDefault="002249BA" w:rsidP="005B410D">
      <w:pPr>
        <w:spacing w:after="120"/>
        <w:rPr>
          <w:rFonts w:eastAsia="SimSun"/>
          <w:sz w:val="20"/>
          <w:szCs w:val="20"/>
          <w:u w:val="single"/>
          <w:lang w:eastAsia="en-GB"/>
        </w:rPr>
      </w:pPr>
    </w:p>
    <w:p w14:paraId="20DC28A5" w14:textId="77777777" w:rsidR="002249BA" w:rsidRPr="00D037BE" w:rsidRDefault="002249BA" w:rsidP="002249BA">
      <w:pPr>
        <w:pStyle w:val="Heading1"/>
        <w:rPr>
          <w:lang w:val="en-US"/>
        </w:rPr>
      </w:pPr>
      <w:r w:rsidRPr="00D037BE">
        <w:rPr>
          <w:lang w:val="en-US"/>
        </w:rPr>
        <w:t>3. Conclusion</w:t>
      </w:r>
    </w:p>
    <w:p w14:paraId="39100AC6" w14:textId="77777777" w:rsidR="002249BA" w:rsidRPr="00D037BE" w:rsidRDefault="002249BA" w:rsidP="002249BA">
      <w:pPr>
        <w:spacing w:after="120"/>
        <w:rPr>
          <w:sz w:val="20"/>
          <w:szCs w:val="20"/>
        </w:rPr>
      </w:pPr>
      <w:r w:rsidRPr="00D037BE">
        <w:rPr>
          <w:sz w:val="20"/>
          <w:szCs w:val="20"/>
        </w:rPr>
        <w:t>In this paper, we provide our views on open issues on requirements for unified TCI and inter-cell beam management. Our observations and proposals are captured below:</w:t>
      </w:r>
    </w:p>
    <w:p w14:paraId="7F6E90DA" w14:textId="2F0657DD" w:rsidR="002249BA" w:rsidRPr="000319AB" w:rsidRDefault="000319AB" w:rsidP="002249BA">
      <w:pPr>
        <w:spacing w:after="120"/>
        <w:rPr>
          <w:b/>
          <w:bCs/>
          <w:sz w:val="20"/>
          <w:szCs w:val="20"/>
          <w:u w:val="single"/>
        </w:rPr>
      </w:pPr>
      <w:r w:rsidRPr="000319AB">
        <w:rPr>
          <w:b/>
          <w:bCs/>
          <w:sz w:val="20"/>
          <w:szCs w:val="20"/>
          <w:u w:val="single"/>
        </w:rPr>
        <w:t>Unified TCI</w:t>
      </w:r>
    </w:p>
    <w:p w14:paraId="7793F09C" w14:textId="77777777" w:rsidR="00C429F7" w:rsidRPr="001C2DE3" w:rsidRDefault="00C429F7" w:rsidP="00C429F7">
      <w:pPr>
        <w:spacing w:after="120"/>
        <w:jc w:val="both"/>
        <w:rPr>
          <w:b/>
          <w:bCs/>
          <w:sz w:val="20"/>
          <w:szCs w:val="20"/>
        </w:rPr>
      </w:pPr>
      <w:r>
        <w:rPr>
          <w:b/>
          <w:bCs/>
          <w:sz w:val="20"/>
          <w:szCs w:val="20"/>
        </w:rPr>
        <w:t xml:space="preserve">Proposal #1: </w:t>
      </w:r>
      <w:r w:rsidRPr="001C2DE3">
        <w:rPr>
          <w:b/>
          <w:bCs/>
          <w:sz w:val="20"/>
          <w:szCs w:val="20"/>
        </w:rPr>
        <w:t>Do not define requirements for the case if source RS in UL TCI state is not in DL active TCI state list</w:t>
      </w:r>
      <w:r>
        <w:rPr>
          <w:b/>
          <w:bCs/>
          <w:sz w:val="20"/>
          <w:szCs w:val="20"/>
        </w:rPr>
        <w:t>.</w:t>
      </w:r>
    </w:p>
    <w:p w14:paraId="018288B6" w14:textId="77777777" w:rsidR="00C429F7" w:rsidRPr="002045D3" w:rsidRDefault="00C429F7" w:rsidP="00C429F7">
      <w:pPr>
        <w:spacing w:after="120"/>
        <w:rPr>
          <w:b/>
          <w:bCs/>
          <w:sz w:val="20"/>
          <w:szCs w:val="20"/>
        </w:rPr>
      </w:pPr>
      <w:r w:rsidRPr="002045D3">
        <w:rPr>
          <w:b/>
          <w:bCs/>
          <w:sz w:val="20"/>
          <w:szCs w:val="20"/>
        </w:rPr>
        <w:t>Proposal #</w:t>
      </w:r>
      <w:r>
        <w:rPr>
          <w:b/>
          <w:bCs/>
          <w:sz w:val="20"/>
          <w:szCs w:val="20"/>
        </w:rPr>
        <w:t>2</w:t>
      </w:r>
      <w:r w:rsidRPr="002045D3">
        <w:rPr>
          <w:b/>
          <w:bCs/>
          <w:sz w:val="20"/>
          <w:szCs w:val="20"/>
        </w:rPr>
        <w:t>: When PL-RS in UL TCI state switch is SSB in FR2, longer delay is expected.</w:t>
      </w:r>
    </w:p>
    <w:p w14:paraId="07C3614C" w14:textId="77777777" w:rsidR="00C429F7" w:rsidRDefault="00C429F7" w:rsidP="00C429F7">
      <w:pPr>
        <w:spacing w:after="120"/>
        <w:rPr>
          <w:b/>
          <w:bCs/>
          <w:sz w:val="20"/>
          <w:szCs w:val="20"/>
        </w:rPr>
      </w:pPr>
      <w:r w:rsidRPr="002C71F7">
        <w:rPr>
          <w:b/>
          <w:bCs/>
          <w:sz w:val="20"/>
          <w:szCs w:val="20"/>
        </w:rPr>
        <w:t>Proposal #</w:t>
      </w:r>
      <w:r>
        <w:rPr>
          <w:b/>
          <w:bCs/>
          <w:sz w:val="20"/>
          <w:szCs w:val="20"/>
        </w:rPr>
        <w:t>3</w:t>
      </w:r>
      <w:r w:rsidRPr="002C71F7">
        <w:rPr>
          <w:b/>
          <w:bCs/>
          <w:sz w:val="20"/>
          <w:szCs w:val="20"/>
        </w:rPr>
        <w:t xml:space="preserve">: </w:t>
      </w:r>
      <w:r>
        <w:rPr>
          <w:b/>
          <w:bCs/>
          <w:sz w:val="20"/>
          <w:szCs w:val="20"/>
        </w:rPr>
        <w:t xml:space="preserve">If no consensus is reached in RAN4 for SSB based PL-RS measurement in FR2, no </w:t>
      </w:r>
      <w:proofErr w:type="gramStart"/>
      <w:r>
        <w:rPr>
          <w:b/>
          <w:bCs/>
          <w:sz w:val="20"/>
          <w:szCs w:val="20"/>
        </w:rPr>
        <w:t>requirements</w:t>
      </w:r>
      <w:proofErr w:type="gramEnd"/>
      <w:r>
        <w:rPr>
          <w:b/>
          <w:bCs/>
          <w:sz w:val="20"/>
          <w:szCs w:val="20"/>
        </w:rPr>
        <w:t xml:space="preserve"> </w:t>
      </w:r>
    </w:p>
    <w:p w14:paraId="6D785668" w14:textId="77777777" w:rsidR="00C429F7" w:rsidRDefault="00C429F7" w:rsidP="00C429F7">
      <w:pPr>
        <w:spacing w:after="120"/>
        <w:jc w:val="both"/>
        <w:rPr>
          <w:b/>
          <w:bCs/>
          <w:sz w:val="20"/>
          <w:szCs w:val="20"/>
        </w:rPr>
      </w:pPr>
      <w:r>
        <w:rPr>
          <w:b/>
          <w:bCs/>
          <w:sz w:val="20"/>
          <w:szCs w:val="20"/>
        </w:rPr>
        <w:t>Proposal #4: Define maintained PL-RS as:</w:t>
      </w:r>
    </w:p>
    <w:p w14:paraId="3C97C928" w14:textId="77777777" w:rsidR="00C429F7" w:rsidRPr="00C429F7" w:rsidRDefault="00C429F7" w:rsidP="00C429F7">
      <w:pPr>
        <w:overflowPunct w:val="0"/>
        <w:autoSpaceDE w:val="0"/>
        <w:autoSpaceDN w:val="0"/>
        <w:adjustRightInd w:val="0"/>
        <w:spacing w:after="180"/>
        <w:ind w:left="568" w:hanging="284"/>
        <w:textAlignment w:val="baseline"/>
        <w:rPr>
          <w:b/>
          <w:bCs/>
          <w:sz w:val="20"/>
          <w:szCs w:val="20"/>
          <w:lang w:val="en-GB" w:eastAsia="zh-CN"/>
        </w:rPr>
      </w:pPr>
      <w:r w:rsidRPr="00C429F7">
        <w:rPr>
          <w:b/>
          <w:bCs/>
          <w:sz w:val="20"/>
          <w:szCs w:val="20"/>
          <w:lang w:val="en-GB" w:eastAsia="en-GB"/>
        </w:rPr>
        <w:t>-</w:t>
      </w:r>
      <w:r w:rsidRPr="00C429F7">
        <w:rPr>
          <w:b/>
          <w:bCs/>
          <w:sz w:val="20"/>
          <w:szCs w:val="20"/>
          <w:lang w:val="en-GB" w:eastAsia="en-GB"/>
        </w:rPr>
        <w:tab/>
        <w:t xml:space="preserve">PL-RS is maintained provided: </w:t>
      </w:r>
    </w:p>
    <w:p w14:paraId="260CDF05" w14:textId="77777777" w:rsidR="00C429F7" w:rsidRPr="00C429F7" w:rsidRDefault="00C429F7" w:rsidP="00C429F7">
      <w:pPr>
        <w:overflowPunct w:val="0"/>
        <w:autoSpaceDE w:val="0"/>
        <w:autoSpaceDN w:val="0"/>
        <w:adjustRightInd w:val="0"/>
        <w:spacing w:after="180"/>
        <w:ind w:left="851" w:hanging="284"/>
        <w:textAlignment w:val="baseline"/>
        <w:rPr>
          <w:b/>
          <w:bCs/>
          <w:sz w:val="20"/>
          <w:szCs w:val="20"/>
          <w:lang w:val="en-GB" w:eastAsia="en-GB"/>
        </w:rPr>
      </w:pPr>
      <w:r w:rsidRPr="00C429F7">
        <w:rPr>
          <w:b/>
          <w:bCs/>
          <w:sz w:val="20"/>
          <w:szCs w:val="20"/>
          <w:lang w:val="en-GB" w:eastAsia="en-GB"/>
        </w:rPr>
        <w:t>-</w:t>
      </w:r>
      <w:r w:rsidRPr="00C429F7">
        <w:rPr>
          <w:b/>
          <w:bCs/>
          <w:sz w:val="20"/>
          <w:szCs w:val="20"/>
          <w:lang w:val="en-GB" w:eastAsia="en-GB"/>
        </w:rPr>
        <w:tab/>
        <w:t>the target PL-RS is associated with or included in the UL or joint TCI states in the active TCI list for PUSCH/PUCCH/SRS transmissions</w:t>
      </w:r>
    </w:p>
    <w:p w14:paraId="56D49456" w14:textId="77777777" w:rsidR="00C429F7" w:rsidRPr="00C429F7" w:rsidRDefault="00C429F7" w:rsidP="00C429F7">
      <w:pPr>
        <w:overflowPunct w:val="0"/>
        <w:autoSpaceDE w:val="0"/>
        <w:autoSpaceDN w:val="0"/>
        <w:adjustRightInd w:val="0"/>
        <w:spacing w:after="180"/>
        <w:ind w:left="851" w:hanging="284"/>
        <w:textAlignment w:val="baseline"/>
        <w:rPr>
          <w:b/>
          <w:bCs/>
          <w:sz w:val="20"/>
          <w:szCs w:val="20"/>
          <w:lang w:val="en-GB" w:eastAsia="en-GB"/>
        </w:rPr>
      </w:pPr>
      <w:r w:rsidRPr="00C429F7">
        <w:rPr>
          <w:b/>
          <w:bCs/>
          <w:sz w:val="20"/>
          <w:szCs w:val="20"/>
          <w:lang w:val="en-GB" w:eastAsia="en-GB"/>
        </w:rPr>
        <w:lastRenderedPageBreak/>
        <w:t>-</w:t>
      </w:r>
      <w:r w:rsidRPr="00C429F7">
        <w:rPr>
          <w:b/>
          <w:bCs/>
          <w:sz w:val="20"/>
          <w:szCs w:val="20"/>
          <w:lang w:val="en-GB" w:eastAsia="en-GB"/>
        </w:rPr>
        <w:tab/>
        <w:t>There are no more than 4 different RS configured as PL-RS per serving cell for all active UL TCI states (UL or joint TCI state) for PUSCH/PUCCH/SRS transmissions</w:t>
      </w:r>
    </w:p>
    <w:p w14:paraId="344B990F" w14:textId="77777777" w:rsidR="00C429F7" w:rsidRPr="00C429F7" w:rsidRDefault="00C429F7" w:rsidP="00C429F7">
      <w:pPr>
        <w:overflowPunct w:val="0"/>
        <w:autoSpaceDE w:val="0"/>
        <w:autoSpaceDN w:val="0"/>
        <w:adjustRightInd w:val="0"/>
        <w:spacing w:after="180"/>
        <w:ind w:left="851" w:hanging="284"/>
        <w:textAlignment w:val="baseline"/>
        <w:rPr>
          <w:b/>
          <w:bCs/>
          <w:sz w:val="20"/>
          <w:szCs w:val="20"/>
          <w:lang w:val="en-GB" w:eastAsia="zh-CN"/>
        </w:rPr>
      </w:pPr>
      <w:r w:rsidRPr="00C429F7">
        <w:rPr>
          <w:b/>
          <w:bCs/>
          <w:sz w:val="20"/>
          <w:szCs w:val="20"/>
          <w:lang w:val="en-GB" w:eastAsia="en-GB"/>
        </w:rPr>
        <w:t>-</w:t>
      </w:r>
      <w:r w:rsidRPr="00C429F7">
        <w:rPr>
          <w:b/>
          <w:bCs/>
          <w:sz w:val="20"/>
          <w:szCs w:val="20"/>
          <w:lang w:val="en-GB" w:eastAsia="zh-CN"/>
        </w:rPr>
        <w:t xml:space="preserve">    The target pathloss reference signal remains detectable during TCI state switching period</w:t>
      </w:r>
    </w:p>
    <w:p w14:paraId="533BAAEA" w14:textId="77777777" w:rsidR="00C429F7" w:rsidRPr="00C429F7" w:rsidRDefault="00C429F7" w:rsidP="00C429F7">
      <w:pPr>
        <w:overflowPunct w:val="0"/>
        <w:autoSpaceDE w:val="0"/>
        <w:autoSpaceDN w:val="0"/>
        <w:adjustRightInd w:val="0"/>
        <w:spacing w:after="180"/>
        <w:ind w:left="1134" w:hanging="283"/>
        <w:textAlignment w:val="baseline"/>
        <w:rPr>
          <w:b/>
          <w:bCs/>
          <w:sz w:val="20"/>
          <w:szCs w:val="20"/>
          <w:lang w:val="en-GB" w:eastAsia="zh-CN"/>
        </w:rPr>
      </w:pPr>
      <w:r w:rsidRPr="00C429F7">
        <w:rPr>
          <w:b/>
          <w:bCs/>
          <w:sz w:val="20"/>
          <w:szCs w:val="20"/>
          <w:lang w:val="en-GB" w:eastAsia="en-GB"/>
        </w:rPr>
        <w:t>-</w:t>
      </w:r>
      <w:r w:rsidRPr="00C429F7">
        <w:rPr>
          <w:b/>
          <w:bCs/>
          <w:sz w:val="20"/>
          <w:szCs w:val="20"/>
          <w:lang w:val="en-GB" w:eastAsia="en-GB"/>
        </w:rPr>
        <w:tab/>
      </w:r>
      <w:r w:rsidRPr="00C429F7">
        <w:rPr>
          <w:b/>
          <w:bCs/>
          <w:sz w:val="20"/>
          <w:szCs w:val="20"/>
          <w:lang w:val="en-GB" w:eastAsia="zh-CN"/>
        </w:rPr>
        <w:t>SNR of the target pathloss reference signal≥-3dB</w:t>
      </w:r>
    </w:p>
    <w:p w14:paraId="3318C460" w14:textId="77777777" w:rsidR="00C429F7" w:rsidRPr="00C429F7" w:rsidRDefault="00C429F7" w:rsidP="00C429F7">
      <w:pPr>
        <w:overflowPunct w:val="0"/>
        <w:autoSpaceDE w:val="0"/>
        <w:autoSpaceDN w:val="0"/>
        <w:adjustRightInd w:val="0"/>
        <w:spacing w:after="180"/>
        <w:ind w:left="851" w:hanging="284"/>
        <w:textAlignment w:val="baseline"/>
        <w:rPr>
          <w:b/>
          <w:bCs/>
          <w:sz w:val="20"/>
          <w:szCs w:val="20"/>
          <w:lang w:val="en-GB" w:eastAsia="zh-CN"/>
        </w:rPr>
      </w:pPr>
      <w:r w:rsidRPr="00C429F7">
        <w:rPr>
          <w:b/>
          <w:bCs/>
          <w:sz w:val="20"/>
          <w:szCs w:val="20"/>
          <w:lang w:val="en-GB" w:eastAsia="en-GB"/>
        </w:rPr>
        <w:t>-</w:t>
      </w:r>
      <w:r w:rsidRPr="00C429F7">
        <w:rPr>
          <w:b/>
          <w:bCs/>
          <w:sz w:val="20"/>
          <w:szCs w:val="20"/>
          <w:lang w:val="en-GB" w:eastAsia="en-GB"/>
        </w:rPr>
        <w:tab/>
      </w:r>
      <w:r w:rsidRPr="00C429F7">
        <w:rPr>
          <w:b/>
          <w:bCs/>
          <w:sz w:val="20"/>
          <w:szCs w:val="20"/>
          <w:lang w:val="en-GB" w:eastAsia="zh-CN"/>
        </w:rPr>
        <w:t>The associated SSBs with the target pathloss reference signal remain detectable during the TCI state switching period.</w:t>
      </w:r>
    </w:p>
    <w:p w14:paraId="583269E5" w14:textId="77777777" w:rsidR="00C429F7" w:rsidRPr="00C429F7" w:rsidRDefault="00C429F7" w:rsidP="00C429F7">
      <w:pPr>
        <w:overflowPunct w:val="0"/>
        <w:autoSpaceDE w:val="0"/>
        <w:autoSpaceDN w:val="0"/>
        <w:adjustRightInd w:val="0"/>
        <w:spacing w:after="180"/>
        <w:ind w:left="1135" w:hanging="284"/>
        <w:textAlignment w:val="baseline"/>
        <w:rPr>
          <w:b/>
          <w:bCs/>
          <w:sz w:val="20"/>
          <w:szCs w:val="20"/>
          <w:lang w:val="en-GB" w:eastAsia="en-GB"/>
        </w:rPr>
      </w:pPr>
      <w:r w:rsidRPr="00C429F7">
        <w:rPr>
          <w:b/>
          <w:bCs/>
          <w:sz w:val="20"/>
          <w:szCs w:val="20"/>
          <w:lang w:val="en-GB" w:eastAsia="en-GB"/>
        </w:rPr>
        <w:t>-</w:t>
      </w:r>
      <w:r w:rsidRPr="00C429F7">
        <w:rPr>
          <w:b/>
          <w:bCs/>
          <w:sz w:val="20"/>
          <w:szCs w:val="20"/>
          <w:lang w:val="en-GB" w:eastAsia="en-GB"/>
        </w:rPr>
        <w:tab/>
      </w:r>
      <w:r w:rsidRPr="00C429F7">
        <w:rPr>
          <w:b/>
          <w:bCs/>
          <w:sz w:val="20"/>
          <w:szCs w:val="20"/>
          <w:lang w:val="en-GB" w:eastAsia="zh-CN"/>
        </w:rPr>
        <w:t>SNR of the associated SSB ≥-3dB</w:t>
      </w:r>
    </w:p>
    <w:p w14:paraId="46FBD2CC" w14:textId="77777777" w:rsidR="000319AB" w:rsidRPr="00C429F7" w:rsidRDefault="000319AB" w:rsidP="002249BA">
      <w:pPr>
        <w:spacing w:after="120"/>
        <w:rPr>
          <w:sz w:val="20"/>
          <w:szCs w:val="20"/>
        </w:rPr>
      </w:pPr>
    </w:p>
    <w:p w14:paraId="4FB808BC" w14:textId="77777777" w:rsidR="002249BA" w:rsidRPr="00D037BE" w:rsidRDefault="002249BA" w:rsidP="002249BA">
      <w:pPr>
        <w:pStyle w:val="Heading1"/>
        <w:ind w:left="432" w:hanging="432"/>
        <w:rPr>
          <w:lang w:val="en-US"/>
        </w:rPr>
      </w:pPr>
      <w:r w:rsidRPr="00D037BE">
        <w:rPr>
          <w:lang w:val="en-US"/>
        </w:rPr>
        <w:t>Reference</w:t>
      </w:r>
    </w:p>
    <w:p w14:paraId="6233F2C8" w14:textId="7FCC44A6" w:rsidR="002249BA" w:rsidRDefault="00D46D5B" w:rsidP="002249BA">
      <w:pPr>
        <w:pStyle w:val="ListParagraph"/>
        <w:numPr>
          <w:ilvl w:val="0"/>
          <w:numId w:val="2"/>
        </w:numPr>
        <w:spacing w:after="120"/>
        <w:ind w:firstLineChars="0"/>
        <w:jc w:val="both"/>
        <w:rPr>
          <w:rFonts w:ascii="Times New Roman" w:hAnsi="Times New Roman" w:cs="Times New Roman"/>
          <w:sz w:val="20"/>
          <w:szCs w:val="20"/>
        </w:rPr>
      </w:pPr>
      <w:r w:rsidRPr="00D46D5B">
        <w:rPr>
          <w:rFonts w:ascii="Times New Roman" w:hAnsi="Times New Roman" w:cs="Times New Roman"/>
          <w:sz w:val="20"/>
          <w:szCs w:val="20"/>
        </w:rPr>
        <w:t>R4-2303145</w:t>
      </w:r>
      <w:r w:rsidR="002249BA" w:rsidRPr="00D037BE">
        <w:rPr>
          <w:rFonts w:ascii="Times New Roman" w:hAnsi="Times New Roman" w:cs="Times New Roman"/>
          <w:sz w:val="20"/>
          <w:szCs w:val="20"/>
        </w:rPr>
        <w:t>, “</w:t>
      </w:r>
      <w:r w:rsidR="00A37048" w:rsidRPr="00D037BE">
        <w:rPr>
          <w:rFonts w:ascii="Times New Roman" w:hAnsi="Times New Roman" w:cs="Times New Roman"/>
          <w:sz w:val="20"/>
          <w:szCs w:val="20"/>
        </w:rPr>
        <w:t xml:space="preserve">WF on Rel-17 </w:t>
      </w:r>
      <w:proofErr w:type="spellStart"/>
      <w:r w:rsidR="00A37048" w:rsidRPr="00D037BE">
        <w:rPr>
          <w:rFonts w:ascii="Times New Roman" w:hAnsi="Times New Roman" w:cs="Times New Roman"/>
          <w:sz w:val="20"/>
          <w:szCs w:val="20"/>
        </w:rPr>
        <w:t>FeMIMO</w:t>
      </w:r>
      <w:proofErr w:type="spellEnd"/>
      <w:r w:rsidR="00A37048" w:rsidRPr="00D037BE">
        <w:rPr>
          <w:rFonts w:ascii="Times New Roman" w:hAnsi="Times New Roman" w:cs="Times New Roman"/>
          <w:sz w:val="20"/>
          <w:szCs w:val="20"/>
        </w:rPr>
        <w:t xml:space="preserve"> RRM maintenance</w:t>
      </w:r>
      <w:r w:rsidR="002249BA" w:rsidRPr="00D037BE">
        <w:rPr>
          <w:rFonts w:ascii="Times New Roman" w:hAnsi="Times New Roman" w:cs="Times New Roman"/>
          <w:sz w:val="20"/>
          <w:szCs w:val="20"/>
        </w:rPr>
        <w:t xml:space="preserve">”, Intel.  </w:t>
      </w:r>
    </w:p>
    <w:p w14:paraId="7B3A97C7" w14:textId="7B34B27E" w:rsidR="000319AB" w:rsidRPr="00D037BE" w:rsidRDefault="00B718A7" w:rsidP="002249BA">
      <w:pPr>
        <w:pStyle w:val="ListParagraph"/>
        <w:numPr>
          <w:ilvl w:val="0"/>
          <w:numId w:val="2"/>
        </w:numPr>
        <w:spacing w:after="120"/>
        <w:ind w:firstLineChars="0"/>
        <w:jc w:val="both"/>
        <w:rPr>
          <w:rFonts w:ascii="Times New Roman" w:hAnsi="Times New Roman" w:cs="Times New Roman"/>
          <w:sz w:val="20"/>
          <w:szCs w:val="20"/>
        </w:rPr>
      </w:pPr>
      <w:r w:rsidRPr="00B718A7">
        <w:rPr>
          <w:rFonts w:ascii="Times New Roman" w:hAnsi="Times New Roman" w:cs="Times New Roman"/>
          <w:sz w:val="20"/>
          <w:szCs w:val="20"/>
        </w:rPr>
        <w:t>R4-2309374</w:t>
      </w:r>
      <w:r w:rsidR="000319AB" w:rsidRPr="00B718A7">
        <w:rPr>
          <w:rFonts w:ascii="Times New Roman" w:hAnsi="Times New Roman" w:cs="Times New Roman"/>
          <w:sz w:val="20"/>
          <w:szCs w:val="20"/>
        </w:rPr>
        <w:t>, “</w:t>
      </w:r>
      <w:r w:rsidR="003B67BB" w:rsidRPr="00B718A7">
        <w:rPr>
          <w:rFonts w:ascii="Times New Roman" w:hAnsi="Times New Roman" w:cs="Times New Roman"/>
          <w:sz w:val="20"/>
          <w:szCs w:val="20"/>
        </w:rPr>
        <w:t>CR for</w:t>
      </w:r>
      <w:r w:rsidR="003B67BB" w:rsidRPr="003B67BB">
        <w:rPr>
          <w:rFonts w:ascii="Times New Roman" w:hAnsi="Times New Roman" w:cs="Times New Roman"/>
          <w:sz w:val="20"/>
          <w:szCs w:val="20"/>
        </w:rPr>
        <w:t xml:space="preserve"> Unified TCI State switching requirements</w:t>
      </w:r>
      <w:r w:rsidR="003B67BB">
        <w:rPr>
          <w:rFonts w:ascii="Times New Roman" w:hAnsi="Times New Roman" w:cs="Times New Roman"/>
          <w:sz w:val="20"/>
          <w:szCs w:val="20"/>
        </w:rPr>
        <w:t>”, Apple.</w:t>
      </w:r>
    </w:p>
    <w:p w14:paraId="6A60D705" w14:textId="77777777" w:rsidR="002249BA" w:rsidRPr="00D037BE" w:rsidRDefault="002249BA" w:rsidP="002249BA">
      <w:pPr>
        <w:spacing w:after="120"/>
        <w:rPr>
          <w:sz w:val="20"/>
          <w:szCs w:val="20"/>
        </w:rPr>
      </w:pPr>
    </w:p>
    <w:p w14:paraId="2025BD80" w14:textId="77777777" w:rsidR="002249BA" w:rsidRPr="00D037BE" w:rsidRDefault="002249BA" w:rsidP="002249BA"/>
    <w:sectPr w:rsidR="002249BA" w:rsidRPr="00D037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6DD15E3"/>
    <w:multiLevelType w:val="multilevel"/>
    <w:tmpl w:val="DB7228B0"/>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783AF9"/>
    <w:multiLevelType w:val="hybridMultilevel"/>
    <w:tmpl w:val="596E5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C130F2"/>
    <w:multiLevelType w:val="multilevel"/>
    <w:tmpl w:val="4DC130F2"/>
    <w:lvl w:ilvl="0">
      <w:numFmt w:val="bullet"/>
      <w:lvlText w:val="-"/>
      <w:lvlJc w:val="left"/>
      <w:pPr>
        <w:ind w:left="2790" w:hanging="360"/>
      </w:pPr>
      <w:rPr>
        <w:rFonts w:ascii="Arial" w:eastAsia="Times New Roman" w:hAnsi="Arial" w:cs="Arial" w:hint="default"/>
      </w:rPr>
    </w:lvl>
    <w:lvl w:ilvl="1">
      <w:start w:val="1"/>
      <w:numFmt w:val="bullet"/>
      <w:lvlText w:val="o"/>
      <w:lvlJc w:val="left"/>
      <w:pPr>
        <w:ind w:left="3510" w:hanging="360"/>
      </w:pPr>
      <w:rPr>
        <w:rFonts w:ascii="Courier New" w:hAnsi="Courier New" w:cs="Courier New" w:hint="default"/>
      </w:rPr>
    </w:lvl>
    <w:lvl w:ilvl="2">
      <w:start w:val="1"/>
      <w:numFmt w:val="bullet"/>
      <w:lvlText w:val=""/>
      <w:lvlJc w:val="left"/>
      <w:pPr>
        <w:ind w:left="4230" w:hanging="360"/>
      </w:pPr>
      <w:rPr>
        <w:rFonts w:ascii="Wingdings" w:hAnsi="Wingdings" w:hint="default"/>
      </w:rPr>
    </w:lvl>
    <w:lvl w:ilvl="3">
      <w:start w:val="1"/>
      <w:numFmt w:val="bullet"/>
      <w:lvlText w:val=""/>
      <w:lvlJc w:val="left"/>
      <w:pPr>
        <w:ind w:left="4950" w:hanging="360"/>
      </w:pPr>
      <w:rPr>
        <w:rFonts w:ascii="Symbol" w:hAnsi="Symbol" w:hint="default"/>
      </w:rPr>
    </w:lvl>
    <w:lvl w:ilvl="4">
      <w:start w:val="1"/>
      <w:numFmt w:val="bullet"/>
      <w:lvlText w:val="o"/>
      <w:lvlJc w:val="left"/>
      <w:pPr>
        <w:ind w:left="5670" w:hanging="360"/>
      </w:pPr>
      <w:rPr>
        <w:rFonts w:ascii="Courier New" w:hAnsi="Courier New" w:cs="Courier New" w:hint="default"/>
      </w:rPr>
    </w:lvl>
    <w:lvl w:ilvl="5">
      <w:start w:val="1"/>
      <w:numFmt w:val="bullet"/>
      <w:lvlText w:val=""/>
      <w:lvlJc w:val="left"/>
      <w:pPr>
        <w:ind w:left="6390" w:hanging="360"/>
      </w:pPr>
      <w:rPr>
        <w:rFonts w:ascii="Wingdings" w:hAnsi="Wingdings" w:hint="default"/>
      </w:rPr>
    </w:lvl>
    <w:lvl w:ilvl="6">
      <w:start w:val="1"/>
      <w:numFmt w:val="bullet"/>
      <w:lvlText w:val=""/>
      <w:lvlJc w:val="left"/>
      <w:pPr>
        <w:ind w:left="7110" w:hanging="360"/>
      </w:pPr>
      <w:rPr>
        <w:rFonts w:ascii="Symbol" w:hAnsi="Symbol" w:hint="default"/>
      </w:rPr>
    </w:lvl>
    <w:lvl w:ilvl="7">
      <w:start w:val="1"/>
      <w:numFmt w:val="bullet"/>
      <w:lvlText w:val="o"/>
      <w:lvlJc w:val="left"/>
      <w:pPr>
        <w:ind w:left="7830" w:hanging="360"/>
      </w:pPr>
      <w:rPr>
        <w:rFonts w:ascii="Courier New" w:hAnsi="Courier New" w:cs="Courier New" w:hint="default"/>
      </w:rPr>
    </w:lvl>
    <w:lvl w:ilvl="8">
      <w:start w:val="1"/>
      <w:numFmt w:val="bullet"/>
      <w:lvlText w:val=""/>
      <w:lvlJc w:val="left"/>
      <w:pPr>
        <w:ind w:left="8550" w:hanging="360"/>
      </w:pPr>
      <w:rPr>
        <w:rFonts w:ascii="Wingdings" w:hAnsi="Wingdings" w:hint="default"/>
      </w:rPr>
    </w:lvl>
  </w:abstractNum>
  <w:abstractNum w:abstractNumId="7"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0142FC2"/>
    <w:multiLevelType w:val="multilevel"/>
    <w:tmpl w:val="60142FC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1710"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59338048">
    <w:abstractNumId w:val="3"/>
  </w:num>
  <w:num w:numId="2" w16cid:durableId="1198423226">
    <w:abstractNumId w:val="7"/>
  </w:num>
  <w:num w:numId="3" w16cid:durableId="1064061569">
    <w:abstractNumId w:val="4"/>
  </w:num>
  <w:num w:numId="4" w16cid:durableId="1117142815">
    <w:abstractNumId w:val="0"/>
  </w:num>
  <w:num w:numId="5" w16cid:durableId="1069688094">
    <w:abstractNumId w:val="8"/>
  </w:num>
  <w:num w:numId="6" w16cid:durableId="2044482076">
    <w:abstractNumId w:val="2"/>
  </w:num>
  <w:num w:numId="7" w16cid:durableId="1734084975">
    <w:abstractNumId w:val="1"/>
  </w:num>
  <w:num w:numId="8" w16cid:durableId="630670281">
    <w:abstractNumId w:val="5"/>
  </w:num>
  <w:num w:numId="9" w16cid:durableId="1876381900">
    <w:abstractNumId w:val="9"/>
  </w:num>
  <w:num w:numId="10" w16cid:durableId="18287822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319AB"/>
    <w:rsid w:val="00096420"/>
    <w:rsid w:val="000D4C99"/>
    <w:rsid w:val="000D5873"/>
    <w:rsid w:val="001000DE"/>
    <w:rsid w:val="00104D5D"/>
    <w:rsid w:val="00107AFF"/>
    <w:rsid w:val="00121828"/>
    <w:rsid w:val="001715D4"/>
    <w:rsid w:val="0017238B"/>
    <w:rsid w:val="00177147"/>
    <w:rsid w:val="00190238"/>
    <w:rsid w:val="001B5D0A"/>
    <w:rsid w:val="001C2DE3"/>
    <w:rsid w:val="001C663E"/>
    <w:rsid w:val="00205241"/>
    <w:rsid w:val="00210E45"/>
    <w:rsid w:val="002249BA"/>
    <w:rsid w:val="00283A6A"/>
    <w:rsid w:val="002870EA"/>
    <w:rsid w:val="002A0EBD"/>
    <w:rsid w:val="002E63FC"/>
    <w:rsid w:val="002F4FA3"/>
    <w:rsid w:val="00313712"/>
    <w:rsid w:val="00320E79"/>
    <w:rsid w:val="00322A55"/>
    <w:rsid w:val="003353FD"/>
    <w:rsid w:val="003A7832"/>
    <w:rsid w:val="003B67BB"/>
    <w:rsid w:val="003D2560"/>
    <w:rsid w:val="003E3FE8"/>
    <w:rsid w:val="004571DB"/>
    <w:rsid w:val="00474453"/>
    <w:rsid w:val="004B6849"/>
    <w:rsid w:val="004D1584"/>
    <w:rsid w:val="004E5355"/>
    <w:rsid w:val="0051665C"/>
    <w:rsid w:val="00526314"/>
    <w:rsid w:val="00536BC5"/>
    <w:rsid w:val="0057184D"/>
    <w:rsid w:val="005A1E50"/>
    <w:rsid w:val="005B410D"/>
    <w:rsid w:val="005D1B1F"/>
    <w:rsid w:val="005F5A7E"/>
    <w:rsid w:val="00604934"/>
    <w:rsid w:val="00605645"/>
    <w:rsid w:val="00626BDE"/>
    <w:rsid w:val="00631307"/>
    <w:rsid w:val="00650529"/>
    <w:rsid w:val="006F6BCA"/>
    <w:rsid w:val="0070195A"/>
    <w:rsid w:val="00775238"/>
    <w:rsid w:val="00787DF9"/>
    <w:rsid w:val="007A3BE1"/>
    <w:rsid w:val="007C626C"/>
    <w:rsid w:val="00800C40"/>
    <w:rsid w:val="00830460"/>
    <w:rsid w:val="0083467F"/>
    <w:rsid w:val="00834C08"/>
    <w:rsid w:val="0087249E"/>
    <w:rsid w:val="0087325A"/>
    <w:rsid w:val="00907EE6"/>
    <w:rsid w:val="00924CB2"/>
    <w:rsid w:val="00932C93"/>
    <w:rsid w:val="00951300"/>
    <w:rsid w:val="00970536"/>
    <w:rsid w:val="009776DC"/>
    <w:rsid w:val="009B4DF5"/>
    <w:rsid w:val="009C1F3F"/>
    <w:rsid w:val="009D596C"/>
    <w:rsid w:val="009D66D1"/>
    <w:rsid w:val="009F52D7"/>
    <w:rsid w:val="009F5852"/>
    <w:rsid w:val="00A211CC"/>
    <w:rsid w:val="00A37048"/>
    <w:rsid w:val="00A51A5E"/>
    <w:rsid w:val="00A64241"/>
    <w:rsid w:val="00A85F2C"/>
    <w:rsid w:val="00A97DCE"/>
    <w:rsid w:val="00AC413B"/>
    <w:rsid w:val="00AD261E"/>
    <w:rsid w:val="00B00412"/>
    <w:rsid w:val="00B718A7"/>
    <w:rsid w:val="00B8567C"/>
    <w:rsid w:val="00BA058C"/>
    <w:rsid w:val="00C12F43"/>
    <w:rsid w:val="00C408EE"/>
    <w:rsid w:val="00C429F7"/>
    <w:rsid w:val="00C94AC7"/>
    <w:rsid w:val="00CB4668"/>
    <w:rsid w:val="00CD0F63"/>
    <w:rsid w:val="00CD6DF1"/>
    <w:rsid w:val="00CE3B90"/>
    <w:rsid w:val="00D037BE"/>
    <w:rsid w:val="00D15D3E"/>
    <w:rsid w:val="00D167C7"/>
    <w:rsid w:val="00D16F3A"/>
    <w:rsid w:val="00D46D5B"/>
    <w:rsid w:val="00DA24C0"/>
    <w:rsid w:val="00DB6943"/>
    <w:rsid w:val="00DC3489"/>
    <w:rsid w:val="00DD0FFF"/>
    <w:rsid w:val="00DF1ED2"/>
    <w:rsid w:val="00E47316"/>
    <w:rsid w:val="00E55591"/>
    <w:rsid w:val="00E5586A"/>
    <w:rsid w:val="00E9138B"/>
    <w:rsid w:val="00EF2642"/>
    <w:rsid w:val="00F07C35"/>
    <w:rsid w:val="00F21D5E"/>
    <w:rsid w:val="00F309F7"/>
    <w:rsid w:val="00F441E8"/>
    <w:rsid w:val="00F555F1"/>
    <w:rsid w:val="00FA70EC"/>
    <w:rsid w:val="00FE78C4"/>
    <w:rsid w:val="00FF2DCA"/>
    <w:rsid w:val="00FF46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docId w15:val="{881406C0-899D-8544-8F25-6DBC21750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rsid w:val="00BA058C"/>
    <w:pPr>
      <w:overflowPunct w:val="0"/>
      <w:autoSpaceDE w:val="0"/>
      <w:autoSpaceDN w:val="0"/>
      <w:adjustRightInd w:val="0"/>
      <w:spacing w:after="180"/>
      <w:textAlignment w:val="baseline"/>
    </w:pPr>
    <w:rPr>
      <w:rFonts w:ascii="Times New Roman" w:eastAsia="Yu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0319AB"/>
    <w:pPr>
      <w:keepLines/>
      <w:widowControl w:val="0"/>
      <w:overflowPunct w:val="0"/>
      <w:autoSpaceDE w:val="0"/>
      <w:autoSpaceDN w:val="0"/>
      <w:adjustRightInd w:val="0"/>
      <w:spacing w:before="100" w:beforeAutospacing="1" w:after="180"/>
      <w:ind w:left="1135" w:hanging="851"/>
      <w:textAlignment w:val="baseline"/>
    </w:pPr>
  </w:style>
  <w:style w:type="paragraph" w:customStyle="1" w:styleId="B2">
    <w:name w:val="B2"/>
    <w:basedOn w:val="List2"/>
    <w:rsid w:val="000319AB"/>
    <w:pPr>
      <w:overflowPunct w:val="0"/>
      <w:autoSpaceDE w:val="0"/>
      <w:autoSpaceDN w:val="0"/>
      <w:adjustRightInd w:val="0"/>
      <w:spacing w:before="100" w:beforeAutospacing="1" w:after="180"/>
      <w:ind w:left="851" w:hanging="284"/>
      <w:contextualSpacing w:val="0"/>
      <w:textAlignment w:val="baseline"/>
    </w:pPr>
  </w:style>
  <w:style w:type="paragraph" w:customStyle="1" w:styleId="B1">
    <w:name w:val="B1"/>
    <w:basedOn w:val="List"/>
    <w:rsid w:val="000319AB"/>
    <w:pPr>
      <w:overflowPunct w:val="0"/>
      <w:autoSpaceDE w:val="0"/>
      <w:autoSpaceDN w:val="0"/>
      <w:adjustRightInd w:val="0"/>
      <w:spacing w:before="100" w:beforeAutospacing="1" w:after="180"/>
      <w:ind w:left="568" w:hanging="284"/>
      <w:contextualSpacing w:val="0"/>
      <w:textAlignment w:val="baseline"/>
    </w:pPr>
  </w:style>
  <w:style w:type="paragraph" w:styleId="List2">
    <w:name w:val="List 2"/>
    <w:basedOn w:val="Normal"/>
    <w:uiPriority w:val="99"/>
    <w:semiHidden/>
    <w:unhideWhenUsed/>
    <w:rsid w:val="000319AB"/>
    <w:pPr>
      <w:ind w:left="720" w:hanging="360"/>
      <w:contextualSpacing/>
    </w:pPr>
  </w:style>
  <w:style w:type="paragraph" w:styleId="List">
    <w:name w:val="List"/>
    <w:basedOn w:val="Normal"/>
    <w:uiPriority w:val="99"/>
    <w:semiHidden/>
    <w:unhideWhenUsed/>
    <w:rsid w:val="000319AB"/>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57977976">
      <w:bodyDiv w:val="1"/>
      <w:marLeft w:val="0"/>
      <w:marRight w:val="0"/>
      <w:marTop w:val="0"/>
      <w:marBottom w:val="0"/>
      <w:divBdr>
        <w:top w:val="none" w:sz="0" w:space="0" w:color="auto"/>
        <w:left w:val="none" w:sz="0" w:space="0" w:color="auto"/>
        <w:bottom w:val="none" w:sz="0" w:space="0" w:color="auto"/>
        <w:right w:val="none" w:sz="0" w:space="0" w:color="auto"/>
      </w:divBdr>
    </w:div>
    <w:div w:id="561528393">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1002272231">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270772698">
      <w:bodyDiv w:val="1"/>
      <w:marLeft w:val="0"/>
      <w:marRight w:val="0"/>
      <w:marTop w:val="0"/>
      <w:marBottom w:val="0"/>
      <w:divBdr>
        <w:top w:val="none" w:sz="0" w:space="0" w:color="auto"/>
        <w:left w:val="none" w:sz="0" w:space="0" w:color="auto"/>
        <w:bottom w:val="none" w:sz="0" w:space="0" w:color="auto"/>
        <w:right w:val="none" w:sz="0" w:space="0" w:color="auto"/>
      </w:divBdr>
    </w:div>
    <w:div w:id="1431855813">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1579804">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790860065">
      <w:bodyDiv w:val="1"/>
      <w:marLeft w:val="0"/>
      <w:marRight w:val="0"/>
      <w:marTop w:val="0"/>
      <w:marBottom w:val="0"/>
      <w:divBdr>
        <w:top w:val="none" w:sz="0" w:space="0" w:color="auto"/>
        <w:left w:val="none" w:sz="0" w:space="0" w:color="auto"/>
        <w:bottom w:val="none" w:sz="0" w:space="0" w:color="auto"/>
        <w:right w:val="none" w:sz="0" w:space="0" w:color="auto"/>
      </w:divBdr>
    </w:div>
    <w:div w:id="1962298227">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 w:id="2131850603">
      <w:bodyDiv w:val="1"/>
      <w:marLeft w:val="0"/>
      <w:marRight w:val="0"/>
      <w:marTop w:val="0"/>
      <w:marBottom w:val="0"/>
      <w:divBdr>
        <w:top w:val="none" w:sz="0" w:space="0" w:color="auto"/>
        <w:left w:val="none" w:sz="0" w:space="0" w:color="auto"/>
        <w:bottom w:val="none" w:sz="0" w:space="0" w:color="auto"/>
        <w:right w:val="none" w:sz="0" w:space="0" w:color="auto"/>
      </w:divBdr>
      <w:divsChild>
        <w:div w:id="49768779">
          <w:marLeft w:val="0"/>
          <w:marRight w:val="0"/>
          <w:marTop w:val="0"/>
          <w:marBottom w:val="0"/>
          <w:divBdr>
            <w:top w:val="none" w:sz="0" w:space="0" w:color="auto"/>
            <w:left w:val="none" w:sz="0" w:space="0" w:color="auto"/>
            <w:bottom w:val="none" w:sz="0" w:space="0" w:color="auto"/>
            <w:right w:val="none" w:sz="0" w:space="0" w:color="auto"/>
          </w:divBdr>
          <w:divsChild>
            <w:div w:id="51076723">
              <w:marLeft w:val="0"/>
              <w:marRight w:val="0"/>
              <w:marTop w:val="0"/>
              <w:marBottom w:val="0"/>
              <w:divBdr>
                <w:top w:val="none" w:sz="0" w:space="0" w:color="auto"/>
                <w:left w:val="none" w:sz="0" w:space="0" w:color="auto"/>
                <w:bottom w:val="none" w:sz="0" w:space="0" w:color="auto"/>
                <w:right w:val="none" w:sz="0" w:space="0" w:color="auto"/>
              </w:divBdr>
              <w:divsChild>
                <w:div w:id="912816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1038</Words>
  <Characters>5917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Apple_107 (Manasa)</cp:lastModifiedBy>
  <cp:revision>2</cp:revision>
  <dcterms:created xsi:type="dcterms:W3CDTF">2023-05-15T20:32:00Z</dcterms:created>
  <dcterms:modified xsi:type="dcterms:W3CDTF">2023-05-15T20:32:00Z</dcterms:modified>
</cp:coreProperties>
</file>